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Portal proiect Ro-RISK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https://gis.ro-risk.ro/webapps/HazardNationalCalitativ/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sau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https://ro-risk.ro/webapps/riscuriNationaleCalitativ/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Probabilitate: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0,1 - de producere la 10 ani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0,01 - de producere la 100 de ani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0,001 - de producere la 1000 de ani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Detalii: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https://www.ro-risk.ro/Lists/Noutai/Attachments/8/Brosura%20parteneri_scenarii_v1_9_final.pdf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52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2E5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o-risk.ro/Lists/Noutai/Attachments/8/Brosura%20parteneri_scenarii_v1_9_final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s.ro-risk.ro/webapps/HazardNationalCalitativ/" TargetMode="External"/><Relationship Id="rId8" Type="http://schemas.openxmlformats.org/officeDocument/2006/relationships/hyperlink" Target="https://ro-risk.ro/webapps/riscuriNationaleCalitati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oYp4ubfh1W1V563GfKDY1psOA==">AMUW2mVuwfsq30eBVvVLF+PQt/sdqJPciWNAzozZYQtkgIjS4WhrfIdCCbkK6BWoxC4v/Pvi2ydiu88EUA4kl0l88xkZLYq9SRdd/4NORSbrRiDFhtAW5aQ=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2021-10-11T07:51:00Z</dcterms:created>
  <dc:creator>MADALINA TEODOR</dc:creator>
</cp:coreProperties>
</file>