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37D37" w14:textId="4A56B309" w:rsidR="006E3394" w:rsidRDefault="006E3394" w:rsidP="006E3394">
      <w:r>
        <w:t>Copyright © 2016 American Psychological Association</w:t>
      </w:r>
    </w:p>
    <w:p w14:paraId="37645D8A" w14:textId="4ACA59BC" w:rsidR="006E3394" w:rsidRDefault="006E3394" w:rsidP="006E3394">
      <w:r>
        <w:t>First published online January 21, 2016</w:t>
      </w:r>
      <w:r>
        <w:rPr>
          <w:i/>
        </w:rPr>
        <w:t xml:space="preserve"> Ps</w:t>
      </w:r>
      <w:r w:rsidRPr="006E3394">
        <w:rPr>
          <w:i/>
        </w:rPr>
        <w:t>y</w:t>
      </w:r>
      <w:r>
        <w:rPr>
          <w:i/>
        </w:rPr>
        <w:t>c</w:t>
      </w:r>
      <w:r w:rsidR="00662877">
        <w:rPr>
          <w:i/>
        </w:rPr>
        <w:t>h</w:t>
      </w:r>
      <w:r w:rsidRPr="006E3394">
        <w:rPr>
          <w:i/>
        </w:rPr>
        <w:t>ology of Religion and Spirituality</w:t>
      </w:r>
      <w:r>
        <w:t xml:space="preserve"> </w:t>
      </w:r>
    </w:p>
    <w:p w14:paraId="27B3F970" w14:textId="6E910B5F" w:rsidR="00671343" w:rsidRDefault="00604552" w:rsidP="006E3394">
      <w:hyperlink r:id="rId8" w:history="1">
        <w:r w:rsidR="006E3394" w:rsidRPr="00070889">
          <w:rPr>
            <w:rStyle w:val="Hyperlink"/>
          </w:rPr>
          <w:t>http://dx.doi.org/10.1037/rel0000062</w:t>
        </w:r>
      </w:hyperlink>
    </w:p>
    <w:p w14:paraId="62E7E4A7" w14:textId="6FB89990" w:rsidR="006E3394" w:rsidRPr="006E3394" w:rsidRDefault="006E3394" w:rsidP="006E3394">
      <w:pPr>
        <w:ind w:firstLine="0"/>
        <w:jc w:val="center"/>
        <w:rPr>
          <w:sz w:val="20"/>
        </w:rPr>
      </w:pPr>
      <w:r w:rsidRPr="006E3394">
        <w:rPr>
          <w:sz w:val="20"/>
        </w:rPr>
        <w:t>'This article may not exactly replicate the final version published in the APA journal. It is not the copy of record.'</w:t>
      </w:r>
    </w:p>
    <w:p w14:paraId="0704062B" w14:textId="77777777" w:rsidR="00671343" w:rsidRDefault="00671343" w:rsidP="000D3E87"/>
    <w:p w14:paraId="406D53A0" w14:textId="6EE0FD1B" w:rsidR="00404AAD" w:rsidRDefault="00671343" w:rsidP="00476967">
      <w:pPr>
        <w:jc w:val="center"/>
      </w:pPr>
      <w:r>
        <w:t>Spiritual Intimacy</w:t>
      </w:r>
      <w:r w:rsidR="00C80C5A">
        <w:t xml:space="preserve">, </w:t>
      </w:r>
      <w:r w:rsidR="004B55E3">
        <w:t xml:space="preserve">Marital </w:t>
      </w:r>
      <w:r>
        <w:t>Intimacy</w:t>
      </w:r>
      <w:r w:rsidR="00C80C5A">
        <w:t xml:space="preserve">, </w:t>
      </w:r>
      <w:r w:rsidR="00404AAD">
        <w:t xml:space="preserve">and </w:t>
      </w:r>
      <w:r w:rsidR="004B7908">
        <w:t>Physical/</w:t>
      </w:r>
      <w:r w:rsidR="003042D2">
        <w:t xml:space="preserve">Psychological </w:t>
      </w:r>
      <w:r>
        <w:t>Well-Being</w:t>
      </w:r>
      <w:r w:rsidR="00C80C5A">
        <w:t xml:space="preserve">: </w:t>
      </w:r>
    </w:p>
    <w:p w14:paraId="3D2DEDD8" w14:textId="77777777" w:rsidR="00924B37" w:rsidRDefault="009D799F" w:rsidP="00F11D26">
      <w:pPr>
        <w:ind w:firstLine="0"/>
        <w:jc w:val="center"/>
      </w:pPr>
      <w:r>
        <w:t>Spiritual Meaning as a Mediator</w:t>
      </w:r>
    </w:p>
    <w:p w14:paraId="260A4206" w14:textId="77777777" w:rsidR="00671343" w:rsidRDefault="00671343" w:rsidP="00476967">
      <w:pPr>
        <w:jc w:val="center"/>
      </w:pPr>
      <w:r>
        <w:t>Karen J. Holland</w:t>
      </w:r>
      <w:r w:rsidR="00575CA8">
        <w:t>, Jerry W. Lee, Helen H. Marshak</w:t>
      </w:r>
    </w:p>
    <w:p w14:paraId="7293AFC0" w14:textId="77777777" w:rsidR="00671343" w:rsidRDefault="002B491F" w:rsidP="00476967">
      <w:pPr>
        <w:jc w:val="center"/>
      </w:pPr>
      <w:r>
        <w:t xml:space="preserve">School of Public Health, </w:t>
      </w:r>
      <w:r w:rsidR="00671343">
        <w:t>Loma Linda University</w:t>
      </w:r>
    </w:p>
    <w:p w14:paraId="26CA5535" w14:textId="77777777" w:rsidR="00C0314E" w:rsidRDefault="00C0314E" w:rsidP="00476967">
      <w:pPr>
        <w:jc w:val="center"/>
      </w:pPr>
      <w:r>
        <w:t>Leslie R. Martin</w:t>
      </w:r>
    </w:p>
    <w:p w14:paraId="3B33A0DB" w14:textId="77777777" w:rsidR="00C0314E" w:rsidRDefault="00C0314E" w:rsidP="00476967">
      <w:pPr>
        <w:jc w:val="center"/>
      </w:pPr>
      <w:r>
        <w:t>La Sierra University</w:t>
      </w:r>
    </w:p>
    <w:p w14:paraId="46AEB9CA" w14:textId="77777777" w:rsidR="00671343" w:rsidRDefault="00671343" w:rsidP="000D3E87"/>
    <w:p w14:paraId="381A581E" w14:textId="77777777" w:rsidR="00954F00" w:rsidRDefault="00954F00" w:rsidP="00F11D26">
      <w:pPr>
        <w:ind w:firstLine="0"/>
      </w:pPr>
    </w:p>
    <w:p w14:paraId="65B359A7" w14:textId="77777777" w:rsidR="00954F00" w:rsidRDefault="00954F00" w:rsidP="00F11D26">
      <w:pPr>
        <w:ind w:firstLine="0"/>
      </w:pPr>
    </w:p>
    <w:p w14:paraId="2C8344F2" w14:textId="77777777" w:rsidR="00954F00" w:rsidRDefault="00954F00" w:rsidP="00954F00">
      <w:pPr>
        <w:jc w:val="center"/>
      </w:pPr>
      <w:r>
        <w:t>Author Note</w:t>
      </w:r>
    </w:p>
    <w:p w14:paraId="42F8B342" w14:textId="77777777" w:rsidR="00954F00" w:rsidRDefault="00954F00" w:rsidP="00954F00">
      <w:pPr>
        <w:jc w:val="center"/>
      </w:pPr>
      <w:r>
        <w:t>Karen J. Holland, Jerry L. Lee, Helen H. Marshak</w:t>
      </w:r>
    </w:p>
    <w:p w14:paraId="5A01BF6B" w14:textId="77777777" w:rsidR="00954F00" w:rsidRDefault="00954F00" w:rsidP="00954F00">
      <w:pPr>
        <w:jc w:val="center"/>
      </w:pPr>
      <w:r>
        <w:t>School of Public Health, Loma Linda University</w:t>
      </w:r>
    </w:p>
    <w:p w14:paraId="101960EA" w14:textId="77777777" w:rsidR="00C0314E" w:rsidRDefault="00C0314E" w:rsidP="00954F00">
      <w:pPr>
        <w:jc w:val="center"/>
      </w:pPr>
      <w:r>
        <w:t>Leslie R. Martin</w:t>
      </w:r>
    </w:p>
    <w:p w14:paraId="38A799D8" w14:textId="77777777" w:rsidR="00C0314E" w:rsidRDefault="00C0314E" w:rsidP="00954F00">
      <w:pPr>
        <w:jc w:val="center"/>
      </w:pPr>
      <w:r>
        <w:t>La Sierra University</w:t>
      </w:r>
    </w:p>
    <w:p w14:paraId="10C5CD16" w14:textId="77777777" w:rsidR="00C0314E" w:rsidRDefault="00C0314E" w:rsidP="00F11D26">
      <w:pPr>
        <w:jc w:val="center"/>
      </w:pPr>
      <w:r>
        <w:t>Correspondence concerning this article should be addressed to Karen Holland.</w:t>
      </w:r>
    </w:p>
    <w:p w14:paraId="0F5981C3" w14:textId="77777777" w:rsidR="00954F00" w:rsidRDefault="00954F00" w:rsidP="00954F00">
      <w:pPr>
        <w:jc w:val="center"/>
      </w:pPr>
      <w:r>
        <w:t>Email: kholland@llu.edu</w:t>
      </w:r>
    </w:p>
    <w:p w14:paraId="77D3D53A" w14:textId="77777777" w:rsidR="00476967" w:rsidRDefault="00476967" w:rsidP="00F11D26">
      <w:pPr>
        <w:ind w:firstLine="0"/>
      </w:pPr>
    </w:p>
    <w:p w14:paraId="14A8058A" w14:textId="77777777" w:rsidR="002A5338" w:rsidRDefault="002A5338" w:rsidP="006E0099">
      <w:pPr>
        <w:pStyle w:val="APALevel1"/>
      </w:pPr>
      <w:r w:rsidRPr="000D3E87">
        <w:lastRenderedPageBreak/>
        <w:t>Abstract</w:t>
      </w:r>
    </w:p>
    <w:p w14:paraId="0CE92F2A" w14:textId="74A00966" w:rsidR="00A80EFB" w:rsidRDefault="00EA17D5" w:rsidP="00EA17D5">
      <w:pPr>
        <w:ind w:firstLine="0"/>
      </w:pPr>
      <w:r w:rsidRPr="004B665A">
        <w:rPr>
          <w:b/>
          <w:i/>
        </w:rPr>
        <w:t xml:space="preserve">Objective: </w:t>
      </w:r>
      <w:r w:rsidR="00140740">
        <w:t xml:space="preserve">Intimacy </w:t>
      </w:r>
      <w:r w:rsidR="008642BF">
        <w:t xml:space="preserve">is </w:t>
      </w:r>
      <w:r w:rsidR="00E849DB">
        <w:t xml:space="preserve">an essential part of marital relationships, spiritual relationships, and </w:t>
      </w:r>
      <w:r w:rsidR="00B17883">
        <w:t xml:space="preserve">is </w:t>
      </w:r>
      <w:r w:rsidR="00E849DB">
        <w:t>also a factor in well-being</w:t>
      </w:r>
      <w:r w:rsidR="00D62698">
        <w:t xml:space="preserve">, but </w:t>
      </w:r>
      <w:r w:rsidR="00120983">
        <w:t>there is little research simultaneously examining the links among spiritual intimacy</w:t>
      </w:r>
      <w:r w:rsidR="00474BB7">
        <w:t>,</w:t>
      </w:r>
      <w:r w:rsidR="00120983">
        <w:t xml:space="preserve"> </w:t>
      </w:r>
      <w:r w:rsidR="004B55E3">
        <w:t xml:space="preserve">marital </w:t>
      </w:r>
      <w:r w:rsidR="00120983">
        <w:t>intimacy</w:t>
      </w:r>
      <w:r w:rsidR="00325A4D">
        <w:t>,</w:t>
      </w:r>
      <w:r w:rsidR="00120983">
        <w:t xml:space="preserve"> and well-being.</w:t>
      </w:r>
      <w:r w:rsidR="004B665A">
        <w:t xml:space="preserve">  </w:t>
      </w:r>
      <w:r w:rsidRPr="004B665A">
        <w:rPr>
          <w:b/>
          <w:i/>
        </w:rPr>
        <w:t>Methods:</w:t>
      </w:r>
      <w:r>
        <w:t xml:space="preserve"> </w:t>
      </w:r>
      <w:r w:rsidR="00AB6F49">
        <w:t>S</w:t>
      </w:r>
      <w:r w:rsidR="002A5338" w:rsidRPr="00331873">
        <w:t>tructural equation modeling</w:t>
      </w:r>
      <w:r w:rsidR="00AB6F49">
        <w:t xml:space="preserve"> was used</w:t>
      </w:r>
      <w:r w:rsidR="00325A4D">
        <w:t xml:space="preserve"> to examine </w:t>
      </w:r>
      <w:r w:rsidR="002A5338" w:rsidRPr="00331873">
        <w:t xml:space="preserve">associations </w:t>
      </w:r>
      <w:r w:rsidR="006718B6">
        <w:t>among</w:t>
      </w:r>
      <w:r w:rsidR="006718B6" w:rsidRPr="00331873">
        <w:t xml:space="preserve"> </w:t>
      </w:r>
      <w:r w:rsidR="00B17883">
        <w:t xml:space="preserve">the </w:t>
      </w:r>
      <w:r w:rsidR="002A5338" w:rsidRPr="00331873">
        <w:t>latent variables</w:t>
      </w:r>
      <w:r w:rsidR="00E71C5D">
        <w:t>—</w:t>
      </w:r>
      <w:r w:rsidR="008250BA">
        <w:t>s</w:t>
      </w:r>
      <w:r w:rsidR="002A5338" w:rsidRPr="00331873">
        <w:t xml:space="preserve">piritual </w:t>
      </w:r>
      <w:r w:rsidR="008250BA">
        <w:t>i</w:t>
      </w:r>
      <w:r w:rsidR="002A5338" w:rsidRPr="00331873">
        <w:t xml:space="preserve">ntimacy, </w:t>
      </w:r>
      <w:r w:rsidR="004B55E3">
        <w:t>marital</w:t>
      </w:r>
      <w:r w:rsidR="004B55E3" w:rsidRPr="00331873">
        <w:t xml:space="preserve"> </w:t>
      </w:r>
      <w:r w:rsidR="008250BA">
        <w:t>i</w:t>
      </w:r>
      <w:r w:rsidR="002A5338" w:rsidRPr="00331873">
        <w:t xml:space="preserve">ntimacy, </w:t>
      </w:r>
      <w:r w:rsidR="00AB6F49">
        <w:t>s</w:t>
      </w:r>
      <w:r w:rsidR="00AB6F49" w:rsidRPr="00331873">
        <w:t xml:space="preserve">piritual </w:t>
      </w:r>
      <w:r w:rsidR="00AB6F49">
        <w:t>m</w:t>
      </w:r>
      <w:r w:rsidR="00AB6F49" w:rsidRPr="00331873">
        <w:t xml:space="preserve">eaning, </w:t>
      </w:r>
      <w:r w:rsidR="00AB6F49">
        <w:t xml:space="preserve">and </w:t>
      </w:r>
      <w:r w:rsidR="008250BA">
        <w:t>w</w:t>
      </w:r>
      <w:r w:rsidR="002A5338" w:rsidRPr="00331873">
        <w:t>ell-</w:t>
      </w:r>
      <w:r w:rsidR="008250BA">
        <w:t>b</w:t>
      </w:r>
      <w:r w:rsidR="002A5338" w:rsidRPr="00331873">
        <w:t>eing</w:t>
      </w:r>
      <w:r w:rsidR="00E71C5D">
        <w:t>—</w:t>
      </w:r>
      <w:r w:rsidR="002A5338">
        <w:t xml:space="preserve">in </w:t>
      </w:r>
      <w:r w:rsidR="00D62698">
        <w:t xml:space="preserve">a cross-sectional study of </w:t>
      </w:r>
      <w:r w:rsidR="004271E1">
        <w:t>5,7</w:t>
      </w:r>
      <w:r w:rsidR="00347539">
        <w:t>20</w:t>
      </w:r>
      <w:r w:rsidR="002A5338">
        <w:t xml:space="preserve"> married adults </w:t>
      </w:r>
      <w:r w:rsidR="002A5338" w:rsidRPr="00727A05">
        <w:t xml:space="preserve">aged </w:t>
      </w:r>
      <w:r w:rsidR="004271E1">
        <w:t>29</w:t>
      </w:r>
      <w:r w:rsidR="002A5338" w:rsidRPr="00727A05">
        <w:t>-</w:t>
      </w:r>
      <w:r w:rsidR="004271E1">
        <w:t>100</w:t>
      </w:r>
      <w:r w:rsidR="002A5338" w:rsidRPr="00727A05">
        <w:t xml:space="preserve"> years (</w:t>
      </w:r>
      <w:r w:rsidR="002A5338" w:rsidRPr="00727A05">
        <w:rPr>
          <w:i/>
        </w:rPr>
        <w:t xml:space="preserve">M </w:t>
      </w:r>
      <w:r w:rsidR="002A5338" w:rsidRPr="00727A05">
        <w:t xml:space="preserve">= </w:t>
      </w:r>
      <w:r w:rsidR="004271E1">
        <w:t>58.8</w:t>
      </w:r>
      <w:r w:rsidR="00347539">
        <w:t>8</w:t>
      </w:r>
      <w:r w:rsidR="002A5338" w:rsidRPr="00727A05">
        <w:t xml:space="preserve">, </w:t>
      </w:r>
      <w:r w:rsidR="002A5338" w:rsidRPr="00727A05">
        <w:rPr>
          <w:i/>
        </w:rPr>
        <w:t>SD</w:t>
      </w:r>
      <w:r w:rsidR="002A5338" w:rsidRPr="00727A05">
        <w:t xml:space="preserve"> = 12.</w:t>
      </w:r>
      <w:r w:rsidR="00DA1697">
        <w:t>76</w:t>
      </w:r>
      <w:r w:rsidR="002A5338" w:rsidRPr="00727A05">
        <w:t xml:space="preserve">, </w:t>
      </w:r>
      <w:r w:rsidR="00AB6F49">
        <w:t xml:space="preserve">59% </w:t>
      </w:r>
      <w:r w:rsidR="002A5338" w:rsidRPr="00727A05">
        <w:t>female).</w:t>
      </w:r>
      <w:r w:rsidR="002A5338">
        <w:t xml:space="preserve">  All participants were from the Adventist Health Study-2</w:t>
      </w:r>
      <w:r w:rsidR="00474BB7">
        <w:t>,</w:t>
      </w:r>
      <w:r w:rsidR="002A5338">
        <w:t xml:space="preserve"> Biopsychosocial Religion and Health</w:t>
      </w:r>
      <w:r w:rsidR="00CB0045">
        <w:t xml:space="preserve"> </w:t>
      </w:r>
      <w:r w:rsidR="002A5338">
        <w:t xml:space="preserve">Study.  </w:t>
      </w:r>
      <w:r w:rsidRPr="00D77634">
        <w:rPr>
          <w:b/>
          <w:i/>
        </w:rPr>
        <w:t>Results:</w:t>
      </w:r>
      <w:r>
        <w:t xml:space="preserve"> </w:t>
      </w:r>
      <w:r w:rsidR="00D77634">
        <w:t>In the original structural model</w:t>
      </w:r>
      <w:r w:rsidR="00A94B96">
        <w:t>,</w:t>
      </w:r>
      <w:r w:rsidR="00D77634">
        <w:t xml:space="preserve"> all direct associations between the three latent variables of spiritual intimacy, </w:t>
      </w:r>
      <w:r w:rsidR="004B55E3">
        <w:t xml:space="preserve">marital </w:t>
      </w:r>
      <w:r w:rsidR="00D77634">
        <w:t>intimacy, and well-being were significantly positive</w:t>
      </w:r>
      <w:r w:rsidR="00BB2CE3">
        <w:t xml:space="preserve"> indicating that there was a significant relationship among spiritual intimacy, marital intimacy, and well-being</w:t>
      </w:r>
      <w:r w:rsidR="00D77634">
        <w:t xml:space="preserve">.  When spiritual meaning was </w:t>
      </w:r>
      <w:r w:rsidR="00F82A81">
        <w:t xml:space="preserve">added </w:t>
      </w:r>
      <w:r w:rsidR="00D77634">
        <w:t>as a</w:t>
      </w:r>
      <w:r w:rsidR="00DB477A">
        <w:t xml:space="preserve"> mediating</w:t>
      </w:r>
      <w:r w:rsidR="00D77634">
        <w:t xml:space="preserve"> variable, </w:t>
      </w:r>
      <w:r w:rsidR="00D77634" w:rsidRPr="00091AB1">
        <w:t xml:space="preserve">the direct connections of spiritual intimacy to </w:t>
      </w:r>
      <w:r w:rsidR="004B55E3">
        <w:t>marital</w:t>
      </w:r>
      <w:r w:rsidR="00D77634" w:rsidRPr="00091AB1">
        <w:t xml:space="preserve"> intimacy and to well-being </w:t>
      </w:r>
      <w:r w:rsidR="00D77634">
        <w:t>became</w:t>
      </w:r>
      <w:r w:rsidR="00D77634" w:rsidRPr="00091AB1">
        <w:t xml:space="preserve"> </w:t>
      </w:r>
      <w:r w:rsidR="00D77634">
        <w:t xml:space="preserve">weakly </w:t>
      </w:r>
      <w:r w:rsidR="00D77634" w:rsidRPr="00091AB1">
        <w:t>negative</w:t>
      </w:r>
      <w:r w:rsidR="00D77634">
        <w:t>.</w:t>
      </w:r>
      <w:r w:rsidR="00D77634" w:rsidRPr="00091AB1">
        <w:t xml:space="preserve"> </w:t>
      </w:r>
      <w:r w:rsidR="00D77634">
        <w:t xml:space="preserve">However, the indirect associations of spiritual intimacy with </w:t>
      </w:r>
      <w:r w:rsidR="004B55E3">
        <w:t xml:space="preserve">marital </w:t>
      </w:r>
      <w:r w:rsidR="00D77634">
        <w:t xml:space="preserve">intimacy and with well-being </w:t>
      </w:r>
      <w:r w:rsidR="00DB477A">
        <w:t xml:space="preserve">were then </w:t>
      </w:r>
      <w:r w:rsidR="00D77634">
        <w:t>strongly positive through spiritual meaning.</w:t>
      </w:r>
      <w:r w:rsidR="00D77634" w:rsidRPr="00091AB1">
        <w:t xml:space="preserve">  </w:t>
      </w:r>
      <w:r w:rsidR="00BB2CE3">
        <w:t xml:space="preserve">This indicates that the relationship among spiritual intimacy, marital intimacy, and well-being was primarily a result of the meaning that spiritual intimacy brought to one’s marriage and well-being, and that without spiritual meaning </w:t>
      </w:r>
      <w:r w:rsidR="00A560E1">
        <w:t xml:space="preserve">greater </w:t>
      </w:r>
      <w:r w:rsidR="00BB2CE3">
        <w:t xml:space="preserve">spirituality could negatively influence one’s marriage and well-being.  </w:t>
      </w:r>
      <w:r w:rsidR="004D26BC" w:rsidRPr="00F11D26">
        <w:rPr>
          <w:b/>
          <w:i/>
        </w:rPr>
        <w:t>Conclusions:</w:t>
      </w:r>
      <w:r w:rsidR="004D26BC">
        <w:t xml:space="preserve"> </w:t>
      </w:r>
      <w:r w:rsidR="00FF25C1">
        <w:t>These</w:t>
      </w:r>
      <w:r w:rsidR="006C6C92">
        <w:t xml:space="preserve"> findings suggest the </w:t>
      </w:r>
      <w:r w:rsidR="00B17883">
        <w:t>central place</w:t>
      </w:r>
      <w:r w:rsidR="006C6C92">
        <w:t xml:space="preserve"> </w:t>
      </w:r>
      <w:r w:rsidR="00A80EFB">
        <w:t xml:space="preserve">of spiritual meaning </w:t>
      </w:r>
      <w:r w:rsidR="00B17883">
        <w:t xml:space="preserve">in understanding the relationship of spiritual intimacy </w:t>
      </w:r>
      <w:r w:rsidR="00325A4D">
        <w:t>to</w:t>
      </w:r>
      <w:r w:rsidR="00A80EFB">
        <w:t xml:space="preserve"> marital intimacy and</w:t>
      </w:r>
      <w:r w:rsidR="00DB477A">
        <w:t xml:space="preserve"> to</w:t>
      </w:r>
      <w:r w:rsidR="00A80EFB">
        <w:t xml:space="preserve"> well-being.</w:t>
      </w:r>
    </w:p>
    <w:p w14:paraId="68C3224A" w14:textId="77777777" w:rsidR="00A80EFB" w:rsidRPr="00924B37" w:rsidRDefault="00924B37" w:rsidP="000D3E87">
      <w:r w:rsidRPr="00924B37">
        <w:rPr>
          <w:i/>
        </w:rPr>
        <w:t xml:space="preserve">Keywords: </w:t>
      </w:r>
      <w:r w:rsidR="00D23909">
        <w:t>i</w:t>
      </w:r>
      <w:r>
        <w:t xml:space="preserve">ntimacy, spiritual intimacy, </w:t>
      </w:r>
      <w:r w:rsidR="004B55E3">
        <w:t xml:space="preserve">marital </w:t>
      </w:r>
      <w:r>
        <w:t>intimacy, well-being</w:t>
      </w:r>
      <w:r w:rsidR="00411FFC">
        <w:t xml:space="preserve">, </w:t>
      </w:r>
      <w:r w:rsidR="006B5D81">
        <w:t xml:space="preserve">marriage, </w:t>
      </w:r>
      <w:r w:rsidR="00411FFC">
        <w:t>meaning</w:t>
      </w:r>
      <w:r w:rsidR="006B5D81">
        <w:t xml:space="preserve"> in life</w:t>
      </w:r>
    </w:p>
    <w:p w14:paraId="21076E64" w14:textId="77777777" w:rsidR="004B55E3" w:rsidRDefault="00204BE8" w:rsidP="004B55E3">
      <w:r>
        <w:br w:type="page"/>
      </w:r>
    </w:p>
    <w:p w14:paraId="3522AF52" w14:textId="03B2EEA8" w:rsidR="004B55E3" w:rsidRDefault="004B55E3" w:rsidP="004B55E3">
      <w:pPr>
        <w:jc w:val="center"/>
      </w:pPr>
      <w:r>
        <w:lastRenderedPageBreak/>
        <w:t>Spiritual Intimacy, Marital Intimacy, and Physical/</w:t>
      </w:r>
      <w:r w:rsidR="00C902BF">
        <w:t xml:space="preserve">Psychological </w:t>
      </w:r>
      <w:r>
        <w:t xml:space="preserve">Well-Being: </w:t>
      </w:r>
    </w:p>
    <w:p w14:paraId="0EACB116" w14:textId="1C458767" w:rsidR="004B55E3" w:rsidRDefault="004B55E3" w:rsidP="004B55E3">
      <w:pPr>
        <w:ind w:firstLine="0"/>
        <w:jc w:val="center"/>
      </w:pPr>
      <w:r>
        <w:t xml:space="preserve"> Spiritual Meaning</w:t>
      </w:r>
      <w:r w:rsidR="00D614A4">
        <w:t xml:space="preserve"> as a Mediator</w:t>
      </w:r>
    </w:p>
    <w:p w14:paraId="121259BC" w14:textId="77777777" w:rsidR="003F7E24" w:rsidRPr="00213DB8" w:rsidRDefault="00E515DE" w:rsidP="00916291">
      <w:pPr>
        <w:pStyle w:val="SPHParagraph"/>
      </w:pPr>
      <w:r>
        <w:t xml:space="preserve">Intimacy </w:t>
      </w:r>
      <w:r w:rsidR="00B17883">
        <w:t>may be</w:t>
      </w:r>
      <w:r>
        <w:t xml:space="preserve"> defined as a relational process </w:t>
      </w:r>
      <w:r w:rsidR="005B34E0">
        <w:t xml:space="preserve">involving </w:t>
      </w:r>
      <w:r>
        <w:t xml:space="preserve">reciprocal sharing </w:t>
      </w:r>
      <w:r w:rsidR="00B17883">
        <w:t xml:space="preserve">with </w:t>
      </w:r>
      <w:r>
        <w:t xml:space="preserve">and </w:t>
      </w:r>
      <w:r w:rsidR="00296701">
        <w:t>coming to know</w:t>
      </w:r>
      <w:r>
        <w:t xml:space="preserve"> </w:t>
      </w:r>
      <w:r w:rsidR="00325A4D">
        <w:t xml:space="preserve">about </w:t>
      </w:r>
      <w:r>
        <w:t xml:space="preserve">the </w:t>
      </w:r>
      <w:r w:rsidR="00C83522">
        <w:t>private</w:t>
      </w:r>
      <w:r w:rsidR="00325A4D">
        <w:t>,</w:t>
      </w:r>
      <w:r w:rsidR="00220E78">
        <w:t xml:space="preserve"> </w:t>
      </w:r>
      <w:r>
        <w:t xml:space="preserve">innermost aspects of </w:t>
      </w:r>
      <w:r w:rsidR="00CA242E">
        <w:t xml:space="preserve">another </w:t>
      </w:r>
      <w:r w:rsidR="00CA242E" w:rsidRPr="00213DB8">
        <w:t>person</w:t>
      </w:r>
      <w:r w:rsidRPr="00213DB8">
        <w:t xml:space="preserve"> (Chelune, Robison, &amp; Kommor, 1984). </w:t>
      </w:r>
      <w:r w:rsidR="00A0214A" w:rsidRPr="00213DB8">
        <w:t>Intimacy is an essential factor in the interpersonal relationships of everyday life</w:t>
      </w:r>
      <w:r w:rsidR="003F647F">
        <w:t xml:space="preserve">, </w:t>
      </w:r>
      <w:r w:rsidR="00A0214A" w:rsidRPr="00213DB8">
        <w:t xml:space="preserve">a core component of </w:t>
      </w:r>
      <w:r w:rsidR="00F70BCD">
        <w:t xml:space="preserve">the </w:t>
      </w:r>
      <w:r w:rsidR="00D42B34">
        <w:t xml:space="preserve">perceived </w:t>
      </w:r>
      <w:r w:rsidR="00A0214A" w:rsidRPr="00213DB8">
        <w:t>spiritual relationship with God in Biblical Christianity</w:t>
      </w:r>
      <w:r w:rsidR="00972AB0" w:rsidRPr="00213DB8">
        <w:t xml:space="preserve"> (Simpson, Newman, </w:t>
      </w:r>
      <w:r w:rsidR="005B34E0">
        <w:t>&amp;</w:t>
      </w:r>
      <w:r w:rsidR="00972AB0" w:rsidRPr="00213DB8">
        <w:t xml:space="preserve"> Fuqua</w:t>
      </w:r>
      <w:r w:rsidR="004E6B21">
        <w:t>,</w:t>
      </w:r>
      <w:r w:rsidR="00972AB0" w:rsidRPr="00213DB8">
        <w:t xml:space="preserve"> 2008)</w:t>
      </w:r>
      <w:r w:rsidR="00FD120B">
        <w:t>,</w:t>
      </w:r>
      <w:r w:rsidR="006D51E6">
        <w:t xml:space="preserve"> and is</w:t>
      </w:r>
      <w:r w:rsidR="00A0214A" w:rsidRPr="00213DB8">
        <w:t xml:space="preserve"> an integral part of well-being</w:t>
      </w:r>
      <w:r w:rsidR="00325A4D">
        <w:t>,</w:t>
      </w:r>
      <w:r w:rsidR="00A0214A" w:rsidRPr="00213DB8">
        <w:t xml:space="preserve"> </w:t>
      </w:r>
      <w:r w:rsidR="000F46D4">
        <w:t>as both</w:t>
      </w:r>
      <w:r w:rsidR="00A0214A" w:rsidRPr="00213DB8">
        <w:t xml:space="preserve"> spiritual and interpersonal relationships contribute to well-being</w:t>
      </w:r>
      <w:r w:rsidR="00972AB0" w:rsidRPr="00213DB8">
        <w:t xml:space="preserve"> </w:t>
      </w:r>
      <w:r w:rsidR="0031593A" w:rsidRPr="00213DB8">
        <w:t>(</w:t>
      </w:r>
      <w:r w:rsidR="00614D79">
        <w:t>Charlemag</w:t>
      </w:r>
      <w:r w:rsidR="00474BB7">
        <w:t>n</w:t>
      </w:r>
      <w:r w:rsidR="00614D79">
        <w:t>e-Bada</w:t>
      </w:r>
      <w:r w:rsidR="0031593A" w:rsidRPr="00213DB8">
        <w:t xml:space="preserve">l, Lee, Butler, </w:t>
      </w:r>
      <w:r w:rsidR="005B4E66">
        <w:t>&amp;</w:t>
      </w:r>
      <w:r w:rsidR="005B34E0">
        <w:t xml:space="preserve"> </w:t>
      </w:r>
      <w:r w:rsidR="00B04917" w:rsidRPr="00213DB8">
        <w:t xml:space="preserve">Fraser, </w:t>
      </w:r>
      <w:r w:rsidR="0031593A" w:rsidRPr="00213DB8">
        <w:t>2014</w:t>
      </w:r>
      <w:r w:rsidR="005B34E0">
        <w:t xml:space="preserve">; </w:t>
      </w:r>
      <w:r w:rsidR="005B34E0" w:rsidRPr="00213DB8">
        <w:t>Sneed, Whitbourne, Schwartz, &amp; Huang, 2011</w:t>
      </w:r>
      <w:r w:rsidR="0031593A" w:rsidRPr="00213DB8">
        <w:t>)</w:t>
      </w:r>
      <w:r w:rsidR="00A0214A" w:rsidRPr="00213DB8">
        <w:t>.</w:t>
      </w:r>
    </w:p>
    <w:p w14:paraId="6509325F" w14:textId="77777777" w:rsidR="00925F5B" w:rsidRDefault="00273F01" w:rsidP="00925F5B">
      <w:pPr>
        <w:rPr>
          <w:b/>
        </w:rPr>
      </w:pPr>
      <w:r>
        <w:t>Much</w:t>
      </w:r>
      <w:r w:rsidR="00FA327E">
        <w:t xml:space="preserve"> of the research </w:t>
      </w:r>
      <w:r w:rsidR="0025341A">
        <w:t>on relational</w:t>
      </w:r>
      <w:r w:rsidR="005217CD">
        <w:t>/marital</w:t>
      </w:r>
      <w:r w:rsidR="0025341A">
        <w:t xml:space="preserve"> intimacy </w:t>
      </w:r>
      <w:r w:rsidR="00FA327E">
        <w:t>has focused on communication</w:t>
      </w:r>
      <w:r>
        <w:t xml:space="preserve"> (</w:t>
      </w:r>
      <w:r w:rsidR="002E1277">
        <w:t xml:space="preserve">Gable, Gonzaga, &amp; Strachman, </w:t>
      </w:r>
      <w:r w:rsidR="005B4E66">
        <w:t>2006</w:t>
      </w:r>
      <w:r>
        <w:t xml:space="preserve">) </w:t>
      </w:r>
      <w:r w:rsidR="00325A4D">
        <w:t>and</w:t>
      </w:r>
      <w:r w:rsidR="00FA327E">
        <w:t xml:space="preserve"> interpersonal dynamics within couples</w:t>
      </w:r>
      <w:r>
        <w:t xml:space="preserve"> (</w:t>
      </w:r>
      <w:r w:rsidR="00607446">
        <w:t>Mirgain &amp; Cordova, 2007</w:t>
      </w:r>
      <w:r>
        <w:t>)</w:t>
      </w:r>
      <w:r w:rsidR="006E3F6D">
        <w:t>.</w:t>
      </w:r>
      <w:r w:rsidR="00AD71E7">
        <w:t xml:space="preserve">  </w:t>
      </w:r>
      <w:r w:rsidR="003F7E24" w:rsidRPr="00FF12A0">
        <w:t xml:space="preserve">Others have examined a </w:t>
      </w:r>
      <w:r w:rsidR="00F21584">
        <w:t xml:space="preserve">perceived </w:t>
      </w:r>
      <w:r w:rsidR="003F7E24" w:rsidRPr="00FF12A0">
        <w:t xml:space="preserve">relationship </w:t>
      </w:r>
      <w:r w:rsidR="00E019F2">
        <w:t>to</w:t>
      </w:r>
      <w:r w:rsidR="00E019F2" w:rsidRPr="00FF12A0">
        <w:t xml:space="preserve"> </w:t>
      </w:r>
      <w:r w:rsidR="003F7E24" w:rsidRPr="00FF12A0">
        <w:t xml:space="preserve">God </w:t>
      </w:r>
      <w:r w:rsidR="003F647F">
        <w:t>(</w:t>
      </w:r>
      <w:r w:rsidR="003F7E24" w:rsidRPr="00FF12A0">
        <w:t>spiritual intimacy</w:t>
      </w:r>
      <w:r w:rsidR="003F647F">
        <w:t>)</w:t>
      </w:r>
      <w:r w:rsidR="000074E4">
        <w:t xml:space="preserve"> and</w:t>
      </w:r>
      <w:r w:rsidR="00FF12A0">
        <w:t xml:space="preserve"> </w:t>
      </w:r>
      <w:r w:rsidR="00325A4D">
        <w:t xml:space="preserve">have </w:t>
      </w:r>
      <w:r w:rsidR="00FF12A0">
        <w:t xml:space="preserve">focused on how </w:t>
      </w:r>
      <w:r w:rsidR="003F647F">
        <w:t>this</w:t>
      </w:r>
      <w:r w:rsidR="00E019F2">
        <w:t xml:space="preserve"> perceived </w:t>
      </w:r>
      <w:r w:rsidR="00FF12A0">
        <w:t>intimacy is influenced by how one views God</w:t>
      </w:r>
      <w:r w:rsidR="00607446">
        <w:t xml:space="preserve"> (</w:t>
      </w:r>
      <w:r w:rsidR="005B4E66">
        <w:t>Davis, Moriarty, &amp; Mauch, 2013</w:t>
      </w:r>
      <w:r w:rsidR="00FF12A0">
        <w:t>)</w:t>
      </w:r>
      <w:r w:rsidR="00C83522">
        <w:t>.</w:t>
      </w:r>
      <w:r w:rsidR="00FF12A0">
        <w:t xml:space="preserve">  </w:t>
      </w:r>
      <w:r w:rsidR="003F647F">
        <w:t xml:space="preserve">The perception of a personal relationship with </w:t>
      </w:r>
      <w:r w:rsidR="00325A4D">
        <w:t xml:space="preserve">God </w:t>
      </w:r>
      <w:r w:rsidR="00474BB7">
        <w:t xml:space="preserve">can </w:t>
      </w:r>
      <w:r w:rsidR="00FF12A0">
        <w:t>give purpose</w:t>
      </w:r>
      <w:r w:rsidR="00102F5D">
        <w:t xml:space="preserve"> to life</w:t>
      </w:r>
      <w:r w:rsidR="00FF12A0">
        <w:t xml:space="preserve"> and</w:t>
      </w:r>
      <w:r w:rsidR="00102F5D">
        <w:t xml:space="preserve"> </w:t>
      </w:r>
      <w:r w:rsidR="00C83522">
        <w:t>changes priorities in one’s life</w:t>
      </w:r>
      <w:r w:rsidR="00895F49">
        <w:t xml:space="preserve"> </w:t>
      </w:r>
      <w:r w:rsidR="00C83522">
        <w:t>(</w:t>
      </w:r>
      <w:r w:rsidR="00AD71E7">
        <w:t xml:space="preserve">Dollahite &amp; Marks, 2009; </w:t>
      </w:r>
      <w:r w:rsidR="00334A09">
        <w:t>Emmons, 2005</w:t>
      </w:r>
      <w:r w:rsidR="00FF12A0">
        <w:t>)</w:t>
      </w:r>
      <w:r w:rsidR="002C0015">
        <w:t>.  Such purpose</w:t>
      </w:r>
      <w:r w:rsidR="00C60167">
        <w:t>,</w:t>
      </w:r>
      <w:r w:rsidR="00FF12A0">
        <w:t xml:space="preserve"> in turn</w:t>
      </w:r>
      <w:r w:rsidR="00C60167">
        <w:t>,</w:t>
      </w:r>
      <w:r w:rsidR="00FF12A0">
        <w:t xml:space="preserve"> affects intimate relationships (Pollard, Riggs, &amp; Hook, 2014).</w:t>
      </w:r>
      <w:r w:rsidR="00925F5B" w:rsidRPr="00925F5B">
        <w:rPr>
          <w:b/>
        </w:rPr>
        <w:t xml:space="preserve"> </w:t>
      </w:r>
      <w:r w:rsidR="00C5705B" w:rsidRPr="000F4C14">
        <w:t xml:space="preserve">This </w:t>
      </w:r>
      <w:r w:rsidR="003F647F">
        <w:t>is consistent with</w:t>
      </w:r>
      <w:r w:rsidR="00C5705B" w:rsidRPr="000F4C14">
        <w:t xml:space="preserve"> the theoretical concept of spiritual modeling (Silberman, 2003)</w:t>
      </w:r>
      <w:r w:rsidR="003F647F">
        <w:t xml:space="preserve"> which draws on</w:t>
      </w:r>
      <w:r w:rsidR="00C5119F">
        <w:t xml:space="preserve"> </w:t>
      </w:r>
      <w:r w:rsidR="00265064">
        <w:t xml:space="preserve">Bandura’s </w:t>
      </w:r>
      <w:r w:rsidR="003F647F">
        <w:t xml:space="preserve">(2003) </w:t>
      </w:r>
      <w:r w:rsidR="00265064">
        <w:t xml:space="preserve">social learning theory </w:t>
      </w:r>
      <w:r w:rsidR="003F647F">
        <w:t xml:space="preserve">to suggest life meaning, marital intimacy, and well-being are enhanced when one perceives that a personal relationship with God is being manifested in one’s life. </w:t>
      </w:r>
    </w:p>
    <w:p w14:paraId="2CDE65BE" w14:textId="77777777" w:rsidR="00925F5B" w:rsidRDefault="002C0015" w:rsidP="00925F5B">
      <w:pPr>
        <w:rPr>
          <w:b/>
        </w:rPr>
      </w:pPr>
      <w:r w:rsidRPr="00925F5B">
        <w:t>Researchers have examined</w:t>
      </w:r>
      <w:r w:rsidR="00334A09" w:rsidRPr="00925F5B">
        <w:t xml:space="preserve"> how one’s intimate relationships (</w:t>
      </w:r>
      <w:r w:rsidR="00AD71E7" w:rsidRPr="00925F5B">
        <w:t>Ditzen, Hoppman, &amp; Klumb, 2008</w:t>
      </w:r>
      <w:r w:rsidR="00334A09" w:rsidRPr="00925F5B">
        <w:t xml:space="preserve">) </w:t>
      </w:r>
      <w:r w:rsidR="00C60167" w:rsidRPr="00925F5B">
        <w:t>and</w:t>
      </w:r>
      <w:r w:rsidR="00334A09" w:rsidRPr="00925F5B">
        <w:t xml:space="preserve"> spirituality </w:t>
      </w:r>
      <w:r w:rsidR="00AB3F17" w:rsidRPr="00925F5B">
        <w:t xml:space="preserve">(Morton, Lee, Haviland, &amp; Fraser, 2012) </w:t>
      </w:r>
      <w:r w:rsidR="00334A09" w:rsidRPr="00925F5B">
        <w:t>affect well-being</w:t>
      </w:r>
      <w:r w:rsidR="00C5119F">
        <w:t xml:space="preserve"> but no studies to date have </w:t>
      </w:r>
      <w:r w:rsidR="004E6B21" w:rsidRPr="00925F5B">
        <w:t xml:space="preserve">simultaneously </w:t>
      </w:r>
      <w:r w:rsidR="00982AA7" w:rsidRPr="00925F5B">
        <w:t>examine</w:t>
      </w:r>
      <w:r w:rsidR="00C5119F">
        <w:t>d</w:t>
      </w:r>
      <w:r w:rsidR="00982AA7" w:rsidRPr="00925F5B">
        <w:t xml:space="preserve"> </w:t>
      </w:r>
      <w:r w:rsidR="00231660" w:rsidRPr="00925F5B">
        <w:t>the link</w:t>
      </w:r>
      <w:r w:rsidR="004E6B21" w:rsidRPr="00925F5B">
        <w:t>s</w:t>
      </w:r>
      <w:r w:rsidR="00231660" w:rsidRPr="00925F5B">
        <w:t xml:space="preserve"> </w:t>
      </w:r>
      <w:r w:rsidR="004E6B21" w:rsidRPr="00925F5B">
        <w:t>among</w:t>
      </w:r>
      <w:r w:rsidR="00231660" w:rsidRPr="00925F5B">
        <w:t xml:space="preserve"> spiritual intimacy, </w:t>
      </w:r>
      <w:r w:rsidR="004B55E3">
        <w:t>marital</w:t>
      </w:r>
      <w:r w:rsidR="004B55E3" w:rsidRPr="00925F5B">
        <w:t xml:space="preserve"> </w:t>
      </w:r>
      <w:r w:rsidR="00231660" w:rsidRPr="00925F5B">
        <w:t xml:space="preserve">intimacy, </w:t>
      </w:r>
      <w:r w:rsidR="00E57A47">
        <w:t xml:space="preserve">spiritual meaning, </w:t>
      </w:r>
      <w:r w:rsidR="00231660" w:rsidRPr="00925F5B">
        <w:t xml:space="preserve">and well-being, </w:t>
      </w:r>
      <w:r w:rsidR="00C5119F">
        <w:t xml:space="preserve">although </w:t>
      </w:r>
      <w:r w:rsidR="004A1E47">
        <w:t xml:space="preserve">common elements suggest how they may be related. </w:t>
      </w:r>
    </w:p>
    <w:p w14:paraId="6AF1EDD5" w14:textId="77777777" w:rsidR="00EA3EE7" w:rsidRPr="00925F5B" w:rsidRDefault="00EA3EE7" w:rsidP="00BC00B1">
      <w:pPr>
        <w:pStyle w:val="APALevel2"/>
      </w:pPr>
      <w:r w:rsidRPr="00925F5B">
        <w:t>Definitions</w:t>
      </w:r>
    </w:p>
    <w:p w14:paraId="5E3DECFA" w14:textId="767E89B6" w:rsidR="00EA3EE7" w:rsidRPr="00083690" w:rsidRDefault="00EA3EE7" w:rsidP="000F5404">
      <w:r w:rsidRPr="00E019F2">
        <w:t>For</w:t>
      </w:r>
      <w:r>
        <w:t xml:space="preserve"> th</w:t>
      </w:r>
      <w:r w:rsidR="00B0595C">
        <w:t>is</w:t>
      </w:r>
      <w:r>
        <w:t xml:space="preserve"> study</w:t>
      </w:r>
      <w:r w:rsidR="00083690">
        <w:t>,</w:t>
      </w:r>
      <w:r>
        <w:t xml:space="preserve"> </w:t>
      </w:r>
      <w:r w:rsidR="00081943" w:rsidRPr="00081943">
        <w:rPr>
          <w:i/>
        </w:rPr>
        <w:t>intimacy</w:t>
      </w:r>
      <w:r w:rsidR="00081943" w:rsidRPr="00190B77">
        <w:t xml:space="preserve"> is</w:t>
      </w:r>
      <w:r w:rsidR="00FF25C1">
        <w:t xml:space="preserve"> defined </w:t>
      </w:r>
      <w:r w:rsidR="00081943">
        <w:t>as</w:t>
      </w:r>
      <w:r w:rsidRPr="00E019F2">
        <w:t xml:space="preserve"> </w:t>
      </w:r>
      <w:r w:rsidR="00C902BF">
        <w:rPr>
          <w:color w:val="000026"/>
        </w:rPr>
        <w:t>“</w:t>
      </w:r>
      <w:r w:rsidR="00E019F2" w:rsidRPr="00081943">
        <w:rPr>
          <w:color w:val="000026"/>
        </w:rPr>
        <w:t>feeling understood, validated, cared for, and closely connected with another person [or with God]</w:t>
      </w:r>
      <w:r w:rsidR="00C902BF">
        <w:rPr>
          <w:color w:val="000026"/>
        </w:rPr>
        <w:t>”</w:t>
      </w:r>
      <w:r w:rsidR="00083690">
        <w:rPr>
          <w:color w:val="000026"/>
        </w:rPr>
        <w:t xml:space="preserve"> </w:t>
      </w:r>
      <w:r w:rsidR="00083690" w:rsidRPr="00191EE7">
        <w:t>(</w:t>
      </w:r>
      <w:r w:rsidR="00081943" w:rsidRPr="00191EE7">
        <w:t xml:space="preserve">Reis &amp; Shaver, </w:t>
      </w:r>
      <w:r w:rsidR="00083690" w:rsidRPr="00191EE7">
        <w:t>1988, p. 385).</w:t>
      </w:r>
      <w:r w:rsidR="00083690">
        <w:t xml:space="preserve"> </w:t>
      </w:r>
      <w:r w:rsidR="00E019F2" w:rsidRPr="00083690">
        <w:rPr>
          <w:color w:val="000026"/>
        </w:rPr>
        <w:t xml:space="preserve"> </w:t>
      </w:r>
      <w:r w:rsidR="00D42B34" w:rsidRPr="00083690">
        <w:rPr>
          <w:color w:val="000026"/>
        </w:rPr>
        <w:t>Specifically</w:t>
      </w:r>
      <w:r w:rsidR="00D42B34" w:rsidRPr="00D42B34">
        <w:rPr>
          <w:color w:val="000026"/>
        </w:rPr>
        <w:t xml:space="preserve">, </w:t>
      </w:r>
      <w:r w:rsidR="00D42B34" w:rsidRPr="00083690">
        <w:rPr>
          <w:color w:val="000026"/>
        </w:rPr>
        <w:t xml:space="preserve">this study </w:t>
      </w:r>
      <w:r w:rsidR="00D42B34">
        <w:rPr>
          <w:color w:val="000026"/>
        </w:rPr>
        <w:t>examines</w:t>
      </w:r>
      <w:r w:rsidR="00D42B34" w:rsidRPr="00083690">
        <w:rPr>
          <w:color w:val="000026"/>
        </w:rPr>
        <w:t xml:space="preserve"> </w:t>
      </w:r>
      <w:r w:rsidR="00E019F2" w:rsidRPr="00083690">
        <w:rPr>
          <w:color w:val="000026"/>
        </w:rPr>
        <w:t>respondents' intimacy in their relationship</w:t>
      </w:r>
      <w:r w:rsidR="004A1E47">
        <w:rPr>
          <w:color w:val="000026"/>
        </w:rPr>
        <w:t>s</w:t>
      </w:r>
      <w:r w:rsidR="00E019F2" w:rsidRPr="00083690">
        <w:rPr>
          <w:color w:val="000026"/>
        </w:rPr>
        <w:t xml:space="preserve"> with their spouse</w:t>
      </w:r>
      <w:r w:rsidR="004A1E47">
        <w:rPr>
          <w:color w:val="000026"/>
        </w:rPr>
        <w:t>s</w:t>
      </w:r>
      <w:r w:rsidR="00E019F2" w:rsidRPr="00083690">
        <w:rPr>
          <w:color w:val="000026"/>
        </w:rPr>
        <w:t xml:space="preserve"> (marital intimacy) and in </w:t>
      </w:r>
      <w:r w:rsidR="00D42B34" w:rsidRPr="00083690">
        <w:rPr>
          <w:color w:val="000026"/>
        </w:rPr>
        <w:t xml:space="preserve">their </w:t>
      </w:r>
      <w:r w:rsidR="00E019F2" w:rsidRPr="00083690">
        <w:rPr>
          <w:color w:val="000026"/>
        </w:rPr>
        <w:t>perceived relationship</w:t>
      </w:r>
      <w:r w:rsidR="004A1E47">
        <w:rPr>
          <w:color w:val="000026"/>
        </w:rPr>
        <w:t>s</w:t>
      </w:r>
      <w:r w:rsidR="00E019F2" w:rsidRPr="00083690">
        <w:rPr>
          <w:color w:val="000026"/>
        </w:rPr>
        <w:t xml:space="preserve"> to God (spiritual intimacy).</w:t>
      </w:r>
      <w:r w:rsidR="00E019F2">
        <w:rPr>
          <w:rFonts w:ascii="Verdana" w:hAnsi="Verdana" w:cs="Verdana"/>
          <w:color w:val="000026"/>
        </w:rPr>
        <w:t xml:space="preserve"> </w:t>
      </w:r>
      <w:r w:rsidRPr="0090495B">
        <w:rPr>
          <w:i/>
        </w:rPr>
        <w:t>Well-being</w:t>
      </w:r>
      <w:r w:rsidR="00624F25">
        <w:t xml:space="preserve"> </w:t>
      </w:r>
      <w:r w:rsidR="00FF25C1">
        <w:t>is</w:t>
      </w:r>
      <w:r w:rsidR="00624F25">
        <w:t xml:space="preserve"> defined</w:t>
      </w:r>
      <w:r w:rsidR="00D42B34">
        <w:t xml:space="preserve"> as</w:t>
      </w:r>
      <w:r w:rsidR="00624F25">
        <w:t xml:space="preserve"> </w:t>
      </w:r>
      <w:r w:rsidR="00C902BF">
        <w:rPr>
          <w:color w:val="000026"/>
        </w:rPr>
        <w:t>“</w:t>
      </w:r>
      <w:r w:rsidR="00D42B34" w:rsidRPr="00083690">
        <w:rPr>
          <w:color w:val="000026"/>
        </w:rPr>
        <w:t>a state of optimal regulation and adaptive functioning of body, mind, and relationships</w:t>
      </w:r>
      <w:r w:rsidR="00C902BF">
        <w:rPr>
          <w:color w:val="000026"/>
        </w:rPr>
        <w:t>”</w:t>
      </w:r>
      <w:r w:rsidR="00D42B34" w:rsidRPr="00083690">
        <w:rPr>
          <w:color w:val="000026"/>
        </w:rPr>
        <w:t xml:space="preserve"> </w:t>
      </w:r>
      <w:r w:rsidR="00D42B34" w:rsidRPr="00BC29C1">
        <w:rPr>
          <w:color w:val="000026"/>
        </w:rPr>
        <w:t>(Siegel, 2012, p. 459</w:t>
      </w:r>
      <w:r w:rsidR="00D42B34" w:rsidRPr="00191EE7">
        <w:rPr>
          <w:color w:val="000026"/>
        </w:rPr>
        <w:t>).</w:t>
      </w:r>
      <w:r w:rsidR="00D42B34" w:rsidRPr="00083690">
        <w:rPr>
          <w:color w:val="000026"/>
        </w:rPr>
        <w:t xml:space="preserve"> </w:t>
      </w:r>
      <w:r w:rsidR="00D42B34">
        <w:rPr>
          <w:color w:val="000026"/>
        </w:rPr>
        <w:t xml:space="preserve">For this study the </w:t>
      </w:r>
      <w:r w:rsidR="00D42B34" w:rsidRPr="00083690">
        <w:rPr>
          <w:color w:val="000026"/>
        </w:rPr>
        <w:t xml:space="preserve">measurement of well-being is focused on measuring respondents' physical well-being (e.g., </w:t>
      </w:r>
      <w:r w:rsidR="00081943" w:rsidRPr="00081943">
        <w:rPr>
          <w:color w:val="000026"/>
        </w:rPr>
        <w:t>difficulty in doing work or activities because of physical health</w:t>
      </w:r>
      <w:r w:rsidR="00081943">
        <w:rPr>
          <w:color w:val="000026"/>
        </w:rPr>
        <w:t>)</w:t>
      </w:r>
      <w:r w:rsidR="00081943" w:rsidRPr="00081943">
        <w:rPr>
          <w:color w:val="000026"/>
        </w:rPr>
        <w:t xml:space="preserve">, </w:t>
      </w:r>
      <w:r w:rsidR="00C902BF">
        <w:rPr>
          <w:color w:val="000026"/>
        </w:rPr>
        <w:t>psychological</w:t>
      </w:r>
      <w:r w:rsidR="00C902BF" w:rsidRPr="00083690">
        <w:rPr>
          <w:color w:val="000026"/>
        </w:rPr>
        <w:t xml:space="preserve"> </w:t>
      </w:r>
      <w:r w:rsidR="00D42B34" w:rsidRPr="00083690">
        <w:rPr>
          <w:color w:val="000026"/>
        </w:rPr>
        <w:t xml:space="preserve">well-being (e.g., </w:t>
      </w:r>
      <w:r w:rsidR="00083690" w:rsidRPr="00081943">
        <w:rPr>
          <w:color w:val="000026"/>
        </w:rPr>
        <w:t>unable to get work done because of emotional problems)</w:t>
      </w:r>
      <w:r w:rsidR="00D42B34" w:rsidRPr="00081943">
        <w:rPr>
          <w:color w:val="000026"/>
        </w:rPr>
        <w:t>,</w:t>
      </w:r>
      <w:r w:rsidR="00083690" w:rsidRPr="00081943">
        <w:rPr>
          <w:color w:val="000026"/>
        </w:rPr>
        <w:t xml:space="preserve"> and</w:t>
      </w:r>
      <w:r w:rsidR="00D42B34" w:rsidRPr="00081943">
        <w:rPr>
          <w:color w:val="000026"/>
        </w:rPr>
        <w:t xml:space="preserve"> life satisfaction, </w:t>
      </w:r>
      <w:r w:rsidR="00D42B34" w:rsidRPr="00083690">
        <w:rPr>
          <w:color w:val="000026"/>
        </w:rPr>
        <w:t xml:space="preserve">given that </w:t>
      </w:r>
      <w:r w:rsidR="00083690" w:rsidRPr="00083690">
        <w:rPr>
          <w:color w:val="000026"/>
        </w:rPr>
        <w:t>the</w:t>
      </w:r>
      <w:r w:rsidR="00D42B34" w:rsidRPr="00083690">
        <w:rPr>
          <w:color w:val="000026"/>
        </w:rPr>
        <w:t xml:space="preserve"> other constructs are focused on relational well-being (e.g., marital intimacy, spiritual intimacy)</w:t>
      </w:r>
      <w:r w:rsidR="00D42B34" w:rsidRPr="00FA4562">
        <w:rPr>
          <w:color w:val="000026"/>
        </w:rPr>
        <w:t>.</w:t>
      </w:r>
      <w:r w:rsidR="00FA4562">
        <w:rPr>
          <w:color w:val="000026"/>
        </w:rPr>
        <w:t xml:space="preserve">  Mascaro, Rosen</w:t>
      </w:r>
      <w:r w:rsidR="00750BC9">
        <w:rPr>
          <w:color w:val="000026"/>
        </w:rPr>
        <w:t>,</w:t>
      </w:r>
      <w:r w:rsidR="00FA4562">
        <w:rPr>
          <w:color w:val="000026"/>
        </w:rPr>
        <w:t xml:space="preserve"> and Morey (2004, p. 845) define</w:t>
      </w:r>
      <w:r w:rsidR="00D42B34" w:rsidRPr="00DC1EAA">
        <w:rPr>
          <w:color w:val="000026"/>
        </w:rPr>
        <w:t xml:space="preserve"> </w:t>
      </w:r>
      <w:r w:rsidR="00DB3ED7">
        <w:rPr>
          <w:i/>
          <w:color w:val="000026"/>
        </w:rPr>
        <w:t>s</w:t>
      </w:r>
      <w:r w:rsidR="00083690" w:rsidRPr="00FA4562">
        <w:rPr>
          <w:i/>
          <w:color w:val="000026"/>
        </w:rPr>
        <w:t>p</w:t>
      </w:r>
      <w:r w:rsidR="00083690" w:rsidRPr="00081943">
        <w:rPr>
          <w:i/>
          <w:color w:val="000026"/>
        </w:rPr>
        <w:t xml:space="preserve">iritual </w:t>
      </w:r>
      <w:r w:rsidR="00081943" w:rsidRPr="00081943">
        <w:rPr>
          <w:i/>
          <w:color w:val="000026"/>
        </w:rPr>
        <w:t>m</w:t>
      </w:r>
      <w:r w:rsidR="00083690" w:rsidRPr="00081943">
        <w:rPr>
          <w:i/>
          <w:color w:val="000026"/>
        </w:rPr>
        <w:t>eaning</w:t>
      </w:r>
      <w:r w:rsidR="00083690" w:rsidRPr="00083690">
        <w:rPr>
          <w:color w:val="000026"/>
        </w:rPr>
        <w:t xml:space="preserve"> as </w:t>
      </w:r>
      <w:r w:rsidR="00C902BF">
        <w:rPr>
          <w:color w:val="000026"/>
        </w:rPr>
        <w:t>“</w:t>
      </w:r>
      <w:r w:rsidR="00083690" w:rsidRPr="00083690">
        <w:rPr>
          <w:color w:val="000026"/>
        </w:rPr>
        <w:t>the extent to which an individual believes that life or some force of which life is a function has a purpose, will, or way in which individuals participate</w:t>
      </w:r>
      <w:r w:rsidR="00083690" w:rsidRPr="00AB3F17">
        <w:rPr>
          <w:color w:val="000026"/>
        </w:rPr>
        <w:t>.</w:t>
      </w:r>
      <w:r w:rsidR="00DB3ED7">
        <w:rPr>
          <w:color w:val="000026"/>
        </w:rPr>
        <w:t>”</w:t>
      </w:r>
    </w:p>
    <w:p w14:paraId="08B9228B" w14:textId="77777777" w:rsidR="000021FA" w:rsidRPr="00083690" w:rsidRDefault="004B55E3" w:rsidP="00083690">
      <w:pPr>
        <w:ind w:firstLine="0"/>
        <w:rPr>
          <w:b/>
        </w:rPr>
      </w:pPr>
      <w:r w:rsidRPr="00083690">
        <w:rPr>
          <w:b/>
        </w:rPr>
        <w:t xml:space="preserve">Marital </w:t>
      </w:r>
      <w:r w:rsidR="000021FA" w:rsidRPr="00083690">
        <w:rPr>
          <w:b/>
        </w:rPr>
        <w:t>Intimacy</w:t>
      </w:r>
    </w:p>
    <w:p w14:paraId="416EDB4E" w14:textId="05AA4FCF" w:rsidR="00A0214A" w:rsidRDefault="00872F94" w:rsidP="00916291">
      <w:pPr>
        <w:pStyle w:val="SPHParagraph"/>
      </w:pPr>
      <w:r w:rsidRPr="00545220">
        <w:t>Intimacy within relationships is multi-faceted and depend</w:t>
      </w:r>
      <w:r w:rsidR="00CF3B79">
        <w:t>s</w:t>
      </w:r>
      <w:r w:rsidRPr="00545220">
        <w:t xml:space="preserve"> on </w:t>
      </w:r>
      <w:r w:rsidR="00CE1196">
        <w:t>several</w:t>
      </w:r>
      <w:r w:rsidR="00CE1196" w:rsidRPr="00545220">
        <w:t xml:space="preserve"> </w:t>
      </w:r>
      <w:r w:rsidRPr="00545220">
        <w:t>factors</w:t>
      </w:r>
      <w:r w:rsidR="00E80026">
        <w:t xml:space="preserve">. Strongly associated with the level of intimacy is </w:t>
      </w:r>
      <w:r w:rsidR="00B0595C">
        <w:t>one’s perception of</w:t>
      </w:r>
      <w:r w:rsidRPr="00545220">
        <w:t xml:space="preserve"> </w:t>
      </w:r>
      <w:r w:rsidR="005730C0">
        <w:t xml:space="preserve">the intimate relationship </w:t>
      </w:r>
      <w:r w:rsidR="00B0595C">
        <w:t>and the</w:t>
      </w:r>
      <w:r w:rsidR="005730C0">
        <w:t xml:space="preserve"> </w:t>
      </w:r>
      <w:r w:rsidR="005730C0" w:rsidRPr="00E80026">
        <w:t>nuances of communication</w:t>
      </w:r>
      <w:r w:rsidR="00E80026">
        <w:t xml:space="preserve"> between </w:t>
      </w:r>
      <w:r w:rsidR="00A560E1">
        <w:t xml:space="preserve">relationship </w:t>
      </w:r>
      <w:r w:rsidR="00E80026">
        <w:t>partners</w:t>
      </w:r>
      <w:r w:rsidR="005730C0" w:rsidRPr="00E80026">
        <w:t>.</w:t>
      </w:r>
      <w:r w:rsidR="006E5344">
        <w:t xml:space="preserve"> </w:t>
      </w:r>
    </w:p>
    <w:p w14:paraId="54E00AA3" w14:textId="77777777" w:rsidR="003F0085" w:rsidRDefault="005730C0" w:rsidP="00770C4A">
      <w:pPr>
        <w:pStyle w:val="SPHParagraph"/>
      </w:pPr>
      <w:r>
        <w:rPr>
          <w:b/>
        </w:rPr>
        <w:t>Perceptual factors of intimacy</w:t>
      </w:r>
      <w:r w:rsidR="00CC132A" w:rsidRPr="00E373C4">
        <w:rPr>
          <w:b/>
        </w:rPr>
        <w:t>.</w:t>
      </w:r>
      <w:r w:rsidR="00CC132A">
        <w:t xml:space="preserve">  </w:t>
      </w:r>
      <w:r w:rsidR="00BD4111">
        <w:t xml:space="preserve"> </w:t>
      </w:r>
      <w:r w:rsidR="001A1326">
        <w:t>Feeling safe</w:t>
      </w:r>
      <w:r w:rsidR="00B0595C">
        <w:t xml:space="preserve"> </w:t>
      </w:r>
      <w:r w:rsidR="00C11CBA">
        <w:t xml:space="preserve">when expressing vulnerability </w:t>
      </w:r>
      <w:r w:rsidR="001A1326">
        <w:t>(</w:t>
      </w:r>
      <w:r w:rsidR="001A1326" w:rsidRPr="000C3F8D">
        <w:t xml:space="preserve">Cordova </w:t>
      </w:r>
      <w:r w:rsidR="00610752">
        <w:t>&amp;</w:t>
      </w:r>
      <w:r w:rsidR="001A1326" w:rsidRPr="000C3F8D">
        <w:t xml:space="preserve"> Scott</w:t>
      </w:r>
      <w:r w:rsidR="001A1326">
        <w:t>, 2001</w:t>
      </w:r>
      <w:r w:rsidR="004975DB">
        <w:t xml:space="preserve">) </w:t>
      </w:r>
      <w:r w:rsidR="00AD4BB4">
        <w:t>and</w:t>
      </w:r>
      <w:r w:rsidR="004975DB">
        <w:t xml:space="preserve"> </w:t>
      </w:r>
      <w:r w:rsidR="006017C1">
        <w:t xml:space="preserve">during times of conflict </w:t>
      </w:r>
      <w:r w:rsidR="001A1326">
        <w:t xml:space="preserve">(Dorian </w:t>
      </w:r>
      <w:r w:rsidR="00610752">
        <w:t xml:space="preserve">&amp; </w:t>
      </w:r>
      <w:r w:rsidR="001A1326">
        <w:t>Cordova, 2004)</w:t>
      </w:r>
      <w:r w:rsidR="00AD4BB4">
        <w:t xml:space="preserve"> are important components of intimacy</w:t>
      </w:r>
      <w:r w:rsidR="006017C1">
        <w:t xml:space="preserve">. </w:t>
      </w:r>
      <w:r w:rsidR="00D9010C">
        <w:t xml:space="preserve"> </w:t>
      </w:r>
      <w:r w:rsidR="001A1326">
        <w:t>Partner responsiveness i</w:t>
      </w:r>
      <w:r w:rsidR="00E16430">
        <w:t xml:space="preserve">s </w:t>
      </w:r>
      <w:r w:rsidR="00B0595C">
        <w:t xml:space="preserve">important to feeling safe </w:t>
      </w:r>
      <w:r w:rsidR="001A1326">
        <w:t>(Laurenceau, Barrett, &amp; Pietromonaco, 1998</w:t>
      </w:r>
      <w:r w:rsidR="004975DB">
        <w:t>)</w:t>
      </w:r>
      <w:r w:rsidR="00F90B51">
        <w:t xml:space="preserve"> </w:t>
      </w:r>
      <w:r w:rsidR="00A94B96">
        <w:t xml:space="preserve">and </w:t>
      </w:r>
      <w:r w:rsidR="00A41087">
        <w:t xml:space="preserve">is </w:t>
      </w:r>
      <w:r w:rsidR="00C11CBA">
        <w:t xml:space="preserve">related to greater openness and emotional risk-taking especially when outcomes are unpredictable or potentially undesirable </w:t>
      </w:r>
      <w:r w:rsidR="001A1326">
        <w:t xml:space="preserve">(Carter </w:t>
      </w:r>
      <w:r w:rsidR="004975DB">
        <w:t>&amp;</w:t>
      </w:r>
      <w:r w:rsidR="001A1326">
        <w:t xml:space="preserve"> Carter, 2010)</w:t>
      </w:r>
      <w:r w:rsidR="004975DB">
        <w:t>.</w:t>
      </w:r>
    </w:p>
    <w:p w14:paraId="3204FE1C" w14:textId="77777777" w:rsidR="00B241D5" w:rsidRDefault="00813526" w:rsidP="000D3E87">
      <w:r>
        <w:t xml:space="preserve">Commitment and faithfulness are </w:t>
      </w:r>
      <w:r w:rsidR="00F90B51">
        <w:t xml:space="preserve">also </w:t>
      </w:r>
      <w:r>
        <w:t>key factors</w:t>
      </w:r>
      <w:r w:rsidR="001470A0">
        <w:t xml:space="preserve"> </w:t>
      </w:r>
      <w:r w:rsidR="00B241D5">
        <w:t xml:space="preserve">for </w:t>
      </w:r>
      <w:r w:rsidR="007169E8">
        <w:t>feeling safe in a relationship</w:t>
      </w:r>
      <w:r w:rsidR="003F0085">
        <w:t>.</w:t>
      </w:r>
      <w:r w:rsidR="00CB0B29">
        <w:t xml:space="preserve"> </w:t>
      </w:r>
      <w:r w:rsidR="008229F5">
        <w:t>C</w:t>
      </w:r>
      <w:r w:rsidR="00CB2793">
        <w:t xml:space="preserve">ommitment and its resulting feelings of safety </w:t>
      </w:r>
      <w:r w:rsidR="00EE5607">
        <w:t xml:space="preserve">are </w:t>
      </w:r>
      <w:r w:rsidR="00CB2793">
        <w:t>the most powerful and consistent predictor</w:t>
      </w:r>
      <w:r w:rsidR="00F90B51">
        <w:t>s</w:t>
      </w:r>
      <w:r w:rsidR="00CB2793">
        <w:t xml:space="preserve"> of marital satisfaction</w:t>
      </w:r>
      <w:r w:rsidR="001A1326">
        <w:t xml:space="preserve"> (Acker </w:t>
      </w:r>
      <w:r w:rsidR="00610752">
        <w:t xml:space="preserve">&amp; </w:t>
      </w:r>
      <w:r w:rsidR="001A1326">
        <w:t xml:space="preserve">Davis, </w:t>
      </w:r>
      <w:r w:rsidR="001A1326" w:rsidRPr="00E12BC5">
        <w:t>1992</w:t>
      </w:r>
      <w:r w:rsidR="008927F8">
        <w:t xml:space="preserve">). </w:t>
      </w:r>
      <w:r w:rsidR="00F87FCF">
        <w:t xml:space="preserve"> </w:t>
      </w:r>
      <w:r w:rsidR="008927F8">
        <w:t>T</w:t>
      </w:r>
      <w:r w:rsidR="00F87FCF">
        <w:t xml:space="preserve">he strength of commitment to a romantic relationship </w:t>
      </w:r>
      <w:r w:rsidR="008927F8">
        <w:t>i</w:t>
      </w:r>
      <w:r w:rsidR="00F87FCF">
        <w:t xml:space="preserve">s </w:t>
      </w:r>
      <w:r w:rsidR="00F90B51">
        <w:t xml:space="preserve">also </w:t>
      </w:r>
      <w:r w:rsidR="00F87FCF">
        <w:t>associated with feelings of satisfaction</w:t>
      </w:r>
      <w:r w:rsidR="008927F8">
        <w:t xml:space="preserve"> (Impett, Beals, &amp;</w:t>
      </w:r>
      <w:r w:rsidR="0042784A">
        <w:t xml:space="preserve"> </w:t>
      </w:r>
      <w:r w:rsidR="008927F8">
        <w:t>Peplau, 2002)</w:t>
      </w:r>
      <w:r w:rsidR="00F87FCF">
        <w:t xml:space="preserve">. </w:t>
      </w:r>
    </w:p>
    <w:p w14:paraId="04954B6C" w14:textId="77777777" w:rsidR="005730C0" w:rsidRPr="000D3E87" w:rsidRDefault="005730C0" w:rsidP="00AE1BF7">
      <w:pPr>
        <w:rPr>
          <w:vanish/>
          <w:specVanish/>
        </w:rPr>
      </w:pPr>
      <w:r w:rsidRPr="00AE1BF7">
        <w:rPr>
          <w:b/>
        </w:rPr>
        <w:t>Communication</w:t>
      </w:r>
      <w:r w:rsidRPr="000D3E87">
        <w:t>.</w:t>
      </w:r>
      <w:r w:rsidRPr="00E75F65">
        <w:t xml:space="preserve"> </w:t>
      </w:r>
    </w:p>
    <w:p w14:paraId="6E7B1A24" w14:textId="77777777" w:rsidR="005730C0" w:rsidRDefault="005730C0" w:rsidP="00DB1A42">
      <w:pPr>
        <w:pStyle w:val="SPHParagraph"/>
      </w:pPr>
      <w:r>
        <w:t xml:space="preserve"> Communication is a vital factor in determining the tenor </w:t>
      </w:r>
      <w:r w:rsidR="00AD7DD3">
        <w:t xml:space="preserve">and perceived closeness </w:t>
      </w:r>
      <w:r>
        <w:t>of intimate relationships</w:t>
      </w:r>
      <w:r w:rsidR="008229F5">
        <w:t>.</w:t>
      </w:r>
      <w:r w:rsidR="00BD4C0A">
        <w:t xml:space="preserve">  </w:t>
      </w:r>
      <w:r>
        <w:t>Confiding in one’s spouse is positively associated with intimacy and relationship satisfaction (Lee, 1988)</w:t>
      </w:r>
      <w:r w:rsidR="008229F5">
        <w:t>.</w:t>
      </w:r>
      <w:r w:rsidR="00AD7DD3">
        <w:t xml:space="preserve"> </w:t>
      </w:r>
      <w:r w:rsidR="008229F5">
        <w:t>C</w:t>
      </w:r>
      <w:r>
        <w:t>ommunicating personal positive events increases relationship well-being</w:t>
      </w:r>
      <w:r w:rsidR="00AD7DD3">
        <w:t xml:space="preserve">, </w:t>
      </w:r>
      <w:r>
        <w:t xml:space="preserve">perceived intimacy </w:t>
      </w:r>
      <w:r w:rsidR="007964AD">
        <w:t>(</w:t>
      </w:r>
      <w:r>
        <w:t>Gable et al.</w:t>
      </w:r>
      <w:r w:rsidR="007964AD">
        <w:t>,</w:t>
      </w:r>
      <w:r>
        <w:t xml:space="preserve"> 2006)</w:t>
      </w:r>
      <w:r w:rsidR="00AD7DD3">
        <w:t xml:space="preserve">, and a sense of trust </w:t>
      </w:r>
      <w:r>
        <w:t xml:space="preserve">(Gable, Reis, Impett, &amp; Asher, 2004). </w:t>
      </w:r>
    </w:p>
    <w:p w14:paraId="03A6C1DB" w14:textId="77777777" w:rsidR="00BD4111" w:rsidRDefault="00C75B2C" w:rsidP="000D3E87">
      <w:pPr>
        <w:pStyle w:val="APALevel2"/>
      </w:pPr>
      <w:r>
        <w:t xml:space="preserve">Spiritual </w:t>
      </w:r>
      <w:r w:rsidR="00BD4111">
        <w:t>I</w:t>
      </w:r>
      <w:r w:rsidR="00243BA3" w:rsidRPr="00243BA3">
        <w:t>ntimacy</w:t>
      </w:r>
    </w:p>
    <w:p w14:paraId="2F679BE4" w14:textId="77777777" w:rsidR="00614E72" w:rsidRPr="00C75B2C" w:rsidRDefault="001170DC" w:rsidP="000D3E87">
      <w:pPr>
        <w:rPr>
          <w:b/>
        </w:rPr>
      </w:pPr>
      <w:r>
        <w:t>For the Christian, t</w:t>
      </w:r>
      <w:r w:rsidR="00CE2050">
        <w:t>he</w:t>
      </w:r>
      <w:r w:rsidR="009F7599">
        <w:t xml:space="preserve"> idea of intimate oneness is </w:t>
      </w:r>
      <w:r w:rsidR="00AD7DD3">
        <w:t>a key aspect</w:t>
      </w:r>
      <w:r w:rsidR="009F7599">
        <w:t xml:space="preserve"> of spirituality because it </w:t>
      </w:r>
      <w:r w:rsidR="00FB43CE">
        <w:t xml:space="preserve">characterizes the </w:t>
      </w:r>
      <w:r w:rsidR="00F21584">
        <w:t xml:space="preserve">perceived </w:t>
      </w:r>
      <w:r w:rsidR="00FB43CE">
        <w:t xml:space="preserve">relationship </w:t>
      </w:r>
      <w:r w:rsidR="00E019F2">
        <w:t xml:space="preserve">to </w:t>
      </w:r>
      <w:r w:rsidR="009F7599">
        <w:t xml:space="preserve">God as stated in Acts 17:28, “In Him we live, and move, and have our being” (New International Version).  Yet, the concept of spiritual intimacy remains </w:t>
      </w:r>
      <w:r w:rsidR="00AD7DD3">
        <w:t xml:space="preserve">somewhat </w:t>
      </w:r>
      <w:r w:rsidR="00AD4BB4">
        <w:t>ambiguous</w:t>
      </w:r>
      <w:r>
        <w:t xml:space="preserve">.  </w:t>
      </w:r>
      <w:r w:rsidR="008258C5">
        <w:t xml:space="preserve">Several broad themes emerge </w:t>
      </w:r>
      <w:r w:rsidR="004A1E47">
        <w:t>from</w:t>
      </w:r>
      <w:r w:rsidR="008258C5">
        <w:t xml:space="preserve"> </w:t>
      </w:r>
      <w:r w:rsidR="00FB43CE">
        <w:t xml:space="preserve">the </w:t>
      </w:r>
      <w:r w:rsidR="00AD7DD3">
        <w:t>extant</w:t>
      </w:r>
      <w:r w:rsidR="008258C5">
        <w:t xml:space="preserve"> literature</w:t>
      </w:r>
      <w:r w:rsidR="00CE2050">
        <w:t>: how one views God</w:t>
      </w:r>
      <w:r w:rsidR="004F44E8">
        <w:t>,</w:t>
      </w:r>
      <w:r w:rsidR="00CE2050">
        <w:t xml:space="preserve"> the prayer/communication relationship with God</w:t>
      </w:r>
      <w:r w:rsidR="004F44E8">
        <w:t>,</w:t>
      </w:r>
      <w:r w:rsidR="006017C1">
        <w:t xml:space="preserve"> </w:t>
      </w:r>
      <w:r w:rsidR="0036426D">
        <w:t xml:space="preserve">and </w:t>
      </w:r>
      <w:r w:rsidR="006017C1">
        <w:t xml:space="preserve">the purpose and priority of </w:t>
      </w:r>
      <w:r w:rsidR="00AD7DD3">
        <w:t>having</w:t>
      </w:r>
      <w:r w:rsidR="0036426D">
        <w:t xml:space="preserve"> </w:t>
      </w:r>
      <w:r w:rsidR="00F21584">
        <w:t xml:space="preserve">a perceived </w:t>
      </w:r>
      <w:r w:rsidR="0036426D">
        <w:t xml:space="preserve">intimate relationship with God </w:t>
      </w:r>
      <w:r w:rsidR="00AD7DD3">
        <w:t xml:space="preserve">that adds </w:t>
      </w:r>
      <w:r w:rsidR="0036426D">
        <w:t>meaning to life</w:t>
      </w:r>
      <w:r w:rsidR="008258C5">
        <w:t xml:space="preserve">.  </w:t>
      </w:r>
    </w:p>
    <w:p w14:paraId="34D44F8C" w14:textId="77777777" w:rsidR="002436D0" w:rsidRDefault="006240F1" w:rsidP="002436D0">
      <w:r w:rsidRPr="00A23ECC">
        <w:rPr>
          <w:b/>
        </w:rPr>
        <w:t>Perceptual view</w:t>
      </w:r>
      <w:r w:rsidR="00F47494" w:rsidRPr="00A23ECC">
        <w:rPr>
          <w:b/>
        </w:rPr>
        <w:t>s and experiences</w:t>
      </w:r>
      <w:r w:rsidRPr="00A23ECC">
        <w:rPr>
          <w:b/>
        </w:rPr>
        <w:t xml:space="preserve"> </w:t>
      </w:r>
      <w:r w:rsidR="00DD07B3" w:rsidRPr="00A23ECC">
        <w:rPr>
          <w:b/>
        </w:rPr>
        <w:t>of God</w:t>
      </w:r>
      <w:r w:rsidR="00DD07B3" w:rsidRPr="00614E72">
        <w:rPr>
          <w:b/>
        </w:rPr>
        <w:t>.</w:t>
      </w:r>
      <w:r w:rsidR="00614E72">
        <w:t xml:space="preserve">  </w:t>
      </w:r>
      <w:r w:rsidR="00DD07B3">
        <w:t xml:space="preserve">Vital to one’s understanding of spirituality is </w:t>
      </w:r>
      <w:r w:rsidR="00FB43CE">
        <w:t>one’s view of</w:t>
      </w:r>
      <w:r w:rsidR="00DD07B3">
        <w:t xml:space="preserve"> God</w:t>
      </w:r>
      <w:r w:rsidR="00FB43CE">
        <w:t>,</w:t>
      </w:r>
      <w:r w:rsidR="00DD07B3">
        <w:t xml:space="preserve"> whether from </w:t>
      </w:r>
      <w:r w:rsidR="00E55735">
        <w:t>what Davis</w:t>
      </w:r>
      <w:r w:rsidR="001E7FB6">
        <w:t xml:space="preserve"> et al.</w:t>
      </w:r>
      <w:r w:rsidR="00E55735">
        <w:t xml:space="preserve"> (2013) </w:t>
      </w:r>
      <w:r w:rsidR="00A21CF4">
        <w:t>refer to as</w:t>
      </w:r>
      <w:r w:rsidR="00BC29C1">
        <w:t xml:space="preserve"> </w:t>
      </w:r>
      <w:r w:rsidR="00D45F79">
        <w:t>“</w:t>
      </w:r>
      <w:r w:rsidR="00DD07B3">
        <w:t>heart knowledge</w:t>
      </w:r>
      <w:r w:rsidR="00D45F79">
        <w:t>”—images of the divine involving “embodied emotional experience” (p. 52)—</w:t>
      </w:r>
      <w:r w:rsidR="00DD07B3">
        <w:t>or from</w:t>
      </w:r>
      <w:r w:rsidR="00E55735">
        <w:t xml:space="preserve"> what </w:t>
      </w:r>
      <w:r w:rsidR="005A0EE9">
        <w:t>they</w:t>
      </w:r>
      <w:r w:rsidR="00E55735">
        <w:t xml:space="preserve"> </w:t>
      </w:r>
      <w:r w:rsidR="005A0EE9">
        <w:t>refer</w:t>
      </w:r>
      <w:r w:rsidR="00A21CF4">
        <w:t xml:space="preserve"> to as</w:t>
      </w:r>
      <w:r w:rsidR="00BC29C1">
        <w:t xml:space="preserve"> </w:t>
      </w:r>
      <w:r w:rsidR="008B2AD8">
        <w:t>“</w:t>
      </w:r>
      <w:r w:rsidR="00DD07B3">
        <w:t>head knowledge</w:t>
      </w:r>
      <w:r w:rsidR="008B2AD8">
        <w:t>”</w:t>
      </w:r>
      <w:r w:rsidR="004A1E47">
        <w:t xml:space="preserve"> </w:t>
      </w:r>
      <w:r w:rsidR="00A21CF4">
        <w:t xml:space="preserve">that </w:t>
      </w:r>
      <w:r w:rsidR="00DD07B3">
        <w:t>involve</w:t>
      </w:r>
      <w:r w:rsidR="00D45F79">
        <w:t xml:space="preserve"> concepts of the divine</w:t>
      </w:r>
      <w:r w:rsidR="00EB066F">
        <w:t>—</w:t>
      </w:r>
      <w:r w:rsidR="00827C12">
        <w:t>theological beliefs</w:t>
      </w:r>
      <w:r w:rsidR="00D45F79">
        <w:t>.  The distinction involves experiential versus cognitive representations of God</w:t>
      </w:r>
      <w:r w:rsidR="00F527EE">
        <w:t xml:space="preserve">—affect </w:t>
      </w:r>
      <w:r w:rsidR="00F527EE" w:rsidRPr="008A281E">
        <w:rPr>
          <w:i/>
        </w:rPr>
        <w:t>laden</w:t>
      </w:r>
      <w:r w:rsidR="00F527EE">
        <w:t xml:space="preserve"> versus affect </w:t>
      </w:r>
      <w:r w:rsidR="00F527EE" w:rsidRPr="008A281E">
        <w:rPr>
          <w:i/>
        </w:rPr>
        <w:t>light</w:t>
      </w:r>
      <w:r w:rsidR="00F527EE">
        <w:t>.</w:t>
      </w:r>
      <w:r w:rsidR="00827C12" w:rsidRPr="00BC29C1">
        <w:t xml:space="preserve">  </w:t>
      </w:r>
      <w:r w:rsidR="00FD210F" w:rsidRPr="00C829B4">
        <w:t>One</w:t>
      </w:r>
      <w:r w:rsidR="00FD210F" w:rsidRPr="00D46096">
        <w:t xml:space="preserve">’s </w:t>
      </w:r>
      <w:r w:rsidR="004A1E47">
        <w:t>internal</w:t>
      </w:r>
      <w:r w:rsidR="00FD210F" w:rsidRPr="00D46096">
        <w:t xml:space="preserve"> images of God provide the basis for one’s attachment to God and in turn influence how one integrates this perceived relationship with God into one’s life.</w:t>
      </w:r>
      <w:r w:rsidR="00FD210F">
        <w:t xml:space="preserve">  </w:t>
      </w:r>
    </w:p>
    <w:p w14:paraId="4FFC7FE8" w14:textId="77777777" w:rsidR="0076714F" w:rsidRDefault="00614E72" w:rsidP="00A74F78">
      <w:r>
        <w:rPr>
          <w:rStyle w:val="APALevel3Char"/>
        </w:rPr>
        <w:t xml:space="preserve">Communication </w:t>
      </w:r>
      <w:r w:rsidR="00895ABC">
        <w:rPr>
          <w:rStyle w:val="APALevel3Char"/>
        </w:rPr>
        <w:t>through</w:t>
      </w:r>
      <w:r>
        <w:rPr>
          <w:rStyle w:val="APALevel3Char"/>
        </w:rPr>
        <w:t xml:space="preserve"> </w:t>
      </w:r>
      <w:r w:rsidR="002436D0">
        <w:rPr>
          <w:rStyle w:val="APALevel3Char"/>
        </w:rPr>
        <w:t>p</w:t>
      </w:r>
      <w:r w:rsidR="005B766E" w:rsidRPr="000D3E87">
        <w:rPr>
          <w:rStyle w:val="APALevel3Char"/>
        </w:rPr>
        <w:t>rayer</w:t>
      </w:r>
      <w:r w:rsidR="005B766E" w:rsidRPr="00C75B2C">
        <w:rPr>
          <w:rFonts w:ascii="Times" w:hAnsi="Times" w:cs="Times"/>
          <w:i/>
        </w:rPr>
        <w:t>.</w:t>
      </w:r>
      <w:r w:rsidR="005B766E" w:rsidRPr="008258C5">
        <w:rPr>
          <w:rFonts w:ascii="Times" w:hAnsi="Times" w:cs="Times"/>
        </w:rPr>
        <w:t xml:space="preserve"> </w:t>
      </w:r>
      <w:r w:rsidR="00A74F78">
        <w:rPr>
          <w:rFonts w:ascii="Times" w:hAnsi="Times" w:cs="Times"/>
        </w:rPr>
        <w:t xml:space="preserve">As with </w:t>
      </w:r>
      <w:r w:rsidR="004B55E3">
        <w:rPr>
          <w:rFonts w:ascii="Times" w:hAnsi="Times" w:cs="Times"/>
        </w:rPr>
        <w:t xml:space="preserve">marital </w:t>
      </w:r>
      <w:r w:rsidR="00A74F78">
        <w:rPr>
          <w:rFonts w:ascii="Times" w:hAnsi="Times" w:cs="Times"/>
        </w:rPr>
        <w:t>intimacy</w:t>
      </w:r>
      <w:r w:rsidR="00A21CF4">
        <w:rPr>
          <w:rFonts w:ascii="Times" w:hAnsi="Times" w:cs="Times"/>
        </w:rPr>
        <w:t>,</w:t>
      </w:r>
      <w:r w:rsidR="00A74F78">
        <w:rPr>
          <w:rFonts w:ascii="Times" w:hAnsi="Times" w:cs="Times"/>
        </w:rPr>
        <w:t xml:space="preserve"> communication is key </w:t>
      </w:r>
      <w:r w:rsidR="00A21CF4">
        <w:rPr>
          <w:rFonts w:ascii="Times" w:hAnsi="Times" w:cs="Times"/>
        </w:rPr>
        <w:t xml:space="preserve">to </w:t>
      </w:r>
      <w:r w:rsidR="00A74F78">
        <w:rPr>
          <w:rFonts w:ascii="Times" w:hAnsi="Times" w:cs="Times"/>
        </w:rPr>
        <w:t xml:space="preserve">spiritual intimacy. </w:t>
      </w:r>
      <w:r w:rsidR="00570040">
        <w:rPr>
          <w:rFonts w:ascii="Times" w:hAnsi="Times" w:cs="Times"/>
        </w:rPr>
        <w:t>P</w:t>
      </w:r>
      <w:r w:rsidR="00A74F78">
        <w:rPr>
          <w:rFonts w:ascii="Times" w:hAnsi="Times" w:cs="Times"/>
        </w:rPr>
        <w:t xml:space="preserve">rayer </w:t>
      </w:r>
      <w:r w:rsidR="00B969A7">
        <w:t xml:space="preserve">is </w:t>
      </w:r>
      <w:r w:rsidR="00895ABC">
        <w:t>one important</w:t>
      </w:r>
      <w:r w:rsidR="005347B9">
        <w:t xml:space="preserve"> </w:t>
      </w:r>
      <w:r w:rsidR="00B969A7">
        <w:t>method of communicat</w:t>
      </w:r>
      <w:r w:rsidR="00895ABC">
        <w:t>ing</w:t>
      </w:r>
      <w:r w:rsidR="00B969A7">
        <w:t xml:space="preserve"> with God</w:t>
      </w:r>
      <w:r w:rsidR="0052535D">
        <w:t xml:space="preserve">. </w:t>
      </w:r>
      <w:r w:rsidR="00570040">
        <w:t xml:space="preserve">The </w:t>
      </w:r>
      <w:r w:rsidR="00B36D71">
        <w:t xml:space="preserve">best predictor of </w:t>
      </w:r>
      <w:r w:rsidR="00E019F2">
        <w:t xml:space="preserve">perceived </w:t>
      </w:r>
      <w:r w:rsidR="00B36D71">
        <w:t>intimacy with God</w:t>
      </w:r>
      <w:r w:rsidR="00570040">
        <w:t xml:space="preserve"> for young people </w:t>
      </w:r>
      <w:r w:rsidR="008927F8">
        <w:t xml:space="preserve">is </w:t>
      </w:r>
      <w:r w:rsidR="00FB7ED2">
        <w:t xml:space="preserve">the </w:t>
      </w:r>
      <w:r w:rsidR="007C0F75">
        <w:t xml:space="preserve">use of </w:t>
      </w:r>
      <w:r w:rsidR="00B36D71">
        <w:t xml:space="preserve">prayers of praise, whereas for older people it </w:t>
      </w:r>
      <w:r w:rsidR="008927F8">
        <w:t xml:space="preserve">is </w:t>
      </w:r>
      <w:r w:rsidR="00B36D71">
        <w:t>prayers of thanksgiving</w:t>
      </w:r>
      <w:r w:rsidR="008927F8">
        <w:t xml:space="preserve"> that become more selfless and </w:t>
      </w:r>
      <w:r w:rsidR="00C517A9">
        <w:t xml:space="preserve">frequent </w:t>
      </w:r>
      <w:r w:rsidR="008927F8">
        <w:t>as people age</w:t>
      </w:r>
      <w:r w:rsidR="00C517A9">
        <w:t xml:space="preserve"> </w:t>
      </w:r>
      <w:r w:rsidR="008927F8">
        <w:t>(Hayward &amp; Kraus, 2013)</w:t>
      </w:r>
      <w:r w:rsidR="000F1648">
        <w:t>.</w:t>
      </w:r>
      <w:r w:rsidR="00C517A9">
        <w:t xml:space="preserve"> </w:t>
      </w:r>
    </w:p>
    <w:p w14:paraId="24C3BD27" w14:textId="77777777" w:rsidR="00EA481C" w:rsidRDefault="00CD67BB" w:rsidP="006240F1">
      <w:pPr>
        <w:keepNext/>
        <w:ind w:firstLine="0"/>
      </w:pPr>
      <w:r w:rsidRPr="00EA481C">
        <w:rPr>
          <w:rStyle w:val="APALevel2Char"/>
        </w:rPr>
        <w:t>Spiritual Meaning</w:t>
      </w:r>
      <w:r w:rsidRPr="002436D0">
        <w:t xml:space="preserve"> </w:t>
      </w:r>
    </w:p>
    <w:p w14:paraId="043C3ACB" w14:textId="146691B3" w:rsidR="00B1199F" w:rsidRDefault="00A7618F" w:rsidP="00B1199F">
      <w:pPr>
        <w:pStyle w:val="CommentText"/>
      </w:pPr>
      <w:r>
        <w:t>Spiritual meaning may be conceptualized as one aspect of perceived intimacy with God or as a distinct construct, ref</w:t>
      </w:r>
      <w:r w:rsidR="00B1199F">
        <w:t xml:space="preserve">lecting a process in which </w:t>
      </w:r>
      <w:r>
        <w:t xml:space="preserve">cognitive and emotional factors </w:t>
      </w:r>
      <w:r w:rsidR="00B1199F">
        <w:t>combine</w:t>
      </w:r>
      <w:r>
        <w:t xml:space="preserve"> to </w:t>
      </w:r>
      <w:r w:rsidR="00B1199F">
        <w:t>create</w:t>
      </w:r>
      <w:r>
        <w:t xml:space="preserve"> a sense of cohesion or meaning that is linked to their spiritual beliefs</w:t>
      </w:r>
      <w:r w:rsidR="00E00E65">
        <w:t xml:space="preserve"> as seen in Mascaro’s</w:t>
      </w:r>
      <w:r w:rsidR="00DF1FB3">
        <w:t xml:space="preserve"> (2004)</w:t>
      </w:r>
      <w:r w:rsidR="00E00E65">
        <w:t xml:space="preserve"> definition</w:t>
      </w:r>
      <w:r>
        <w:t xml:space="preserve">. </w:t>
      </w:r>
      <w:r w:rsidR="00B1199F">
        <w:t>We initially took the first approach, defining spiritual meaning as one facet of spiritual intimacy</w:t>
      </w:r>
      <w:r w:rsidR="006431F9">
        <w:t xml:space="preserve"> and did not include spiritual meaning as a potential mediator</w:t>
      </w:r>
      <w:r w:rsidR="00B1199F">
        <w:t>. Reflection on the model, however, led us to believe that spiritual meaning was more central to the processes we were exploring, and not merely a subcomponent of spiritual intimacy</w:t>
      </w:r>
      <w:r w:rsidR="00CA4D06">
        <w:t>. T</w:t>
      </w:r>
      <w:r w:rsidR="00B1199F">
        <w:t>his second approach</w:t>
      </w:r>
      <w:r w:rsidR="006431F9">
        <w:t>, and our initial expectations regarding relationships among the variables,</w:t>
      </w:r>
      <w:r w:rsidR="00B1199F">
        <w:t xml:space="preserve"> </w:t>
      </w:r>
      <w:r w:rsidR="006431F9">
        <w:t>are</w:t>
      </w:r>
      <w:r w:rsidR="00B1199F">
        <w:t xml:space="preserve"> summarized in Figure </w:t>
      </w:r>
      <w:r w:rsidR="004935BB">
        <w:t>1</w:t>
      </w:r>
      <w:r w:rsidR="00B1199F">
        <w:t>.</w:t>
      </w:r>
    </w:p>
    <w:p w14:paraId="15A82503" w14:textId="77777777" w:rsidR="00640EB3" w:rsidRDefault="00D95C38" w:rsidP="001A53E1">
      <w:r>
        <w:t>S</w:t>
      </w:r>
      <w:r w:rsidR="00592193">
        <w:t xml:space="preserve">piritual </w:t>
      </w:r>
      <w:r w:rsidR="00B1199F">
        <w:t xml:space="preserve">meaning seems to be importantly related to well-being. The presence of spiritual </w:t>
      </w:r>
      <w:r w:rsidR="001C5003">
        <w:t xml:space="preserve">content in </w:t>
      </w:r>
      <w:r w:rsidR="00592193">
        <w:t>purposes and goals</w:t>
      </w:r>
      <w:r w:rsidR="0075730C">
        <w:t xml:space="preserve"> has</w:t>
      </w:r>
      <w:r w:rsidR="00592193">
        <w:t xml:space="preserve"> a stron</w:t>
      </w:r>
      <w:r w:rsidR="001C5003">
        <w:t>g impact on well-being</w:t>
      </w:r>
      <w:r>
        <w:t xml:space="preserve"> (Emmons, Cheung, &amp; Tehrani, 1998)</w:t>
      </w:r>
      <w:r w:rsidR="00B1199F">
        <w:t xml:space="preserve"> and a </w:t>
      </w:r>
      <w:r w:rsidR="00F21584">
        <w:t>perceived</w:t>
      </w:r>
      <w:r w:rsidR="00CD67BB" w:rsidRPr="00091250">
        <w:t xml:space="preserve"> relationship </w:t>
      </w:r>
      <w:r w:rsidR="00E019F2">
        <w:t>to</w:t>
      </w:r>
      <w:r w:rsidR="00E019F2" w:rsidRPr="00091250">
        <w:t xml:space="preserve"> </w:t>
      </w:r>
      <w:r w:rsidR="00CD67BB" w:rsidRPr="00091250">
        <w:t>God promotes purpose and direction</w:t>
      </w:r>
      <w:r w:rsidR="00682F17">
        <w:t xml:space="preserve"> (</w:t>
      </w:r>
      <w:r w:rsidR="00682F17" w:rsidRPr="001A53E1">
        <w:t>McC</w:t>
      </w:r>
      <w:r w:rsidR="00682F17" w:rsidRPr="00091250">
        <w:t>ulloug</w:t>
      </w:r>
      <w:r w:rsidR="00682F17">
        <w:t xml:space="preserve">h &amp; Willoughby, 2009) and </w:t>
      </w:r>
      <w:r w:rsidR="002A5FCA">
        <w:t xml:space="preserve">enhances a sense of life’s </w:t>
      </w:r>
      <w:r w:rsidR="00CD67BB" w:rsidRPr="00091250">
        <w:t xml:space="preserve">meaning </w:t>
      </w:r>
      <w:r w:rsidR="002A5FCA">
        <w:t>through</w:t>
      </w:r>
      <w:r w:rsidR="00CD67BB" w:rsidRPr="00091250">
        <w:t xml:space="preserve"> goals and values systems</w:t>
      </w:r>
      <w:r w:rsidR="00682F17">
        <w:t xml:space="preserve"> (Emmons, 2005)</w:t>
      </w:r>
      <w:r w:rsidR="00A41087">
        <w:t xml:space="preserve"> </w:t>
      </w:r>
      <w:r w:rsidR="002A5FCA">
        <w:t xml:space="preserve">and the prioritization of </w:t>
      </w:r>
      <w:r w:rsidR="00682F17" w:rsidRPr="001A53E1">
        <w:t>faith and family</w:t>
      </w:r>
      <w:r w:rsidR="00682F17">
        <w:t xml:space="preserve"> </w:t>
      </w:r>
      <w:r w:rsidR="002A5FCA">
        <w:t>over</w:t>
      </w:r>
      <w:r w:rsidR="00682F17" w:rsidRPr="001A53E1">
        <w:t xml:space="preserve"> </w:t>
      </w:r>
      <w:r w:rsidR="002A5FCA">
        <w:t>self</w:t>
      </w:r>
      <w:r w:rsidR="006A59A3">
        <w:t xml:space="preserve"> </w:t>
      </w:r>
      <w:r w:rsidR="00682F17">
        <w:t>(</w:t>
      </w:r>
      <w:r w:rsidR="00682F17" w:rsidRPr="00EA481C">
        <w:t xml:space="preserve">Dollahite </w:t>
      </w:r>
      <w:r w:rsidR="00682F17">
        <w:t>&amp; Marks, 2009).</w:t>
      </w:r>
    </w:p>
    <w:p w14:paraId="6EA09E75" w14:textId="77777777" w:rsidR="00BD4111" w:rsidRDefault="00C75B2C" w:rsidP="000D3E87">
      <w:pPr>
        <w:pStyle w:val="APALevel2"/>
      </w:pPr>
      <w:r w:rsidRPr="000D7322">
        <w:t>Well-</w:t>
      </w:r>
      <w:r w:rsidR="00E702AD">
        <w:t>B</w:t>
      </w:r>
      <w:r w:rsidR="0052535D" w:rsidRPr="000D7322">
        <w:t>eing</w:t>
      </w:r>
    </w:p>
    <w:p w14:paraId="1B4434FC" w14:textId="77777777" w:rsidR="001018BC" w:rsidRDefault="00BE4434" w:rsidP="005E1CA8">
      <w:pPr>
        <w:pStyle w:val="SPHParagraph"/>
      </w:pPr>
      <w:r>
        <w:t>Well-being is a broad concept</w:t>
      </w:r>
      <w:r w:rsidR="0077646B">
        <w:t xml:space="preserve"> with </w:t>
      </w:r>
      <w:r w:rsidR="00333F0F">
        <w:t>varying</w:t>
      </w:r>
      <w:r w:rsidR="0077646B">
        <w:t xml:space="preserve"> definitions </w:t>
      </w:r>
      <w:r w:rsidR="00333F0F">
        <w:t xml:space="preserve">and </w:t>
      </w:r>
      <w:r w:rsidR="0077646B">
        <w:t>measurement</w:t>
      </w:r>
      <w:r w:rsidR="00333F0F">
        <w:t xml:space="preserve"> tools</w:t>
      </w:r>
      <w:r w:rsidR="000A65E8">
        <w:t xml:space="preserve">. </w:t>
      </w:r>
      <w:r w:rsidR="0077646B">
        <w:t xml:space="preserve">In </w:t>
      </w:r>
      <w:r w:rsidR="00333F0F">
        <w:t>this</w:t>
      </w:r>
      <w:r w:rsidR="0077646B">
        <w:t xml:space="preserve"> study</w:t>
      </w:r>
      <w:r w:rsidR="004A098E">
        <w:t xml:space="preserve"> </w:t>
      </w:r>
      <w:r w:rsidR="0077646B">
        <w:t>we focus on th</w:t>
      </w:r>
      <w:r w:rsidR="00757DBF">
        <w:t>e</w:t>
      </w:r>
      <w:r w:rsidR="0077646B">
        <w:t xml:space="preserve"> </w:t>
      </w:r>
      <w:r w:rsidR="00EB77A9">
        <w:t>constructs of</w:t>
      </w:r>
      <w:r w:rsidR="0077646B">
        <w:t xml:space="preserve"> </w:t>
      </w:r>
      <w:r w:rsidR="00115EAD">
        <w:t>l</w:t>
      </w:r>
      <w:r w:rsidR="0077646B">
        <w:t>ife satisfaction and perce</w:t>
      </w:r>
      <w:r w:rsidR="00333F0F">
        <w:t>ived</w:t>
      </w:r>
      <w:r w:rsidR="0077646B">
        <w:t xml:space="preserve"> </w:t>
      </w:r>
      <w:r w:rsidR="002F0D72">
        <w:t xml:space="preserve">psychological </w:t>
      </w:r>
      <w:r w:rsidR="0077646B">
        <w:t xml:space="preserve">and physical health.  </w:t>
      </w:r>
    </w:p>
    <w:p w14:paraId="22EBDB74" w14:textId="22B15987" w:rsidR="005E1CA8" w:rsidRDefault="00640EB3" w:rsidP="001018BC">
      <w:pPr>
        <w:pStyle w:val="SPHParagraph"/>
        <w:ind w:firstLine="0"/>
      </w:pPr>
      <w:r w:rsidRPr="00640EB3">
        <w:rPr>
          <w:b/>
        </w:rPr>
        <w:t>Parallel</w:t>
      </w:r>
      <w:r w:rsidR="00D43D9F">
        <w:rPr>
          <w:b/>
        </w:rPr>
        <w:t xml:space="preserve">s </w:t>
      </w:r>
      <w:r w:rsidR="002A5FCA">
        <w:rPr>
          <w:b/>
        </w:rPr>
        <w:t>and Associations of</w:t>
      </w:r>
      <w:r w:rsidR="00D43D9F">
        <w:rPr>
          <w:b/>
        </w:rPr>
        <w:t xml:space="preserve"> Relational and Spiritual Intimacy</w:t>
      </w:r>
      <w:r>
        <w:t xml:space="preserve"> </w:t>
      </w:r>
    </w:p>
    <w:p w14:paraId="4D4EA8D0" w14:textId="77777777" w:rsidR="002A5FCA" w:rsidRDefault="00FD089E" w:rsidP="006431F9">
      <w:pPr>
        <w:pStyle w:val="APALevel2"/>
        <w:keepNext w:val="0"/>
        <w:ind w:firstLine="720"/>
      </w:pPr>
      <w:r w:rsidRPr="002A5FCA">
        <w:rPr>
          <w:b w:val="0"/>
        </w:rPr>
        <w:t>M</w:t>
      </w:r>
      <w:r w:rsidR="00640EB3" w:rsidRPr="002A5FCA">
        <w:rPr>
          <w:b w:val="0"/>
        </w:rPr>
        <w:t xml:space="preserve">any of the characteristics that are hallmarks of </w:t>
      </w:r>
      <w:r w:rsidR="004B55E3" w:rsidRPr="002A5FCA">
        <w:rPr>
          <w:b w:val="0"/>
        </w:rPr>
        <w:t>marital</w:t>
      </w:r>
      <w:r w:rsidR="00640EB3" w:rsidRPr="002A5FCA">
        <w:rPr>
          <w:b w:val="0"/>
        </w:rPr>
        <w:t xml:space="preserve"> intimacy—commitment, purpose, communication, loyalty, faithfulness, safety, caring, mindfulness</w:t>
      </w:r>
      <w:r w:rsidR="006F404A" w:rsidRPr="002A5FCA">
        <w:rPr>
          <w:b w:val="0"/>
        </w:rPr>
        <w:t>/empathy (Wachs &amp; Cordova, 2007)</w:t>
      </w:r>
      <w:r w:rsidR="00640EB3" w:rsidRPr="002A5FCA">
        <w:rPr>
          <w:b w:val="0"/>
        </w:rPr>
        <w:t xml:space="preserve">, and selflessness—have parallel characteristics in </w:t>
      </w:r>
      <w:r w:rsidR="00F21584" w:rsidRPr="002A5FCA">
        <w:rPr>
          <w:b w:val="0"/>
        </w:rPr>
        <w:t xml:space="preserve">perceived </w:t>
      </w:r>
      <w:r w:rsidR="00640EB3" w:rsidRPr="002A5FCA">
        <w:rPr>
          <w:b w:val="0"/>
        </w:rPr>
        <w:t>spiritual intimacy</w:t>
      </w:r>
      <w:r w:rsidR="00EB77A9">
        <w:t xml:space="preserve">. </w:t>
      </w:r>
    </w:p>
    <w:p w14:paraId="5DAF0BD4" w14:textId="77777777" w:rsidR="00640EB3" w:rsidRDefault="00EB77A9" w:rsidP="006B1448">
      <w:pPr>
        <w:pStyle w:val="SPHParagraph"/>
        <w:ind w:firstLine="0"/>
      </w:pPr>
      <w:r>
        <w:t>These include</w:t>
      </w:r>
      <w:r w:rsidR="00640EB3" w:rsidRPr="00FA2DEC">
        <w:t xml:space="preserve"> </w:t>
      </w:r>
      <w:r w:rsidR="00640EB3" w:rsidRPr="0081594D">
        <w:t xml:space="preserve">commitment to God, </w:t>
      </w:r>
      <w:r w:rsidR="006431F9">
        <w:t xml:space="preserve">a </w:t>
      </w:r>
      <w:r w:rsidR="002A5FCA">
        <w:t xml:space="preserve">God-centered life </w:t>
      </w:r>
      <w:r w:rsidR="00640EB3" w:rsidRPr="0081594D">
        <w:t xml:space="preserve">purpose, communication </w:t>
      </w:r>
      <w:r w:rsidR="002A5FCA">
        <w:t>through</w:t>
      </w:r>
      <w:r w:rsidR="00640EB3" w:rsidRPr="0081594D">
        <w:t xml:space="preserve"> prayer, </w:t>
      </w:r>
      <w:r w:rsidR="002A5FCA">
        <w:t xml:space="preserve">and </w:t>
      </w:r>
      <w:r w:rsidR="00CB02C1">
        <w:t>feeling saf</w:t>
      </w:r>
      <w:r w:rsidR="002A5FCA">
        <w:t>e and cared for by God</w:t>
      </w:r>
      <w:r w:rsidR="00640EB3" w:rsidRPr="0081594D">
        <w:t xml:space="preserve">.  Because </w:t>
      </w:r>
      <w:r w:rsidR="00640EB3">
        <w:t>these</w:t>
      </w:r>
      <w:r w:rsidR="00B15799">
        <w:t xml:space="preserve"> </w:t>
      </w:r>
      <w:r w:rsidR="00640EB3" w:rsidRPr="0081594D">
        <w:t xml:space="preserve">values lay the foundation for purposeful living and intentional intimacy with God, we propose that this </w:t>
      </w:r>
      <w:r w:rsidR="00EE5607">
        <w:t xml:space="preserve">perceived </w:t>
      </w:r>
      <w:r w:rsidR="00640EB3" w:rsidRPr="0081594D">
        <w:t>intimacy with God will</w:t>
      </w:r>
      <w:r w:rsidR="00EE5607">
        <w:t xml:space="preserve"> through spiritual modeling, </w:t>
      </w:r>
      <w:r w:rsidR="00640EB3" w:rsidRPr="0081594D">
        <w:t xml:space="preserve">positively affect </w:t>
      </w:r>
      <w:r w:rsidR="004B55E3">
        <w:t xml:space="preserve">marital </w:t>
      </w:r>
      <w:r w:rsidR="00EE5607">
        <w:t>intimacy</w:t>
      </w:r>
      <w:r w:rsidR="00640EB3" w:rsidRPr="0081594D">
        <w:t xml:space="preserve"> and individual well-being.</w:t>
      </w:r>
      <w:r w:rsidR="00640EB3">
        <w:t xml:space="preserve"> </w:t>
      </w:r>
    </w:p>
    <w:p w14:paraId="1F659CCF" w14:textId="77777777" w:rsidR="002A5FCA" w:rsidRDefault="002A5FCA" w:rsidP="004F44E8">
      <w:pPr>
        <w:pStyle w:val="APALevel2"/>
        <w:keepNext w:val="0"/>
        <w:ind w:firstLine="720"/>
      </w:pPr>
      <w:r>
        <w:rPr>
          <w:b w:val="0"/>
        </w:rPr>
        <w:t>The perception of s</w:t>
      </w:r>
      <w:r w:rsidRPr="00A24064">
        <w:rPr>
          <w:b w:val="0"/>
        </w:rPr>
        <w:t xml:space="preserve">piritual intimacy </w:t>
      </w:r>
      <w:r>
        <w:rPr>
          <w:b w:val="0"/>
        </w:rPr>
        <w:t xml:space="preserve">has been positively linked to marital satisfaction </w:t>
      </w:r>
      <w:r w:rsidRPr="00A24064">
        <w:rPr>
          <w:b w:val="0"/>
        </w:rPr>
        <w:t xml:space="preserve">through </w:t>
      </w:r>
      <w:r w:rsidR="00EB066F">
        <w:rPr>
          <w:b w:val="0"/>
        </w:rPr>
        <w:t>a</w:t>
      </w:r>
      <w:r w:rsidR="00EB066F" w:rsidRPr="00A24064">
        <w:rPr>
          <w:b w:val="0"/>
        </w:rPr>
        <w:t xml:space="preserve"> </w:t>
      </w:r>
      <w:r w:rsidRPr="00A24064">
        <w:rPr>
          <w:b w:val="0"/>
        </w:rPr>
        <w:t>path of emotional intimacy (Greeff &amp; Malherbe, 2001</w:t>
      </w:r>
      <w:r>
        <w:rPr>
          <w:b w:val="0"/>
        </w:rPr>
        <w:t xml:space="preserve">; </w:t>
      </w:r>
      <w:r w:rsidRPr="00A24064">
        <w:rPr>
          <w:b w:val="0"/>
        </w:rPr>
        <w:t xml:space="preserve">Hatch, James, </w:t>
      </w:r>
      <w:r>
        <w:rPr>
          <w:b w:val="0"/>
        </w:rPr>
        <w:t xml:space="preserve">&amp; Schumm, </w:t>
      </w:r>
      <w:r w:rsidRPr="00A24064">
        <w:rPr>
          <w:b w:val="0"/>
        </w:rPr>
        <w:t>19</w:t>
      </w:r>
      <w:r>
        <w:rPr>
          <w:b w:val="0"/>
        </w:rPr>
        <w:t>8</w:t>
      </w:r>
      <w:r w:rsidRPr="00A24064">
        <w:rPr>
          <w:b w:val="0"/>
        </w:rPr>
        <w:t>6</w:t>
      </w:r>
      <w:r w:rsidR="006431F9">
        <w:rPr>
          <w:b w:val="0"/>
        </w:rPr>
        <w:t xml:space="preserve">).  </w:t>
      </w:r>
      <w:r>
        <w:rPr>
          <w:b w:val="0"/>
        </w:rPr>
        <w:t>Additionally t</w:t>
      </w:r>
      <w:r w:rsidRPr="0086395D">
        <w:rPr>
          <w:b w:val="0"/>
        </w:rPr>
        <w:t>here is a strong positive correlation between intrinsic religiosity and marital satisfaction</w:t>
      </w:r>
      <w:r>
        <w:rPr>
          <w:b w:val="0"/>
        </w:rPr>
        <w:t xml:space="preserve"> with t</w:t>
      </w:r>
      <w:r w:rsidRPr="0086395D">
        <w:rPr>
          <w:b w:val="0"/>
        </w:rPr>
        <w:t xml:space="preserve">he strongest factors </w:t>
      </w:r>
      <w:r>
        <w:rPr>
          <w:b w:val="0"/>
        </w:rPr>
        <w:t>being</w:t>
      </w:r>
      <w:r w:rsidRPr="0086395D">
        <w:rPr>
          <w:b w:val="0"/>
        </w:rPr>
        <w:t xml:space="preserve"> shared religious activities and congruence of individual beliefs with how one lives one’s life (Dudley &amp; Kosinski, 1990). </w:t>
      </w:r>
      <w:r w:rsidRPr="00C560A0">
        <w:rPr>
          <w:b w:val="0"/>
        </w:rPr>
        <w:t>Congruence in faith practices is</w:t>
      </w:r>
      <w:r w:rsidR="00C560A0">
        <w:rPr>
          <w:b w:val="0"/>
        </w:rPr>
        <w:t xml:space="preserve"> also important in fostering</w:t>
      </w:r>
      <w:r w:rsidRPr="00C560A0">
        <w:rPr>
          <w:b w:val="0"/>
        </w:rPr>
        <w:t xml:space="preserve"> </w:t>
      </w:r>
      <w:r w:rsidR="006431F9">
        <w:rPr>
          <w:b w:val="0"/>
        </w:rPr>
        <w:t xml:space="preserve">marital </w:t>
      </w:r>
      <w:r w:rsidRPr="00C560A0">
        <w:rPr>
          <w:b w:val="0"/>
        </w:rPr>
        <w:t>intimacy (Vaaler, Ellison, &amp; Powers, 2009)</w:t>
      </w:r>
      <w:r w:rsidR="00C560A0">
        <w:rPr>
          <w:b w:val="0"/>
        </w:rPr>
        <w:t xml:space="preserve">, as is praying for one’s spouse </w:t>
      </w:r>
      <w:r w:rsidRPr="00C560A0">
        <w:rPr>
          <w:b w:val="0"/>
        </w:rPr>
        <w:t>(Fincham, Beach, Lambert, Stillman, &amp; Braithwaite, 2008).</w:t>
      </w:r>
    </w:p>
    <w:p w14:paraId="183D6E0B" w14:textId="77777777" w:rsidR="00540A44" w:rsidRPr="00AB54D2" w:rsidRDefault="00C75B2C" w:rsidP="000D3E87">
      <w:pPr>
        <w:pStyle w:val="APALevel1"/>
      </w:pPr>
      <w:r>
        <w:t>Study Objectives</w:t>
      </w:r>
    </w:p>
    <w:p w14:paraId="07B3625C" w14:textId="77777777" w:rsidR="00EA6DA6" w:rsidRDefault="00AB54D2" w:rsidP="00262D64">
      <w:r>
        <w:t xml:space="preserve">There is limited research that </w:t>
      </w:r>
      <w:r w:rsidR="004D26BC">
        <w:t xml:space="preserve">simultaneously </w:t>
      </w:r>
      <w:r>
        <w:t xml:space="preserve">addresses </w:t>
      </w:r>
      <w:r w:rsidR="009D799F">
        <w:t xml:space="preserve">how </w:t>
      </w:r>
      <w:r w:rsidR="00BE72CD">
        <w:t>spiritual intimacy</w:t>
      </w:r>
      <w:r w:rsidR="009D799F">
        <w:t xml:space="preserve"> and</w:t>
      </w:r>
      <w:r w:rsidR="006431F9">
        <w:t xml:space="preserve"> </w:t>
      </w:r>
      <w:r w:rsidR="004B55E3">
        <w:t xml:space="preserve">marital </w:t>
      </w:r>
      <w:r>
        <w:t>intimacy</w:t>
      </w:r>
      <w:r w:rsidR="009D799F">
        <w:t xml:space="preserve"> are related </w:t>
      </w:r>
      <w:r w:rsidR="00BE72CD">
        <w:t>to well-being</w:t>
      </w:r>
      <w:r w:rsidR="0052561D">
        <w:t>,</w:t>
      </w:r>
      <w:r w:rsidR="00D43D9F">
        <w:t xml:space="preserve"> and how spiritual meaning might relate to all three</w:t>
      </w:r>
      <w:r w:rsidR="00376936">
        <w:t xml:space="preserve">.  </w:t>
      </w:r>
      <w:r w:rsidR="009D799F">
        <w:t>In addition, research in this area has focused primarily</w:t>
      </w:r>
      <w:r w:rsidR="00376936">
        <w:t xml:space="preserve"> on young adult</w:t>
      </w:r>
      <w:r w:rsidR="009D799F">
        <w:t xml:space="preserve">s, leaving unanswered questions about how these factors might look for older adults in long-term committed relationships. </w:t>
      </w:r>
    </w:p>
    <w:p w14:paraId="07D1060B" w14:textId="77777777" w:rsidR="00FD210F" w:rsidRPr="00EA6DA6" w:rsidRDefault="00FD210F" w:rsidP="00A41087">
      <w:r>
        <w:t xml:space="preserve">Extant literature suggests that people turn to </w:t>
      </w:r>
      <w:r w:rsidR="003E180F">
        <w:t xml:space="preserve">the Christian </w:t>
      </w:r>
      <w:r>
        <w:t xml:space="preserve">religion because of the perceived personal nature of God in their lives (Moriarty &amp; Davis, 2012). </w:t>
      </w:r>
      <w:r w:rsidR="000A32E4">
        <w:t xml:space="preserve"> Studying spiritual intimacy among Christians is particularly fruitful because the Christian r</w:t>
      </w:r>
      <w:r>
        <w:t>eligion</w:t>
      </w:r>
      <w:r w:rsidR="00BC29C1">
        <w:t xml:space="preserve"> has a unifying effect among the beliefs of it</w:t>
      </w:r>
      <w:r>
        <w:t>s adherents</w:t>
      </w:r>
      <w:r w:rsidR="000A32E4">
        <w:t>.  This effect</w:t>
      </w:r>
      <w:r>
        <w:t xml:space="preserve"> is more pronounced in conservative religious denominations</w:t>
      </w:r>
      <w:r w:rsidR="00BC29C1">
        <w:t>,</w:t>
      </w:r>
      <w:r>
        <w:t xml:space="preserve"> such as Seventh-day Adventists</w:t>
      </w:r>
      <w:r w:rsidR="00A94B96">
        <w:t>;</w:t>
      </w:r>
      <w:r w:rsidR="00BC29C1">
        <w:t xml:space="preserve"> thus this study will focus on this distinct group</w:t>
      </w:r>
      <w:r>
        <w:t xml:space="preserve">.     </w:t>
      </w:r>
    </w:p>
    <w:p w14:paraId="78E18452" w14:textId="77777777" w:rsidR="00243BA3" w:rsidRPr="006B520F" w:rsidRDefault="00AB54D2" w:rsidP="000D3E87">
      <w:pPr>
        <w:pStyle w:val="APALevel1"/>
      </w:pPr>
      <w:r w:rsidRPr="006B520F">
        <w:t>Method</w:t>
      </w:r>
    </w:p>
    <w:p w14:paraId="7E9E440F" w14:textId="77777777" w:rsidR="00AB54D2" w:rsidRPr="006B520F" w:rsidRDefault="001C79A3" w:rsidP="00511F5D">
      <w:pPr>
        <w:pStyle w:val="APALevel2"/>
      </w:pPr>
      <w:r w:rsidRPr="006B520F">
        <w:t>Participants and Procedures</w:t>
      </w:r>
    </w:p>
    <w:p w14:paraId="18A5E079" w14:textId="77777777" w:rsidR="001C79A3" w:rsidRPr="006B520F" w:rsidRDefault="001C79A3" w:rsidP="00511F5D">
      <w:r w:rsidRPr="006B520F">
        <w:t xml:space="preserve">Data for this study </w:t>
      </w:r>
      <w:r w:rsidR="00E16137">
        <w:t>were</w:t>
      </w:r>
      <w:r w:rsidR="00E16137" w:rsidRPr="006B520F">
        <w:t xml:space="preserve"> </w:t>
      </w:r>
      <w:r w:rsidR="00456649">
        <w:t>drawn</w:t>
      </w:r>
      <w:r w:rsidR="00D15419" w:rsidRPr="006B520F">
        <w:t xml:space="preserve"> </w:t>
      </w:r>
      <w:r w:rsidRPr="006B520F">
        <w:t>from the Biopsychosocial Religion and Health Study (BRHS</w:t>
      </w:r>
      <w:r w:rsidR="00503709">
        <w:t xml:space="preserve">; </w:t>
      </w:r>
      <w:r w:rsidR="00503709" w:rsidRPr="006B520F">
        <w:t>Lee et al., 2009</w:t>
      </w:r>
      <w:r w:rsidRPr="006B520F">
        <w:t>), a subset of the Adventist Health Study-2 (AHS-2</w:t>
      </w:r>
      <w:r w:rsidR="00503709">
        <w:t xml:space="preserve">; </w:t>
      </w:r>
      <w:r w:rsidR="007B223F" w:rsidRPr="006B520F">
        <w:t>Butler et al., 2008)</w:t>
      </w:r>
      <w:r w:rsidRPr="006B520F">
        <w:t xml:space="preserve">.  The aim </w:t>
      </w:r>
      <w:r w:rsidR="00456649">
        <w:t>of</w:t>
      </w:r>
      <w:r w:rsidR="005F496D" w:rsidRPr="006B520F">
        <w:t xml:space="preserve"> </w:t>
      </w:r>
      <w:r w:rsidRPr="006B520F">
        <w:t>the</w:t>
      </w:r>
      <w:r w:rsidR="00503709">
        <w:t xml:space="preserve"> BRHS</w:t>
      </w:r>
      <w:r w:rsidRPr="006B520F">
        <w:t xml:space="preserve"> was to </w:t>
      </w:r>
      <w:r w:rsidR="007A0D6B">
        <w:t>examine</w:t>
      </w:r>
      <w:r w:rsidRPr="006B520F">
        <w:t xml:space="preserve"> </w:t>
      </w:r>
      <w:r w:rsidR="00950362" w:rsidRPr="006B520F">
        <w:t xml:space="preserve">a cohort of Seventh-day Adventists and determine </w:t>
      </w:r>
      <w:r w:rsidRPr="006B520F">
        <w:t>how religious experience affects cumulative risk exposure involving quality of life and health, as well as to look at how religious mechanisms</w:t>
      </w:r>
      <w:r w:rsidR="00FD114C">
        <w:t xml:space="preserve"> </w:t>
      </w:r>
      <w:r w:rsidR="00581146">
        <w:t xml:space="preserve">might operate in </w:t>
      </w:r>
      <w:r w:rsidR="00FD114C">
        <w:t>influencing health</w:t>
      </w:r>
      <w:r w:rsidRPr="006B520F">
        <w:t xml:space="preserve">.  </w:t>
      </w:r>
      <w:r w:rsidR="00BC40A9">
        <w:t xml:space="preserve">Data for this study </w:t>
      </w:r>
      <w:r w:rsidR="004D26BC">
        <w:t xml:space="preserve">were </w:t>
      </w:r>
      <w:r w:rsidR="006B520F">
        <w:t>collected fro</w:t>
      </w:r>
      <w:r w:rsidRPr="006B520F">
        <w:t xml:space="preserve">m the first wave of the BRHS </w:t>
      </w:r>
      <w:r w:rsidR="00876FC5">
        <w:t>in</w:t>
      </w:r>
      <w:r w:rsidRPr="006B520F">
        <w:t xml:space="preserve"> 2006-2007.</w:t>
      </w:r>
      <w:r w:rsidR="00950362" w:rsidRPr="006B520F">
        <w:t xml:space="preserve"> </w:t>
      </w:r>
    </w:p>
    <w:p w14:paraId="2EA14086" w14:textId="77777777" w:rsidR="00080CF3" w:rsidRPr="006B520F" w:rsidRDefault="00950362" w:rsidP="00165AF7">
      <w:pPr>
        <w:pStyle w:val="SPHParagraph"/>
      </w:pPr>
      <w:r w:rsidRPr="006B520F">
        <w:t>The 20-page BRHS questionnaire was</w:t>
      </w:r>
      <w:r w:rsidR="00074ED6">
        <w:t xml:space="preserve"> sent</w:t>
      </w:r>
      <w:r w:rsidRPr="006B520F">
        <w:t xml:space="preserve"> </w:t>
      </w:r>
      <w:r w:rsidR="00876FC5">
        <w:t>to a random sample of approximately</w:t>
      </w:r>
      <w:r w:rsidRPr="006B520F">
        <w:t xml:space="preserve"> 2</w:t>
      </w:r>
      <w:r w:rsidR="00E57ED3">
        <w:t>1</w:t>
      </w:r>
      <w:r w:rsidRPr="006B520F">
        <w:t>,000 individuals</w:t>
      </w:r>
      <w:r w:rsidR="001904A4">
        <w:t xml:space="preserve"> (10,988 responses)</w:t>
      </w:r>
      <w:r w:rsidR="00037499">
        <w:t>,</w:t>
      </w:r>
      <w:r w:rsidRPr="006B520F">
        <w:t xml:space="preserve"> age</w:t>
      </w:r>
      <w:r w:rsidR="00D733AE">
        <w:t>s</w:t>
      </w:r>
      <w:r w:rsidRPr="006B520F">
        <w:t xml:space="preserve"> 35 and above participating in the AHS-2.</w:t>
      </w:r>
      <w:r w:rsidR="00080CF3" w:rsidRPr="006B520F">
        <w:t xml:space="preserve"> The</w:t>
      </w:r>
      <w:r w:rsidRPr="006B520F">
        <w:t xml:space="preserve"> questionnaire</w:t>
      </w:r>
      <w:r w:rsidR="00080CF3" w:rsidRPr="006B520F">
        <w:t>s</w:t>
      </w:r>
      <w:r w:rsidRPr="006B520F">
        <w:t xml:space="preserve"> included </w:t>
      </w:r>
      <w:r w:rsidR="00D733AE">
        <w:t>items</w:t>
      </w:r>
      <w:r w:rsidRPr="006B520F">
        <w:t xml:space="preserve"> pertaining to physical and socioeconomic stress; affective, cognitive, behavioral, and social aspects of religion; lifestyle and other factors such as health behaviors, social interactions, emotions, coping strategies, and self-efficacy; and areas of well-being such as quality of life, life satisfaction, and medical histories.</w:t>
      </w:r>
      <w:r w:rsidR="00165AF7">
        <w:t xml:space="preserve"> All data collection procedures were approved by the Loma Linda University Institutional Review Board.</w:t>
      </w:r>
    </w:p>
    <w:p w14:paraId="7B3521DA" w14:textId="09624EA9" w:rsidR="00FE3A13" w:rsidRDefault="005F496D" w:rsidP="00916291">
      <w:pPr>
        <w:pStyle w:val="SPHParagraph"/>
      </w:pPr>
      <w:r>
        <w:t>O</w:t>
      </w:r>
      <w:r w:rsidR="00950362" w:rsidRPr="006B520F">
        <w:t>nly</w:t>
      </w:r>
      <w:r>
        <w:t xml:space="preserve"> </w:t>
      </w:r>
      <w:r w:rsidR="00D733AE">
        <w:t xml:space="preserve">currently-married </w:t>
      </w:r>
      <w:r w:rsidR="004D26BC">
        <w:t xml:space="preserve">participants </w:t>
      </w:r>
      <w:r w:rsidR="00950362" w:rsidRPr="006B520F">
        <w:t>were included (</w:t>
      </w:r>
      <w:r w:rsidR="00950362" w:rsidRPr="006B520F">
        <w:rPr>
          <w:i/>
        </w:rPr>
        <w:t>N</w:t>
      </w:r>
      <w:r w:rsidR="00950362" w:rsidRPr="006B520F">
        <w:t xml:space="preserve"> = </w:t>
      </w:r>
      <w:r w:rsidR="00F22636" w:rsidRPr="006B520F">
        <w:t>7</w:t>
      </w:r>
      <w:r w:rsidR="007623C9">
        <w:t>,</w:t>
      </w:r>
      <w:r w:rsidR="00E3272A">
        <w:t>270</w:t>
      </w:r>
      <w:r w:rsidR="00950362" w:rsidRPr="006B520F">
        <w:t>)</w:t>
      </w:r>
      <w:r w:rsidR="00165AF7">
        <w:t xml:space="preserve"> in this study</w:t>
      </w:r>
      <w:r w:rsidR="00950362" w:rsidRPr="006B520F">
        <w:t xml:space="preserve">.  </w:t>
      </w:r>
      <w:r w:rsidR="007623C9">
        <w:t>P</w:t>
      </w:r>
      <w:r w:rsidR="0000655E" w:rsidRPr="006B520F">
        <w:t xml:space="preserve">articipants </w:t>
      </w:r>
      <w:r>
        <w:t>missing</w:t>
      </w:r>
      <w:r w:rsidR="0000655E" w:rsidRPr="006B520F">
        <w:t xml:space="preserve"> </w:t>
      </w:r>
      <w:r w:rsidR="00E536F6">
        <w:t>any</w:t>
      </w:r>
      <w:r w:rsidR="0000655E" w:rsidRPr="006B520F">
        <w:t xml:space="preserve"> </w:t>
      </w:r>
      <w:r>
        <w:t xml:space="preserve">of </w:t>
      </w:r>
      <w:r w:rsidR="00E536F6">
        <w:t xml:space="preserve">the </w:t>
      </w:r>
      <w:r>
        <w:t>study variables</w:t>
      </w:r>
      <w:r w:rsidR="0000655E" w:rsidRPr="006B520F">
        <w:t xml:space="preserve"> were excluded</w:t>
      </w:r>
      <w:r w:rsidR="004D26BC">
        <w:t>,</w:t>
      </w:r>
      <w:r w:rsidR="0000655E" w:rsidRPr="006B520F">
        <w:t xml:space="preserve"> resulting in a final </w:t>
      </w:r>
      <w:r w:rsidR="007623C9">
        <w:t>sample size</w:t>
      </w:r>
      <w:r w:rsidR="0000655E" w:rsidRPr="006B520F">
        <w:t xml:space="preserve"> of </w:t>
      </w:r>
      <w:r w:rsidR="00E536F6">
        <w:t>5,7</w:t>
      </w:r>
      <w:r w:rsidR="00082475">
        <w:t>20</w:t>
      </w:r>
      <w:r w:rsidR="004D26BC">
        <w:t xml:space="preserve"> or 78.7% of the currently-married subsample</w:t>
      </w:r>
      <w:r w:rsidR="0000655E" w:rsidRPr="006B520F">
        <w:t xml:space="preserve"> </w:t>
      </w:r>
      <w:r w:rsidR="0000655E" w:rsidRPr="00984530">
        <w:t>(</w:t>
      </w:r>
      <w:r w:rsidR="003B02D5" w:rsidRPr="00984530">
        <w:rPr>
          <w:i/>
        </w:rPr>
        <w:t>M</w:t>
      </w:r>
      <w:r w:rsidR="003B02D5" w:rsidRPr="00984530">
        <w:t xml:space="preserve"> age = </w:t>
      </w:r>
      <w:r w:rsidR="00EE5553">
        <w:t>58.8</w:t>
      </w:r>
      <w:r w:rsidR="00E3272A">
        <w:t>8</w:t>
      </w:r>
      <w:r w:rsidR="003B02D5" w:rsidRPr="00984530">
        <w:t xml:space="preserve"> years, </w:t>
      </w:r>
      <w:r w:rsidR="003B02D5" w:rsidRPr="00984530">
        <w:rPr>
          <w:i/>
        </w:rPr>
        <w:t xml:space="preserve">SD </w:t>
      </w:r>
      <w:r w:rsidR="003B02D5" w:rsidRPr="00984530">
        <w:t>= 12.</w:t>
      </w:r>
      <w:r w:rsidR="00EE5553">
        <w:t>7</w:t>
      </w:r>
      <w:r w:rsidR="00EE5553" w:rsidRPr="00CF21BD">
        <w:t>6</w:t>
      </w:r>
      <w:r w:rsidR="003B02D5" w:rsidRPr="00CF21BD">
        <w:t>).</w:t>
      </w:r>
      <w:r w:rsidR="003B02D5" w:rsidRPr="006B520F">
        <w:t xml:space="preserve"> Table 1 shows the sample demographics in more detail. </w:t>
      </w:r>
      <w:r w:rsidR="00165AF7">
        <w:t xml:space="preserve">The sample with no missing data was </w:t>
      </w:r>
      <w:r w:rsidR="00707838">
        <w:t xml:space="preserve">significantly </w:t>
      </w:r>
      <w:r w:rsidR="00165AF7">
        <w:t>younger</w:t>
      </w:r>
      <w:r w:rsidR="006853E4">
        <w:t xml:space="preserve"> (58.</w:t>
      </w:r>
      <w:r w:rsidR="00E41B42">
        <w:t>9</w:t>
      </w:r>
      <w:r w:rsidR="006853E4">
        <w:t xml:space="preserve"> years vs. </w:t>
      </w:r>
      <w:r w:rsidR="00E41B42">
        <w:t>63.8)</w:t>
      </w:r>
      <w:r w:rsidR="00165AF7">
        <w:t xml:space="preserve">, </w:t>
      </w:r>
      <w:r w:rsidR="00E41B42">
        <w:t>less female (59% vs. 65%)</w:t>
      </w:r>
      <w:r w:rsidR="00165AF7">
        <w:t xml:space="preserve">, </w:t>
      </w:r>
      <w:r w:rsidR="00707838">
        <w:t xml:space="preserve">more </w:t>
      </w:r>
      <w:r w:rsidR="00E41B42">
        <w:t>White (67% vs. 59%)</w:t>
      </w:r>
      <w:r w:rsidR="00707838">
        <w:t xml:space="preserve">, and </w:t>
      </w:r>
      <w:r w:rsidR="006853E4">
        <w:t xml:space="preserve">had </w:t>
      </w:r>
      <w:r w:rsidR="00707838">
        <w:t>slightly higher education</w:t>
      </w:r>
      <w:r w:rsidR="006853E4">
        <w:t xml:space="preserve"> </w:t>
      </w:r>
      <w:r w:rsidR="00E41B42">
        <w:t xml:space="preserve">(bachelor’s degree: 26% vs. 20%) </w:t>
      </w:r>
      <w:r w:rsidR="006853E4">
        <w:t>compared to those who were excluded.</w:t>
      </w:r>
    </w:p>
    <w:p w14:paraId="4060ABD8" w14:textId="77777777" w:rsidR="00126661" w:rsidRDefault="00126661" w:rsidP="00894275">
      <w:pPr>
        <w:pStyle w:val="APALevel2"/>
      </w:pPr>
      <w:r w:rsidRPr="00126661">
        <w:t>Measures</w:t>
      </w:r>
    </w:p>
    <w:p w14:paraId="57AD5CDA" w14:textId="77777777" w:rsidR="00EE1336" w:rsidRPr="00C54448" w:rsidRDefault="0009308D" w:rsidP="00A37B4F">
      <w:pPr>
        <w:pStyle w:val="APALevel3"/>
        <w:keepNext w:val="0"/>
        <w:rPr>
          <w:vanish/>
          <w:specVanish/>
        </w:rPr>
      </w:pPr>
      <w:r w:rsidRPr="00E80026">
        <w:t>Control variables.</w:t>
      </w:r>
    </w:p>
    <w:p w14:paraId="30CFF9CD" w14:textId="66460042" w:rsidR="00A571E0" w:rsidRPr="00804A3A" w:rsidRDefault="0009308D" w:rsidP="00DB36A0">
      <w:pPr>
        <w:pStyle w:val="SPHParagraph"/>
        <w:tabs>
          <w:tab w:val="left" w:pos="5850"/>
        </w:tabs>
      </w:pPr>
      <w:r w:rsidRPr="0009308D">
        <w:rPr>
          <w:b/>
        </w:rPr>
        <w:t xml:space="preserve">  </w:t>
      </w:r>
      <w:r w:rsidR="00C73026">
        <w:t>Age</w:t>
      </w:r>
      <w:r w:rsidR="007A43D4">
        <w:t xml:space="preserve"> </w:t>
      </w:r>
      <w:r w:rsidR="00D10351">
        <w:t xml:space="preserve">and length of relationship were </w:t>
      </w:r>
      <w:r w:rsidR="007623C9">
        <w:t>selected as</w:t>
      </w:r>
      <w:r w:rsidR="00D10351">
        <w:t xml:space="preserve"> control variables</w:t>
      </w:r>
      <w:r w:rsidR="00894275">
        <w:t xml:space="preserve"> since both appear to be strongly related to spiritual intimacy, </w:t>
      </w:r>
      <w:r w:rsidR="004B55E3">
        <w:t xml:space="preserve">marital </w:t>
      </w:r>
      <w:r w:rsidR="00894275">
        <w:t>intimacy, and well-being</w:t>
      </w:r>
      <w:r w:rsidR="005E6BB0">
        <w:t xml:space="preserve"> </w:t>
      </w:r>
      <w:r w:rsidR="00CF21BD">
        <w:t xml:space="preserve">in </w:t>
      </w:r>
      <w:r w:rsidR="00C04D98">
        <w:t xml:space="preserve">our </w:t>
      </w:r>
      <w:r w:rsidR="00CF21BD">
        <w:t>preliminary correlation analyses</w:t>
      </w:r>
      <w:r w:rsidR="00C04D98">
        <w:t xml:space="preserve"> and in the literature</w:t>
      </w:r>
      <w:r w:rsidR="001018BC">
        <w:t>. This relationship is also seen in the current research literature</w:t>
      </w:r>
      <w:r w:rsidR="00BB6671">
        <w:t xml:space="preserve"> </w:t>
      </w:r>
      <w:r w:rsidR="005E6BB0">
        <w:t>(</w:t>
      </w:r>
      <w:r w:rsidR="005D3685">
        <w:t xml:space="preserve">Ahmetoglu, Swami, &amp; Chamorro-Premuzic, 2010; </w:t>
      </w:r>
      <w:r w:rsidR="005C0F02">
        <w:t xml:space="preserve">Baesler, 2002; </w:t>
      </w:r>
      <w:r w:rsidR="00E60647">
        <w:t>Stroope, McFarland, &amp; Ueker, 2014)</w:t>
      </w:r>
      <w:r w:rsidR="00894275">
        <w:t>.</w:t>
      </w:r>
    </w:p>
    <w:p w14:paraId="35AF08D0" w14:textId="77777777" w:rsidR="00D10351" w:rsidRPr="0018792A" w:rsidRDefault="0009308D" w:rsidP="00A37B4F">
      <w:pPr>
        <w:pStyle w:val="APALevel3"/>
        <w:keepNext w:val="0"/>
        <w:rPr>
          <w:vanish/>
          <w:specVanish/>
        </w:rPr>
      </w:pPr>
      <w:r>
        <w:t>Latent constructs.</w:t>
      </w:r>
    </w:p>
    <w:p w14:paraId="16F1D727" w14:textId="285A21AE" w:rsidR="00503709" w:rsidRDefault="00503709" w:rsidP="0018792A">
      <w:pPr>
        <w:pStyle w:val="SPHParagraph"/>
      </w:pPr>
      <w:r>
        <w:t xml:space="preserve"> </w:t>
      </w:r>
      <w:r w:rsidR="0076714F">
        <w:t>Three initial</w:t>
      </w:r>
      <w:r>
        <w:t xml:space="preserve"> </w:t>
      </w:r>
      <w:r w:rsidR="00A36771">
        <w:t xml:space="preserve">primary </w:t>
      </w:r>
      <w:r>
        <w:t xml:space="preserve">latent constructs were formed: spiritual intimacy, </w:t>
      </w:r>
      <w:r w:rsidR="004B55E3">
        <w:t xml:space="preserve">marital </w:t>
      </w:r>
      <w:r>
        <w:t>intimacy, and well-being</w:t>
      </w:r>
      <w:r w:rsidR="006431F9">
        <w:t xml:space="preserve"> and a model tested relating these three</w:t>
      </w:r>
      <w:r>
        <w:t>.</w:t>
      </w:r>
      <w:r w:rsidR="0076714F">
        <w:t xml:space="preserve">  </w:t>
      </w:r>
      <w:r w:rsidR="0052561D">
        <w:t>It was then hypoth</w:t>
      </w:r>
      <w:r w:rsidR="00A36771">
        <w:t xml:space="preserve">esized that the secondary construct of </w:t>
      </w:r>
      <w:r w:rsidR="00853225">
        <w:t>spiritual meaning</w:t>
      </w:r>
      <w:r w:rsidR="00A36771">
        <w:t xml:space="preserve"> might play a more direct role</w:t>
      </w:r>
      <w:r w:rsidR="006431F9">
        <w:t xml:space="preserve"> as shown in </w:t>
      </w:r>
      <w:r w:rsidR="00121C9C">
        <w:t>F</w:t>
      </w:r>
      <w:r w:rsidR="006431F9">
        <w:t>igure 1</w:t>
      </w:r>
      <w:r w:rsidR="00A36771">
        <w:t xml:space="preserve">, thus it was added as a primary latent variable to the second model. </w:t>
      </w:r>
      <w:r w:rsidR="00FD0223">
        <w:t xml:space="preserve">Cronbach’s </w:t>
      </w:r>
      <w:r w:rsidR="00FD0223" w:rsidRPr="006915F7">
        <w:rPr>
          <w:color w:val="262626"/>
        </w:rPr>
        <w:t>α</w:t>
      </w:r>
      <w:r w:rsidR="00F12287">
        <w:rPr>
          <w:color w:val="262626"/>
        </w:rPr>
        <w:t xml:space="preserve"> </w:t>
      </w:r>
      <w:r w:rsidR="007505AB">
        <w:rPr>
          <w:color w:val="262626"/>
        </w:rPr>
        <w:t xml:space="preserve">reported below </w:t>
      </w:r>
      <w:r w:rsidR="00F12287">
        <w:rPr>
          <w:color w:val="262626"/>
        </w:rPr>
        <w:t>on scales used as manifest variables</w:t>
      </w:r>
      <w:r w:rsidR="00FD0223">
        <w:rPr>
          <w:color w:val="262626"/>
        </w:rPr>
        <w:t xml:space="preserve"> were calculated from </w:t>
      </w:r>
      <w:r w:rsidR="00BD1572">
        <w:rPr>
          <w:color w:val="262626"/>
        </w:rPr>
        <w:t>the</w:t>
      </w:r>
      <w:r w:rsidR="00FD0223">
        <w:rPr>
          <w:color w:val="262626"/>
        </w:rPr>
        <w:t xml:space="preserve"> </w:t>
      </w:r>
      <w:r w:rsidR="0001423D">
        <w:rPr>
          <w:color w:val="262626"/>
        </w:rPr>
        <w:t>final</w:t>
      </w:r>
      <w:r w:rsidR="00FD0223">
        <w:rPr>
          <w:color w:val="262626"/>
        </w:rPr>
        <w:t xml:space="preserve"> sample.</w:t>
      </w:r>
      <w:r w:rsidR="007D265C">
        <w:rPr>
          <w:color w:val="262626"/>
        </w:rPr>
        <w:t xml:space="preserve">ahead </w:t>
      </w:r>
    </w:p>
    <w:p w14:paraId="56D7A080" w14:textId="77777777" w:rsidR="00503709" w:rsidRPr="0018792A" w:rsidRDefault="00503709" w:rsidP="00A37B4F">
      <w:pPr>
        <w:pStyle w:val="APALevel4"/>
        <w:keepNext w:val="0"/>
        <w:rPr>
          <w:vanish/>
          <w:specVanish/>
        </w:rPr>
      </w:pPr>
      <w:r w:rsidRPr="00B15799">
        <w:t>Spiritual intimacy</w:t>
      </w:r>
      <w:r>
        <w:t>.</w:t>
      </w:r>
    </w:p>
    <w:p w14:paraId="29352438" w14:textId="6D8E2456" w:rsidR="00503709" w:rsidRPr="00916291" w:rsidRDefault="00916291" w:rsidP="0018792A">
      <w:pPr>
        <w:pStyle w:val="SPHParagraph"/>
      </w:pPr>
      <w:r>
        <w:t xml:space="preserve"> Spiritual intimacy was conceived as a composite of two latent </w:t>
      </w:r>
      <w:r w:rsidR="00F12287">
        <w:t>constructs</w:t>
      </w:r>
      <w:r w:rsidR="00850D2D">
        <w:t xml:space="preserve">: </w:t>
      </w:r>
      <w:r w:rsidR="004B55E3">
        <w:t xml:space="preserve">perceived </w:t>
      </w:r>
      <w:r>
        <w:t xml:space="preserve">relationship </w:t>
      </w:r>
      <w:r w:rsidR="00E019F2">
        <w:t xml:space="preserve">to </w:t>
      </w:r>
      <w:r>
        <w:t xml:space="preserve">God and </w:t>
      </w:r>
      <w:r w:rsidRPr="00097172">
        <w:t>positive religious coping.</w:t>
      </w:r>
      <w:r w:rsidR="005D3685">
        <w:t xml:space="preserve"> These two constructs encompass both one’s </w:t>
      </w:r>
      <w:r w:rsidR="00097172">
        <w:t xml:space="preserve">private </w:t>
      </w:r>
      <w:r w:rsidR="005D3685">
        <w:t xml:space="preserve">relationship with God and </w:t>
      </w:r>
      <w:r w:rsidR="00097172">
        <w:t xml:space="preserve">one’s relationship </w:t>
      </w:r>
      <w:r w:rsidR="001018BC">
        <w:t>with</w:t>
      </w:r>
      <w:r w:rsidR="00097172">
        <w:t xml:space="preserve"> God lived out in </w:t>
      </w:r>
      <w:r w:rsidR="00F86453">
        <w:t xml:space="preserve">how one chooses to respond to </w:t>
      </w:r>
      <w:r w:rsidR="00097172">
        <w:t xml:space="preserve">day-to-day </w:t>
      </w:r>
      <w:r w:rsidR="002F1487">
        <w:t>stressors</w:t>
      </w:r>
      <w:r w:rsidR="00097172">
        <w:t>.</w:t>
      </w:r>
    </w:p>
    <w:p w14:paraId="76BB4A63" w14:textId="77777777" w:rsidR="00EE1336" w:rsidRPr="00C54448" w:rsidRDefault="00F21584" w:rsidP="00262D64">
      <w:pPr>
        <w:pStyle w:val="APALevel5"/>
        <w:keepNext w:val="0"/>
        <w:widowControl w:val="0"/>
        <w:rPr>
          <w:vanish/>
          <w:specVanish/>
        </w:rPr>
      </w:pPr>
      <w:r>
        <w:t>Perceived r</w:t>
      </w:r>
      <w:r w:rsidR="00A571E0" w:rsidRPr="00EE1336">
        <w:t xml:space="preserve">elationship </w:t>
      </w:r>
      <w:r w:rsidR="00E019F2">
        <w:t>to</w:t>
      </w:r>
      <w:r w:rsidR="00E019F2" w:rsidRPr="00EE1336">
        <w:t xml:space="preserve"> </w:t>
      </w:r>
      <w:r w:rsidR="00A571E0" w:rsidRPr="00EE1336">
        <w:t>God.</w:t>
      </w:r>
    </w:p>
    <w:p w14:paraId="0A21B433" w14:textId="0DC2D315" w:rsidR="00D5109C" w:rsidRPr="00D5109C" w:rsidRDefault="00EE1336" w:rsidP="00262D64">
      <w:pPr>
        <w:pStyle w:val="SPHParagraph"/>
        <w:widowControl w:val="0"/>
        <w:rPr>
          <w:b/>
          <w:i/>
        </w:rPr>
      </w:pPr>
      <w:r>
        <w:rPr>
          <w:i/>
        </w:rPr>
        <w:t xml:space="preserve">  </w:t>
      </w:r>
      <w:r w:rsidR="00F21584">
        <w:t xml:space="preserve">Perceived relationship </w:t>
      </w:r>
      <w:r w:rsidR="00E019F2">
        <w:t xml:space="preserve">to </w:t>
      </w:r>
      <w:r w:rsidR="00D10351">
        <w:t xml:space="preserve">God </w:t>
      </w:r>
      <w:r w:rsidR="00F12287">
        <w:t>consisted</w:t>
      </w:r>
      <w:r w:rsidR="00D10351">
        <w:t xml:space="preserve"> of four manifest variables: intrinsic religiosity, Bible study</w:t>
      </w:r>
      <w:r w:rsidR="00850D2D">
        <w:t>,</w:t>
      </w:r>
      <w:r w:rsidR="00F5626D" w:rsidRPr="00F5626D">
        <w:t xml:space="preserve"> </w:t>
      </w:r>
      <w:r w:rsidR="00F5626D" w:rsidRPr="000955E8">
        <w:t>communication with God, and contemplation of God</w:t>
      </w:r>
      <w:r w:rsidR="00867D1C">
        <w:t xml:space="preserve">.  </w:t>
      </w:r>
      <w:r w:rsidR="00D10351" w:rsidRPr="00D15419">
        <w:rPr>
          <w:i/>
        </w:rPr>
        <w:t>Intrinsic religiosity</w:t>
      </w:r>
      <w:r w:rsidR="00D10351">
        <w:t xml:space="preserve"> was measured using the </w:t>
      </w:r>
      <w:r w:rsidR="00916291">
        <w:t xml:space="preserve">3-item </w:t>
      </w:r>
      <w:r w:rsidR="00D10351">
        <w:t>intrinsic religiosity scale of the DUREL (</w:t>
      </w:r>
      <w:r w:rsidR="00D10351" w:rsidRPr="00CD76EA">
        <w:t>Koenig</w:t>
      </w:r>
      <w:r w:rsidR="00D10351">
        <w:t xml:space="preserve"> et al.</w:t>
      </w:r>
      <w:r w:rsidR="00D10351" w:rsidRPr="00CD76EA">
        <w:t>, 1997</w:t>
      </w:r>
      <w:r w:rsidR="004344EE">
        <w:t>;</w:t>
      </w:r>
      <w:r w:rsidR="001018BC">
        <w:t xml:space="preserve"> </w:t>
      </w:r>
      <w:r w:rsidR="00FD4583">
        <w:t>e.g.,</w:t>
      </w:r>
      <w:r w:rsidR="00D10351" w:rsidRPr="00CD76EA">
        <w:t xml:space="preserve"> “I try hard to carry my religion over int</w:t>
      </w:r>
      <w:r w:rsidR="00D10351">
        <w:t>o all my other dealings in life</w:t>
      </w:r>
      <w:r w:rsidR="00FD09FF">
        <w:t>”</w:t>
      </w:r>
      <w:r w:rsidR="004344EE">
        <w:t>).</w:t>
      </w:r>
      <w:r w:rsidR="00FD09FF">
        <w:t xml:space="preserve">  R</w:t>
      </w:r>
      <w:r w:rsidR="00D10351" w:rsidRPr="00CD76EA">
        <w:t>esponses rang</w:t>
      </w:r>
      <w:r w:rsidR="00FD09FF">
        <w:t>e</w:t>
      </w:r>
      <w:r w:rsidR="00E548F6">
        <w:t>d</w:t>
      </w:r>
      <w:r w:rsidR="00D10351" w:rsidRPr="00CD76EA">
        <w:t xml:space="preserve"> from </w:t>
      </w:r>
      <w:r w:rsidR="00D10351" w:rsidRPr="006915F7">
        <w:rPr>
          <w:i/>
        </w:rPr>
        <w:t xml:space="preserve">not true </w:t>
      </w:r>
      <w:r w:rsidR="00D10351" w:rsidRPr="004A1353">
        <w:t>(1) to</w:t>
      </w:r>
      <w:r w:rsidR="00D10351" w:rsidRPr="006915F7">
        <w:rPr>
          <w:i/>
        </w:rPr>
        <w:t xml:space="preserve"> very true </w:t>
      </w:r>
      <w:r w:rsidR="00D10351" w:rsidRPr="004A1353">
        <w:t>(7)</w:t>
      </w:r>
      <w:r w:rsidR="004344EE">
        <w:rPr>
          <w:color w:val="262626"/>
        </w:rPr>
        <w:t>.</w:t>
      </w:r>
      <w:r w:rsidR="001018BC">
        <w:rPr>
          <w:color w:val="262626"/>
        </w:rPr>
        <w:t xml:space="preserve"> </w:t>
      </w:r>
      <w:r w:rsidR="00D10351" w:rsidRPr="006915F7">
        <w:rPr>
          <w:color w:val="262626"/>
        </w:rPr>
        <w:t xml:space="preserve">Cronbach’s α </w:t>
      </w:r>
      <w:r w:rsidR="00FA1EEB">
        <w:rPr>
          <w:color w:val="262626"/>
        </w:rPr>
        <w:t>was</w:t>
      </w:r>
      <w:r w:rsidR="00FA1EEB" w:rsidRPr="006915F7">
        <w:rPr>
          <w:color w:val="262626"/>
        </w:rPr>
        <w:t xml:space="preserve"> </w:t>
      </w:r>
      <w:r w:rsidR="00D10351" w:rsidRPr="006915F7">
        <w:rPr>
          <w:color w:val="262626"/>
        </w:rPr>
        <w:t>.</w:t>
      </w:r>
      <w:r w:rsidR="00FD0223">
        <w:rPr>
          <w:color w:val="262626"/>
        </w:rPr>
        <w:t>74</w:t>
      </w:r>
      <w:r w:rsidR="00D10351" w:rsidRPr="006915F7">
        <w:rPr>
          <w:color w:val="262626"/>
        </w:rPr>
        <w:t xml:space="preserve">. </w:t>
      </w:r>
      <w:r w:rsidR="00D10351" w:rsidRPr="00CD76EA">
        <w:t xml:space="preserve"> </w:t>
      </w:r>
      <w:r w:rsidR="00D10351" w:rsidRPr="00DF7805">
        <w:rPr>
          <w:i/>
        </w:rPr>
        <w:t>Bible study</w:t>
      </w:r>
      <w:r w:rsidR="00D10351">
        <w:t xml:space="preserve"> </w:t>
      </w:r>
      <w:r w:rsidR="007A43D4">
        <w:t>was</w:t>
      </w:r>
      <w:r w:rsidR="00D10351">
        <w:t xml:space="preserve"> measured using </w:t>
      </w:r>
      <w:r w:rsidR="00916291">
        <w:t>a</w:t>
      </w:r>
      <w:r w:rsidR="007E785C">
        <w:t xml:space="preserve"> single</w:t>
      </w:r>
      <w:r w:rsidR="00916291">
        <w:t xml:space="preserve"> item derived from</w:t>
      </w:r>
      <w:r w:rsidR="00D10351">
        <w:t xml:space="preserve"> the DUREL (</w:t>
      </w:r>
      <w:r w:rsidR="00D10351" w:rsidRPr="00CD76EA">
        <w:t>Koenig</w:t>
      </w:r>
      <w:r w:rsidR="00D10351">
        <w:t xml:space="preserve"> et al., </w:t>
      </w:r>
      <w:r w:rsidR="00D10351" w:rsidRPr="00CD76EA">
        <w:t>1997</w:t>
      </w:r>
      <w:r w:rsidR="004344EE">
        <w:t>;</w:t>
      </w:r>
      <w:r w:rsidR="001018BC">
        <w:t xml:space="preserve"> </w:t>
      </w:r>
      <w:r w:rsidR="00D10351" w:rsidRPr="00CD76EA">
        <w:t>“How often do you spend</w:t>
      </w:r>
      <w:r w:rsidR="00D10351" w:rsidRPr="00C06AEC">
        <w:t xml:space="preserve"> time in private Bible study?”</w:t>
      </w:r>
      <w:r w:rsidR="004344EE">
        <w:t>)</w:t>
      </w:r>
      <w:r w:rsidR="00D10351" w:rsidRPr="00C06AEC">
        <w:t xml:space="preserve"> with responses including </w:t>
      </w:r>
      <w:r w:rsidR="00D10351" w:rsidRPr="006915F7">
        <w:rPr>
          <w:i/>
        </w:rPr>
        <w:t xml:space="preserve">never </w:t>
      </w:r>
      <w:r w:rsidR="00D10351" w:rsidRPr="00DC7470">
        <w:t>(1)</w:t>
      </w:r>
      <w:r w:rsidR="00D10351">
        <w:t xml:space="preserve"> to</w:t>
      </w:r>
      <w:r w:rsidR="00D10351" w:rsidRPr="006915F7">
        <w:rPr>
          <w:i/>
        </w:rPr>
        <w:t xml:space="preserve"> more than once a day </w:t>
      </w:r>
      <w:r w:rsidR="00D10351" w:rsidRPr="00DC7470">
        <w:t>(8)</w:t>
      </w:r>
      <w:r w:rsidR="00D10351">
        <w:t xml:space="preserve">.  </w:t>
      </w:r>
      <w:r w:rsidR="00F5626D" w:rsidRPr="00395025">
        <w:t xml:space="preserve">No </w:t>
      </w:r>
      <w:r w:rsidR="00F5626D" w:rsidRPr="00395025">
        <w:rPr>
          <w:color w:val="262626"/>
        </w:rPr>
        <w:t>Cronbach</w:t>
      </w:r>
      <w:r w:rsidR="00F642E6">
        <w:rPr>
          <w:color w:val="262626"/>
        </w:rPr>
        <w:t xml:space="preserve">’s α </w:t>
      </w:r>
      <w:r w:rsidR="00916291">
        <w:rPr>
          <w:color w:val="262626"/>
        </w:rPr>
        <w:t>was available since this</w:t>
      </w:r>
      <w:r w:rsidR="00F642E6">
        <w:rPr>
          <w:color w:val="262626"/>
        </w:rPr>
        <w:t xml:space="preserve"> </w:t>
      </w:r>
      <w:r w:rsidR="00916291">
        <w:rPr>
          <w:color w:val="262626"/>
        </w:rPr>
        <w:t xml:space="preserve">was a single </w:t>
      </w:r>
      <w:r w:rsidR="00F642E6">
        <w:rPr>
          <w:color w:val="262626"/>
        </w:rPr>
        <w:t>item</w:t>
      </w:r>
      <w:r w:rsidR="00916291">
        <w:rPr>
          <w:color w:val="262626"/>
        </w:rPr>
        <w:t xml:space="preserve">.  </w:t>
      </w:r>
      <w:r w:rsidR="00F642E6" w:rsidRPr="00DF7805">
        <w:rPr>
          <w:i/>
          <w:color w:val="262626"/>
        </w:rPr>
        <w:t>Communication with God</w:t>
      </w:r>
      <w:r w:rsidR="00F642E6">
        <w:rPr>
          <w:color w:val="262626"/>
        </w:rPr>
        <w:t xml:space="preserve"> was measured using </w:t>
      </w:r>
      <w:r w:rsidR="009B39FE">
        <w:rPr>
          <w:color w:val="262626"/>
        </w:rPr>
        <w:t xml:space="preserve">a composite </w:t>
      </w:r>
      <w:r w:rsidR="00DF7805">
        <w:rPr>
          <w:color w:val="262626"/>
        </w:rPr>
        <w:t xml:space="preserve">created from </w:t>
      </w:r>
      <w:r w:rsidR="004A2EC1">
        <w:rPr>
          <w:color w:val="262626"/>
        </w:rPr>
        <w:t xml:space="preserve">seven </w:t>
      </w:r>
      <w:r w:rsidR="009B39FE">
        <w:rPr>
          <w:color w:val="262626"/>
        </w:rPr>
        <w:t xml:space="preserve">items from the </w:t>
      </w:r>
      <w:r w:rsidR="00B9671A">
        <w:rPr>
          <w:color w:val="262626"/>
        </w:rPr>
        <w:t>Luc</w:t>
      </w:r>
      <w:r w:rsidR="00A6657A">
        <w:rPr>
          <w:color w:val="262626"/>
        </w:rPr>
        <w:t>kow et al.</w:t>
      </w:r>
      <w:r w:rsidR="00D733AE">
        <w:rPr>
          <w:color w:val="262626"/>
        </w:rPr>
        <w:t>’s</w:t>
      </w:r>
      <w:r w:rsidR="00A6657A">
        <w:rPr>
          <w:color w:val="262626"/>
        </w:rPr>
        <w:t xml:space="preserve"> (1999) </w:t>
      </w:r>
      <w:r w:rsidR="00E548F6">
        <w:rPr>
          <w:color w:val="262626"/>
        </w:rPr>
        <w:t xml:space="preserve">confession and habit </w:t>
      </w:r>
      <w:r w:rsidR="00A6657A">
        <w:rPr>
          <w:color w:val="262626"/>
        </w:rPr>
        <w:t>prayer scale</w:t>
      </w:r>
      <w:r w:rsidR="004A2EC1">
        <w:rPr>
          <w:color w:val="262626"/>
        </w:rPr>
        <w:t>s</w:t>
      </w:r>
      <w:r w:rsidR="00D733AE">
        <w:rPr>
          <w:color w:val="262626"/>
        </w:rPr>
        <w:t xml:space="preserve"> which included items such as “When I pray I want to share my life </w:t>
      </w:r>
      <w:r w:rsidR="00B15799">
        <w:rPr>
          <w:color w:val="262626"/>
        </w:rPr>
        <w:t>w</w:t>
      </w:r>
      <w:r w:rsidR="00D733AE">
        <w:rPr>
          <w:color w:val="262626"/>
        </w:rPr>
        <w:t>ith God.”</w:t>
      </w:r>
      <w:r w:rsidR="00D733AE" w:rsidRPr="00D733AE">
        <w:t xml:space="preserve"> </w:t>
      </w:r>
      <w:r w:rsidR="00D733AE">
        <w:t xml:space="preserve">Responses ranged from </w:t>
      </w:r>
      <w:r w:rsidR="00D733AE" w:rsidRPr="00E548F6">
        <w:rPr>
          <w:i/>
        </w:rPr>
        <w:t>definitely false</w:t>
      </w:r>
      <w:r w:rsidR="00D733AE">
        <w:t xml:space="preserve"> (1) to </w:t>
      </w:r>
      <w:r w:rsidR="00D733AE" w:rsidRPr="00E548F6">
        <w:rPr>
          <w:i/>
        </w:rPr>
        <w:t>definitely true</w:t>
      </w:r>
      <w:r w:rsidR="00D733AE">
        <w:t xml:space="preserve"> (7). </w:t>
      </w:r>
      <w:r w:rsidR="00D733AE">
        <w:rPr>
          <w:color w:val="262626"/>
        </w:rPr>
        <w:t xml:space="preserve">Cronbach’s α </w:t>
      </w:r>
      <w:r w:rsidR="00FA1EEB">
        <w:rPr>
          <w:color w:val="262626"/>
        </w:rPr>
        <w:t xml:space="preserve">was </w:t>
      </w:r>
      <w:r w:rsidR="00D733AE">
        <w:rPr>
          <w:color w:val="262626"/>
        </w:rPr>
        <w:t>.82</w:t>
      </w:r>
      <w:r w:rsidR="00D733AE">
        <w:t>.</w:t>
      </w:r>
      <w:r w:rsidR="00D733AE">
        <w:rPr>
          <w:color w:val="262626"/>
        </w:rPr>
        <w:t xml:space="preserve">  </w:t>
      </w:r>
      <w:r w:rsidR="00F12287">
        <w:rPr>
          <w:color w:val="262626"/>
        </w:rPr>
        <w:t>Our</w:t>
      </w:r>
      <w:r w:rsidR="00DF7805">
        <w:rPr>
          <w:color w:val="262626"/>
        </w:rPr>
        <w:t xml:space="preserve"> factor analytic examination of these seven </w:t>
      </w:r>
      <w:r w:rsidR="00D733AE">
        <w:rPr>
          <w:color w:val="262626"/>
        </w:rPr>
        <w:t>items suggested</w:t>
      </w:r>
      <w:r w:rsidR="00DF7805">
        <w:rPr>
          <w:color w:val="262626"/>
        </w:rPr>
        <w:t xml:space="preserve"> a single factor</w:t>
      </w:r>
      <w:r w:rsidR="00F12287">
        <w:rPr>
          <w:color w:val="262626"/>
        </w:rPr>
        <w:t xml:space="preserve"> in our sample</w:t>
      </w:r>
      <w:r w:rsidR="00D733AE">
        <w:rPr>
          <w:color w:val="262626"/>
        </w:rPr>
        <w:t xml:space="preserve">. </w:t>
      </w:r>
      <w:r w:rsidR="00E548F6">
        <w:t xml:space="preserve">  </w:t>
      </w:r>
      <w:r w:rsidR="00E548F6" w:rsidRPr="00DF7805">
        <w:rPr>
          <w:i/>
        </w:rPr>
        <w:t>Contemplation of God</w:t>
      </w:r>
      <w:r w:rsidR="00E548F6">
        <w:t xml:space="preserve"> was measured using </w:t>
      </w:r>
      <w:r w:rsidR="00606A42">
        <w:t xml:space="preserve">the five items of the Paloma and Pendleton (1991) contemplative prayer scale </w:t>
      </w:r>
      <w:r w:rsidR="004344EE">
        <w:t>(</w:t>
      </w:r>
      <w:r w:rsidR="00606A42">
        <w:t>e.g., “Spend time just feeling or being in the presence of God”</w:t>
      </w:r>
      <w:r w:rsidR="004344EE">
        <w:t>)</w:t>
      </w:r>
      <w:r w:rsidR="001018BC">
        <w:t>.</w:t>
      </w:r>
      <w:r w:rsidR="00606A42">
        <w:t xml:space="preserve"> Responses </w:t>
      </w:r>
      <w:r w:rsidR="00606A42" w:rsidRPr="001018BC">
        <w:t>ranged from</w:t>
      </w:r>
      <w:r w:rsidR="00606A42" w:rsidRPr="00D5109C">
        <w:rPr>
          <w:i/>
        </w:rPr>
        <w:t xml:space="preserve"> never </w:t>
      </w:r>
      <w:r w:rsidR="00606A42" w:rsidRPr="001018BC">
        <w:t>(1)</w:t>
      </w:r>
      <w:r w:rsidR="00606A42" w:rsidRPr="00D5109C">
        <w:rPr>
          <w:i/>
        </w:rPr>
        <w:t xml:space="preserve"> </w:t>
      </w:r>
      <w:r w:rsidR="00606A42" w:rsidRPr="001018BC">
        <w:t>to</w:t>
      </w:r>
      <w:r w:rsidR="00606A42" w:rsidRPr="00D5109C">
        <w:rPr>
          <w:i/>
        </w:rPr>
        <w:t xml:space="preserve"> very often </w:t>
      </w:r>
      <w:r w:rsidR="00606A42" w:rsidRPr="001018BC">
        <w:t>(5)</w:t>
      </w:r>
      <w:r w:rsidR="004344EE">
        <w:rPr>
          <w:color w:val="262626"/>
        </w:rPr>
        <w:t xml:space="preserve">. </w:t>
      </w:r>
      <w:r w:rsidR="00606A42" w:rsidRPr="001018BC">
        <w:rPr>
          <w:color w:val="262626"/>
        </w:rPr>
        <w:t>Cronbach’s</w:t>
      </w:r>
      <w:r w:rsidR="00606A42" w:rsidRPr="00D5109C">
        <w:rPr>
          <w:i/>
          <w:color w:val="262626"/>
        </w:rPr>
        <w:t xml:space="preserve"> α </w:t>
      </w:r>
      <w:r w:rsidR="00FA1EEB">
        <w:rPr>
          <w:color w:val="262626"/>
        </w:rPr>
        <w:t xml:space="preserve">was </w:t>
      </w:r>
      <w:r w:rsidR="00606A42" w:rsidRPr="001018BC">
        <w:rPr>
          <w:color w:val="262626"/>
        </w:rPr>
        <w:t>.</w:t>
      </w:r>
      <w:r w:rsidR="00FD0223" w:rsidRPr="001018BC">
        <w:rPr>
          <w:color w:val="262626"/>
        </w:rPr>
        <w:t>83</w:t>
      </w:r>
      <w:r w:rsidR="00606A42" w:rsidRPr="001018BC">
        <w:t>.</w:t>
      </w:r>
      <w:r w:rsidR="00606A42" w:rsidRPr="00D5109C">
        <w:rPr>
          <w:i/>
        </w:rPr>
        <w:t xml:space="preserve"> </w:t>
      </w:r>
    </w:p>
    <w:p w14:paraId="4A0AC24C" w14:textId="77777777" w:rsidR="00503709" w:rsidRPr="00D5109C" w:rsidRDefault="00A571E0" w:rsidP="00D5109C">
      <w:pPr>
        <w:pStyle w:val="SPHParagraph"/>
        <w:widowControl w:val="0"/>
        <w:rPr>
          <w:i/>
          <w:vanish/>
          <w:specVanish/>
        </w:rPr>
      </w:pPr>
      <w:r w:rsidRPr="00D5109C">
        <w:rPr>
          <w:i/>
        </w:rPr>
        <w:t>Positive religious coping.</w:t>
      </w:r>
      <w:r w:rsidR="00D10351" w:rsidRPr="00D5109C">
        <w:rPr>
          <w:i/>
        </w:rPr>
        <w:t xml:space="preserve"> </w:t>
      </w:r>
    </w:p>
    <w:p w14:paraId="19CCB92D" w14:textId="77777777" w:rsidR="00804A3A" w:rsidRPr="001210B8" w:rsidRDefault="00503709">
      <w:pPr>
        <w:pStyle w:val="SPHParagraph"/>
      </w:pPr>
      <w:r>
        <w:t xml:space="preserve"> </w:t>
      </w:r>
      <w:r w:rsidR="00B46F86">
        <w:t xml:space="preserve">Positive religious coping was measured using four scales from the </w:t>
      </w:r>
      <w:r w:rsidR="003137B6">
        <w:t>RCOPE</w:t>
      </w:r>
      <w:r w:rsidR="00B46F86">
        <w:t xml:space="preserve">: spiritual support, </w:t>
      </w:r>
      <w:r w:rsidR="00DF7805">
        <w:t xml:space="preserve">benevolent reappraisal, </w:t>
      </w:r>
      <w:r w:rsidR="00B46F86">
        <w:t>collaboration with God, and active surrender</w:t>
      </w:r>
      <w:r w:rsidR="003137B6" w:rsidRPr="00F529B2">
        <w:t xml:space="preserve"> </w:t>
      </w:r>
      <w:r w:rsidR="003137B6">
        <w:t>(Pargament, 1999</w:t>
      </w:r>
      <w:r w:rsidR="003137B6" w:rsidRPr="00F529B2">
        <w:t>)</w:t>
      </w:r>
      <w:r w:rsidR="003137B6">
        <w:t xml:space="preserve">.  </w:t>
      </w:r>
      <w:r w:rsidR="00B46F86">
        <w:t>All four</w:t>
      </w:r>
      <w:r w:rsidR="003137B6">
        <w:t xml:space="preserve"> scales involved answers to the overall question,</w:t>
      </w:r>
      <w:r w:rsidR="003137B6" w:rsidRPr="00F529B2">
        <w:t xml:space="preserve"> “In dealing with major problems, to what extent have </w:t>
      </w:r>
      <w:r w:rsidR="003137B6">
        <w:t>each of the following been involved in the way you cope</w:t>
      </w:r>
      <w:r w:rsidR="003137B6" w:rsidRPr="00F529B2">
        <w:t>?”</w:t>
      </w:r>
      <w:r w:rsidR="003137B6">
        <w:t xml:space="preserve"> </w:t>
      </w:r>
      <w:r w:rsidR="003137B6" w:rsidRPr="00F529B2">
        <w:t xml:space="preserve"> </w:t>
      </w:r>
      <w:r w:rsidR="003137B6">
        <w:t>Responses range</w:t>
      </w:r>
      <w:r w:rsidR="00B46F86">
        <w:t>d</w:t>
      </w:r>
      <w:r w:rsidR="003137B6">
        <w:t xml:space="preserve"> from </w:t>
      </w:r>
      <w:r w:rsidR="003137B6" w:rsidRPr="00C21BBB">
        <w:rPr>
          <w:i/>
        </w:rPr>
        <w:t xml:space="preserve">not at all </w:t>
      </w:r>
      <w:r w:rsidR="003137B6" w:rsidRPr="00F4032B">
        <w:t>(1)</w:t>
      </w:r>
      <w:r w:rsidR="003137B6" w:rsidRPr="00C21BBB">
        <w:rPr>
          <w:i/>
        </w:rPr>
        <w:t xml:space="preserve"> </w:t>
      </w:r>
      <w:r w:rsidR="003137B6" w:rsidRPr="004B3636">
        <w:t>to</w:t>
      </w:r>
      <w:r w:rsidR="003137B6" w:rsidRPr="00C21BBB">
        <w:rPr>
          <w:i/>
        </w:rPr>
        <w:t xml:space="preserve"> a great deal </w:t>
      </w:r>
      <w:r w:rsidR="003137B6">
        <w:t xml:space="preserve">(5). </w:t>
      </w:r>
      <w:r w:rsidR="00B46F86">
        <w:t>Each scale was composed of three items</w:t>
      </w:r>
      <w:r w:rsidR="001210B8">
        <w:t xml:space="preserve"> </w:t>
      </w:r>
      <w:r w:rsidR="001B52D6">
        <w:t xml:space="preserve">for a total of 12 items </w:t>
      </w:r>
      <w:r w:rsidR="001210B8">
        <w:t>with the following items as examples</w:t>
      </w:r>
      <w:r w:rsidR="00F12287">
        <w:t>:</w:t>
      </w:r>
      <w:r w:rsidR="005A44A4">
        <w:t xml:space="preserve"> </w:t>
      </w:r>
      <w:r w:rsidR="003137B6" w:rsidRPr="00DF7805">
        <w:rPr>
          <w:i/>
        </w:rPr>
        <w:t>spiritual support</w:t>
      </w:r>
      <w:r w:rsidR="003137B6">
        <w:t xml:space="preserve"> “Worked together with God as partners” (Cronbach’s </w:t>
      </w:r>
      <w:r w:rsidR="003137B6" w:rsidRPr="00C21BBB">
        <w:rPr>
          <w:color w:val="262626"/>
        </w:rPr>
        <w:t>α = .</w:t>
      </w:r>
      <w:r w:rsidR="00FD0223">
        <w:rPr>
          <w:color w:val="262626"/>
        </w:rPr>
        <w:t>90</w:t>
      </w:r>
      <w:r w:rsidR="001210B8">
        <w:rPr>
          <w:color w:val="262626"/>
        </w:rPr>
        <w:t>),</w:t>
      </w:r>
      <w:r w:rsidR="00B46F86">
        <w:rPr>
          <w:color w:val="262626"/>
        </w:rPr>
        <w:t xml:space="preserve"> </w:t>
      </w:r>
      <w:r w:rsidR="00B46F86" w:rsidRPr="00DF7805">
        <w:rPr>
          <w:i/>
          <w:color w:val="262626"/>
        </w:rPr>
        <w:t>benevolent appraisal</w:t>
      </w:r>
      <w:r w:rsidR="003137B6">
        <w:rPr>
          <w:color w:val="262626"/>
        </w:rPr>
        <w:t xml:space="preserve"> “Saw my situation as part of God’s plan” (Cronbach’s </w:t>
      </w:r>
      <w:r w:rsidR="003137B6" w:rsidRPr="00C21BBB">
        <w:rPr>
          <w:color w:val="262626"/>
        </w:rPr>
        <w:t>α</w:t>
      </w:r>
      <w:r w:rsidR="003137B6">
        <w:rPr>
          <w:color w:val="262626"/>
        </w:rPr>
        <w:t xml:space="preserve"> = .</w:t>
      </w:r>
      <w:r w:rsidR="00FD0223">
        <w:rPr>
          <w:color w:val="262626"/>
        </w:rPr>
        <w:t>84</w:t>
      </w:r>
      <w:r w:rsidR="003137B6">
        <w:rPr>
          <w:color w:val="262626"/>
        </w:rPr>
        <w:t>)</w:t>
      </w:r>
      <w:r w:rsidR="001210B8">
        <w:rPr>
          <w:color w:val="262626"/>
        </w:rPr>
        <w:t xml:space="preserve">, </w:t>
      </w:r>
      <w:r w:rsidR="003137B6" w:rsidRPr="00DF7805">
        <w:rPr>
          <w:i/>
        </w:rPr>
        <w:t>collaborative</w:t>
      </w:r>
      <w:r w:rsidR="003137B6">
        <w:t xml:space="preserve"> “Worked together with God as partners” (Cronbach’s </w:t>
      </w:r>
      <w:r w:rsidR="003137B6" w:rsidRPr="00C21BBB">
        <w:rPr>
          <w:color w:val="262626"/>
        </w:rPr>
        <w:t>α = .</w:t>
      </w:r>
      <w:r w:rsidR="00FD0223">
        <w:rPr>
          <w:color w:val="262626"/>
        </w:rPr>
        <w:t>84</w:t>
      </w:r>
      <w:r w:rsidR="001210B8">
        <w:rPr>
          <w:color w:val="262626"/>
        </w:rPr>
        <w:t>), and</w:t>
      </w:r>
      <w:r w:rsidR="003137B6" w:rsidRPr="00F529B2">
        <w:t xml:space="preserve"> </w:t>
      </w:r>
      <w:r w:rsidR="002D1474" w:rsidRPr="00DF7805">
        <w:rPr>
          <w:i/>
        </w:rPr>
        <w:t>active surrender</w:t>
      </w:r>
      <w:r w:rsidR="002D1474">
        <w:t xml:space="preserve"> “Did my best and then turned the situation over to God” (Cronbach’s </w:t>
      </w:r>
      <w:r w:rsidR="002D1474" w:rsidRPr="00C21BBB">
        <w:rPr>
          <w:color w:val="262626"/>
        </w:rPr>
        <w:t>α = .</w:t>
      </w:r>
      <w:r w:rsidR="002D1474">
        <w:rPr>
          <w:color w:val="262626"/>
        </w:rPr>
        <w:t>88)</w:t>
      </w:r>
      <w:r w:rsidR="002D1474" w:rsidRPr="00C21BBB">
        <w:rPr>
          <w:color w:val="262626"/>
        </w:rPr>
        <w:t>.</w:t>
      </w:r>
    </w:p>
    <w:p w14:paraId="5DE8A579" w14:textId="77777777" w:rsidR="00EE1336" w:rsidRPr="00736669" w:rsidRDefault="004B55E3" w:rsidP="00736669">
      <w:pPr>
        <w:pStyle w:val="SPHParagraph"/>
        <w:rPr>
          <w:vanish/>
          <w:specVanish/>
        </w:rPr>
      </w:pPr>
      <w:r w:rsidRPr="009B1DA5">
        <w:rPr>
          <w:b/>
          <w:i/>
        </w:rPr>
        <w:t xml:space="preserve">Marital </w:t>
      </w:r>
      <w:r w:rsidR="00A571E0" w:rsidRPr="009B1DA5">
        <w:rPr>
          <w:b/>
          <w:i/>
        </w:rPr>
        <w:t>intimacy</w:t>
      </w:r>
      <w:r w:rsidR="00D10351" w:rsidRPr="009B1DA5">
        <w:rPr>
          <w:b/>
          <w:i/>
        </w:rPr>
        <w:t>.</w:t>
      </w:r>
    </w:p>
    <w:p w14:paraId="412100A7" w14:textId="77777777" w:rsidR="00804A3A" w:rsidRPr="00804A3A" w:rsidRDefault="00D10351">
      <w:pPr>
        <w:pStyle w:val="SPHParagraph"/>
        <w:rPr>
          <w:b/>
          <w:i/>
        </w:rPr>
      </w:pPr>
      <w:r>
        <w:rPr>
          <w:i/>
        </w:rPr>
        <w:t xml:space="preserve"> </w:t>
      </w:r>
      <w:r w:rsidR="004B55E3">
        <w:t>Marital</w:t>
      </w:r>
      <w:r w:rsidR="004B55E3" w:rsidRPr="00C06AEC">
        <w:t xml:space="preserve"> </w:t>
      </w:r>
      <w:r w:rsidR="00804A3A" w:rsidRPr="00CD76EA">
        <w:t xml:space="preserve">intimacy </w:t>
      </w:r>
      <w:r w:rsidR="00804A3A">
        <w:t xml:space="preserve">was measured using </w:t>
      </w:r>
      <w:r w:rsidR="007E785C">
        <w:t xml:space="preserve">two </w:t>
      </w:r>
      <w:r w:rsidR="00804A3A">
        <w:t>scale</w:t>
      </w:r>
      <w:r w:rsidR="007E785C">
        <w:t>s</w:t>
      </w:r>
      <w:r w:rsidR="00804A3A">
        <w:t xml:space="preserve"> </w:t>
      </w:r>
      <w:r w:rsidR="00804A3A" w:rsidRPr="00CD76EA">
        <w:t>(Ryff</w:t>
      </w:r>
      <w:r w:rsidR="003043CE">
        <w:t>, Singer, &amp; Palmersheim</w:t>
      </w:r>
      <w:r w:rsidR="00804A3A" w:rsidRPr="00CD76EA">
        <w:t>, 2004</w:t>
      </w:r>
      <w:r w:rsidR="00804A3A">
        <w:t>) with</w:t>
      </w:r>
      <w:r w:rsidR="00804A3A">
        <w:rPr>
          <w:color w:val="262626"/>
        </w:rPr>
        <w:t xml:space="preserve"> </w:t>
      </w:r>
      <w:r w:rsidR="00446D5F">
        <w:rPr>
          <w:color w:val="262626"/>
        </w:rPr>
        <w:t xml:space="preserve">six </w:t>
      </w:r>
      <w:r w:rsidR="00804A3A">
        <w:rPr>
          <w:color w:val="262626"/>
        </w:rPr>
        <w:t xml:space="preserve">items for positive </w:t>
      </w:r>
      <w:r w:rsidR="005A44A4" w:rsidRPr="00117778">
        <w:rPr>
          <w:color w:val="262626"/>
        </w:rPr>
        <w:t>(Cronbach’s α = .</w:t>
      </w:r>
      <w:r w:rsidR="005A44A4">
        <w:rPr>
          <w:color w:val="262626"/>
        </w:rPr>
        <w:t>90</w:t>
      </w:r>
      <w:r w:rsidR="005A44A4" w:rsidRPr="00117778">
        <w:rPr>
          <w:color w:val="262626"/>
        </w:rPr>
        <w:t>)</w:t>
      </w:r>
      <w:r w:rsidR="005A44A4">
        <w:rPr>
          <w:color w:val="262626"/>
        </w:rPr>
        <w:t xml:space="preserve"> </w:t>
      </w:r>
      <w:r w:rsidR="00804A3A">
        <w:rPr>
          <w:color w:val="262626"/>
        </w:rPr>
        <w:t xml:space="preserve">and </w:t>
      </w:r>
      <w:r w:rsidR="00346341">
        <w:rPr>
          <w:color w:val="262626"/>
        </w:rPr>
        <w:t>five</w:t>
      </w:r>
      <w:r w:rsidR="00446D5F">
        <w:rPr>
          <w:color w:val="262626"/>
        </w:rPr>
        <w:t xml:space="preserve"> </w:t>
      </w:r>
      <w:r w:rsidR="00804A3A">
        <w:rPr>
          <w:color w:val="262626"/>
        </w:rPr>
        <w:t>items for negative</w:t>
      </w:r>
      <w:r w:rsidR="005A44A4">
        <w:rPr>
          <w:color w:val="262626"/>
        </w:rPr>
        <w:t xml:space="preserve"> </w:t>
      </w:r>
      <w:r w:rsidR="004D26BC">
        <w:rPr>
          <w:color w:val="262626"/>
        </w:rPr>
        <w:t xml:space="preserve">intimacy </w:t>
      </w:r>
      <w:r w:rsidR="005A44A4" w:rsidRPr="00117778">
        <w:rPr>
          <w:color w:val="262626"/>
        </w:rPr>
        <w:t>(Cronbach’s α = .</w:t>
      </w:r>
      <w:r w:rsidR="005A44A4">
        <w:rPr>
          <w:color w:val="262626"/>
        </w:rPr>
        <w:t>83</w:t>
      </w:r>
      <w:r w:rsidR="005A44A4" w:rsidRPr="00117778">
        <w:rPr>
          <w:color w:val="262626"/>
        </w:rPr>
        <w:t>)</w:t>
      </w:r>
      <w:r w:rsidR="00804A3A">
        <w:rPr>
          <w:color w:val="262626"/>
        </w:rPr>
        <w:t xml:space="preserve">.  </w:t>
      </w:r>
      <w:r w:rsidR="005A44A4">
        <w:rPr>
          <w:color w:val="262626"/>
        </w:rPr>
        <w:t xml:space="preserve">Example items are </w:t>
      </w:r>
      <w:r w:rsidR="004D2A60">
        <w:rPr>
          <w:color w:val="262626"/>
        </w:rPr>
        <w:t>(</w:t>
      </w:r>
      <w:r w:rsidR="005A44A4">
        <w:t>p</w:t>
      </w:r>
      <w:r w:rsidR="00804A3A">
        <w:t>ositive</w:t>
      </w:r>
      <w:r w:rsidR="004D2A60">
        <w:t>)</w:t>
      </w:r>
      <w:r w:rsidR="00804A3A">
        <w:t xml:space="preserve"> </w:t>
      </w:r>
      <w:r w:rsidR="00804A3A" w:rsidRPr="00C06AEC">
        <w:t xml:space="preserve"> “How much does/did your spouse or partner really care about you?”</w:t>
      </w:r>
      <w:r w:rsidR="005A44A4">
        <w:rPr>
          <w:color w:val="262626"/>
        </w:rPr>
        <w:t xml:space="preserve"> and</w:t>
      </w:r>
      <w:r w:rsidR="00804A3A">
        <w:rPr>
          <w:color w:val="262626"/>
        </w:rPr>
        <w:t xml:space="preserve"> </w:t>
      </w:r>
      <w:r w:rsidR="004D2A60">
        <w:rPr>
          <w:color w:val="262626"/>
        </w:rPr>
        <w:t>(</w:t>
      </w:r>
      <w:r w:rsidR="005A44A4">
        <w:t>n</w:t>
      </w:r>
      <w:r w:rsidR="00804A3A">
        <w:t>egative</w:t>
      </w:r>
      <w:r w:rsidR="004D2A60">
        <w:t>)</w:t>
      </w:r>
      <w:r w:rsidR="00804A3A" w:rsidRPr="00C06AEC">
        <w:t xml:space="preserve"> “How often does/did </w:t>
      </w:r>
      <w:r w:rsidR="00804A3A">
        <w:t>your spouse or partner</w:t>
      </w:r>
      <w:r w:rsidR="00804A3A" w:rsidRPr="00C06AEC">
        <w:t xml:space="preserve"> make you feel tense?” </w:t>
      </w:r>
      <w:r w:rsidR="005A44A4">
        <w:t>R</w:t>
      </w:r>
      <w:r w:rsidR="00804A3A" w:rsidRPr="00C06AEC">
        <w:t>esponses</w:t>
      </w:r>
      <w:r w:rsidR="005A44A4">
        <w:t xml:space="preserve"> ranged from</w:t>
      </w:r>
      <w:r w:rsidR="00804A3A" w:rsidRPr="00C06AEC">
        <w:t xml:space="preserve"> </w:t>
      </w:r>
      <w:r w:rsidR="00804A3A" w:rsidRPr="00117778">
        <w:rPr>
          <w:i/>
        </w:rPr>
        <w:t xml:space="preserve">not at all </w:t>
      </w:r>
      <w:r w:rsidR="00804A3A" w:rsidRPr="007B1E9E">
        <w:t>(1) to</w:t>
      </w:r>
      <w:r w:rsidR="00804A3A" w:rsidRPr="00117778">
        <w:rPr>
          <w:i/>
        </w:rPr>
        <w:t xml:space="preserve"> a lot </w:t>
      </w:r>
      <w:r w:rsidR="00804A3A">
        <w:t>(4)</w:t>
      </w:r>
      <w:r w:rsidR="00804A3A" w:rsidRPr="00117778">
        <w:rPr>
          <w:color w:val="262626"/>
        </w:rPr>
        <w:t xml:space="preserve">. </w:t>
      </w:r>
      <w:r w:rsidR="00804A3A">
        <w:t xml:space="preserve"> </w:t>
      </w:r>
    </w:p>
    <w:p w14:paraId="2A22DD83" w14:textId="77777777" w:rsidR="00EE1336" w:rsidRPr="00736669" w:rsidRDefault="00804A3A" w:rsidP="00736669">
      <w:pPr>
        <w:pStyle w:val="SPHParagraph"/>
        <w:rPr>
          <w:vanish/>
          <w:specVanish/>
        </w:rPr>
      </w:pPr>
      <w:r w:rsidRPr="009B1DA5">
        <w:rPr>
          <w:b/>
          <w:i/>
        </w:rPr>
        <w:t xml:space="preserve">Spiritual </w:t>
      </w:r>
      <w:r w:rsidR="00E702AD" w:rsidRPr="009B1DA5">
        <w:rPr>
          <w:b/>
          <w:i/>
        </w:rPr>
        <w:t>m</w:t>
      </w:r>
      <w:r w:rsidRPr="009B1DA5">
        <w:rPr>
          <w:b/>
          <w:i/>
        </w:rPr>
        <w:t>eaning.</w:t>
      </w:r>
    </w:p>
    <w:p w14:paraId="1698B213" w14:textId="5FD8FA36" w:rsidR="00A571E0" w:rsidRDefault="00804A3A" w:rsidP="00F3611E">
      <w:pPr>
        <w:pStyle w:val="SPHParagraph"/>
        <w:rPr>
          <w:i/>
        </w:rPr>
      </w:pPr>
      <w:r>
        <w:rPr>
          <w:i/>
        </w:rPr>
        <w:t xml:space="preserve">  </w:t>
      </w:r>
      <w:r w:rsidR="00D10351" w:rsidRPr="00C21BBB">
        <w:t>Spir</w:t>
      </w:r>
      <w:r w:rsidR="00D10351" w:rsidRPr="00C06AEC">
        <w:t xml:space="preserve">itual meaning in life </w:t>
      </w:r>
      <w:r w:rsidR="00D10351">
        <w:t xml:space="preserve">was measured using the </w:t>
      </w:r>
      <w:r w:rsidR="00F3611E">
        <w:t xml:space="preserve">5-item </w:t>
      </w:r>
      <w:r w:rsidR="00D10351">
        <w:t>spiritual meaning scale (</w:t>
      </w:r>
      <w:r w:rsidR="00D10351" w:rsidRPr="00CD76EA">
        <w:t>Mascaro</w:t>
      </w:r>
      <w:r w:rsidR="005D0999">
        <w:t>, Rosen, &amp; Morey,</w:t>
      </w:r>
      <w:r w:rsidR="00D10351">
        <w:t xml:space="preserve"> </w:t>
      </w:r>
      <w:r w:rsidR="00D10351" w:rsidRPr="00CD76EA">
        <w:t>2004)</w:t>
      </w:r>
      <w:r w:rsidR="00F3611E">
        <w:t xml:space="preserve">.  An example item </w:t>
      </w:r>
      <w:r w:rsidR="00446D5F">
        <w:t>is</w:t>
      </w:r>
      <w:r w:rsidR="007D654D">
        <w:t xml:space="preserve"> </w:t>
      </w:r>
      <w:r w:rsidR="00D10351" w:rsidRPr="00CD76EA">
        <w:t>“I see a special p</w:t>
      </w:r>
      <w:r w:rsidR="00D10351">
        <w:t>urpose for myself in this world</w:t>
      </w:r>
      <w:r w:rsidR="00D10351" w:rsidRPr="00CD76EA">
        <w:t xml:space="preserve">” with responses ranging from </w:t>
      </w:r>
      <w:r w:rsidR="00D10351" w:rsidRPr="00117778">
        <w:rPr>
          <w:i/>
        </w:rPr>
        <w:t xml:space="preserve">not true </w:t>
      </w:r>
      <w:r w:rsidR="00D10351" w:rsidRPr="007B1E9E">
        <w:t>(1)</w:t>
      </w:r>
      <w:r w:rsidR="00D10351" w:rsidRPr="00CD76EA">
        <w:t xml:space="preserve"> </w:t>
      </w:r>
      <w:r w:rsidR="00D10351">
        <w:t>to</w:t>
      </w:r>
      <w:r w:rsidR="00D10351" w:rsidRPr="00CD76EA">
        <w:t xml:space="preserve"> </w:t>
      </w:r>
      <w:r w:rsidR="00D10351" w:rsidRPr="00117778">
        <w:rPr>
          <w:i/>
        </w:rPr>
        <w:t xml:space="preserve">very true </w:t>
      </w:r>
      <w:r w:rsidR="00D10351" w:rsidRPr="007B1E9E">
        <w:t>(7)</w:t>
      </w:r>
      <w:r w:rsidR="00187EFD">
        <w:rPr>
          <w:color w:val="262626"/>
        </w:rPr>
        <w:t xml:space="preserve">. </w:t>
      </w:r>
      <w:r w:rsidR="00D10351" w:rsidRPr="00117778">
        <w:rPr>
          <w:color w:val="262626"/>
        </w:rPr>
        <w:t xml:space="preserve">Cronbach’s α </w:t>
      </w:r>
      <w:r w:rsidR="00FA1EEB">
        <w:rPr>
          <w:color w:val="262626"/>
        </w:rPr>
        <w:t>was</w:t>
      </w:r>
      <w:r w:rsidR="00FA1EEB" w:rsidRPr="00117778">
        <w:rPr>
          <w:color w:val="262626"/>
        </w:rPr>
        <w:t xml:space="preserve"> </w:t>
      </w:r>
      <w:r w:rsidR="00D10351" w:rsidRPr="00117778">
        <w:rPr>
          <w:color w:val="262626"/>
        </w:rPr>
        <w:t>.</w:t>
      </w:r>
      <w:r w:rsidR="00FD0223" w:rsidRPr="00117778">
        <w:rPr>
          <w:color w:val="262626"/>
        </w:rPr>
        <w:t>7</w:t>
      </w:r>
      <w:r w:rsidR="00FD0223">
        <w:rPr>
          <w:color w:val="262626"/>
        </w:rPr>
        <w:t>3</w:t>
      </w:r>
      <w:r w:rsidR="00D10351" w:rsidRPr="00117778">
        <w:rPr>
          <w:color w:val="262626"/>
        </w:rPr>
        <w:t xml:space="preserve">. </w:t>
      </w:r>
      <w:r w:rsidR="00D10351" w:rsidRPr="00CD76EA">
        <w:t xml:space="preserve"> </w:t>
      </w:r>
    </w:p>
    <w:p w14:paraId="7AF44150" w14:textId="77777777" w:rsidR="00EE1336" w:rsidRPr="00736669" w:rsidRDefault="00A571E0" w:rsidP="00736669">
      <w:pPr>
        <w:pStyle w:val="SPHParagraph"/>
        <w:rPr>
          <w:vanish/>
          <w:specVanish/>
        </w:rPr>
      </w:pPr>
      <w:r w:rsidRPr="009B1DA5">
        <w:rPr>
          <w:b/>
          <w:i/>
        </w:rPr>
        <w:t>Well-being</w:t>
      </w:r>
      <w:r w:rsidR="00C66EAA" w:rsidRPr="009B1DA5">
        <w:rPr>
          <w:b/>
          <w:i/>
        </w:rPr>
        <w:t>.</w:t>
      </w:r>
    </w:p>
    <w:p w14:paraId="5CE07517" w14:textId="46CE4AA1" w:rsidR="005E6BB0" w:rsidRDefault="00C66EAA" w:rsidP="00B51187">
      <w:pPr>
        <w:pStyle w:val="SPHParagraph"/>
      </w:pPr>
      <w:r>
        <w:rPr>
          <w:i/>
        </w:rPr>
        <w:t xml:space="preserve">  </w:t>
      </w:r>
      <w:r w:rsidR="002F1487">
        <w:t>The latent construct of w</w:t>
      </w:r>
      <w:r>
        <w:t xml:space="preserve">ell-being was assessed using </w:t>
      </w:r>
      <w:r w:rsidR="005A44A4">
        <w:t>measures of</w:t>
      </w:r>
      <w:r>
        <w:t xml:space="preserve"> physical health, </w:t>
      </w:r>
      <w:r w:rsidR="003042D2">
        <w:t xml:space="preserve">psychological </w:t>
      </w:r>
      <w:r>
        <w:t xml:space="preserve">health, and life satisfaction.   </w:t>
      </w:r>
      <w:r w:rsidR="00C04D98">
        <w:t>In the structural equation model these three</w:t>
      </w:r>
      <w:r w:rsidR="005E6BB0">
        <w:t xml:space="preserve"> were </w:t>
      </w:r>
      <w:r w:rsidR="00C04D98">
        <w:t>used</w:t>
      </w:r>
      <w:r w:rsidR="005E6BB0">
        <w:t xml:space="preserve"> to </w:t>
      </w:r>
      <w:r w:rsidR="00C04D98">
        <w:t>indicate</w:t>
      </w:r>
      <w:r w:rsidR="005E6BB0">
        <w:t xml:space="preserve"> one latent variable measuring overall well-being.</w:t>
      </w:r>
      <w:r w:rsidR="00C04D98">
        <w:t xml:space="preserve">  These three are described in more detail below.</w:t>
      </w:r>
    </w:p>
    <w:p w14:paraId="077AA608" w14:textId="0B85940D" w:rsidR="00C66EAA" w:rsidRDefault="00F3611E" w:rsidP="00B51187">
      <w:pPr>
        <w:pStyle w:val="SPHParagraph"/>
      </w:pPr>
      <w:r w:rsidRPr="00DF7805">
        <w:rPr>
          <w:i/>
        </w:rPr>
        <w:t>Physical health</w:t>
      </w:r>
      <w:r>
        <w:t xml:space="preserve"> and </w:t>
      </w:r>
      <w:r w:rsidR="003042D2">
        <w:rPr>
          <w:i/>
        </w:rPr>
        <w:t>psychologica</w:t>
      </w:r>
      <w:r w:rsidR="003042D2" w:rsidRPr="00DF7805">
        <w:rPr>
          <w:i/>
        </w:rPr>
        <w:t xml:space="preserve">l </w:t>
      </w:r>
      <w:r w:rsidR="00C66EAA" w:rsidRPr="00DF7805">
        <w:rPr>
          <w:i/>
        </w:rPr>
        <w:t>health</w:t>
      </w:r>
      <w:r w:rsidR="00C66EAA" w:rsidRPr="00C06AEC">
        <w:t xml:space="preserve"> </w:t>
      </w:r>
      <w:r>
        <w:t>were</w:t>
      </w:r>
      <w:r w:rsidRPr="00C06AEC">
        <w:t xml:space="preserve"> </w:t>
      </w:r>
      <w:r w:rsidR="00C66EAA" w:rsidRPr="00C06AEC">
        <w:t>measured</w:t>
      </w:r>
      <w:r w:rsidR="0094355D">
        <w:t>,</w:t>
      </w:r>
      <w:r w:rsidR="00C66EAA" w:rsidRPr="00C06AEC">
        <w:t xml:space="preserve"> </w:t>
      </w:r>
      <w:r>
        <w:t>respectively</w:t>
      </w:r>
      <w:r w:rsidR="0094355D">
        <w:t>,</w:t>
      </w:r>
      <w:r>
        <w:t xml:space="preserve"> </w:t>
      </w:r>
      <w:r w:rsidR="00C66EAA" w:rsidRPr="00C06AEC">
        <w:t>using</w:t>
      </w:r>
      <w:r w:rsidR="00C66EAA">
        <w:t xml:space="preserve"> </w:t>
      </w:r>
      <w:r w:rsidR="00C66EAA" w:rsidRPr="00C06AEC">
        <w:t>t</w:t>
      </w:r>
      <w:r w:rsidR="00C66EAA">
        <w:t>he SF-</w:t>
      </w:r>
      <w:r w:rsidR="00C66EAA" w:rsidRPr="00C06AEC">
        <w:t xml:space="preserve">12 </w:t>
      </w:r>
      <w:r>
        <w:t xml:space="preserve">composite physical health and composite </w:t>
      </w:r>
      <w:r w:rsidR="00C66EAA">
        <w:t>m</w:t>
      </w:r>
      <w:r w:rsidR="00C66EAA" w:rsidRPr="00C06AEC">
        <w:t xml:space="preserve">ental </w:t>
      </w:r>
      <w:r w:rsidR="00C66EAA">
        <w:t>health scale</w:t>
      </w:r>
      <w:r>
        <w:t>s</w:t>
      </w:r>
      <w:r w:rsidR="00C66EAA" w:rsidRPr="00C06AEC">
        <w:t xml:space="preserve"> </w:t>
      </w:r>
      <w:r w:rsidR="00C66EAA" w:rsidRPr="00CD76EA">
        <w:t>(</w:t>
      </w:r>
      <w:r w:rsidR="0007050F">
        <w:rPr>
          <w:color w:val="262626"/>
        </w:rPr>
        <w:t>Ware, Kosinski, Turner-Bowker, &amp; Gandex</w:t>
      </w:r>
      <w:r w:rsidR="00C66EAA" w:rsidRPr="00CD76EA">
        <w:t>, 200</w:t>
      </w:r>
      <w:r w:rsidR="00C66EAA">
        <w:t>2</w:t>
      </w:r>
      <w:r w:rsidR="00C66EAA" w:rsidRPr="00CD76EA">
        <w:t>)</w:t>
      </w:r>
      <w:r>
        <w:t>.</w:t>
      </w:r>
      <w:r w:rsidR="00C66EAA">
        <w:t xml:space="preserve"> </w:t>
      </w:r>
      <w:r w:rsidR="00670AC8">
        <w:t xml:space="preserve"> </w:t>
      </w:r>
      <w:r>
        <w:t>These are</w:t>
      </w:r>
      <w:r w:rsidR="00C66EAA">
        <w:t xml:space="preserve"> weighted </w:t>
      </w:r>
      <w:r>
        <w:t>sums</w:t>
      </w:r>
      <w:r w:rsidR="00C66EAA">
        <w:t xml:space="preserve"> of</w:t>
      </w:r>
      <w:r w:rsidR="005A44A4">
        <w:t xml:space="preserve"> the</w:t>
      </w:r>
      <w:r w:rsidR="00C66EAA">
        <w:t xml:space="preserve"> eight </w:t>
      </w:r>
      <w:r w:rsidR="005A44A4">
        <w:t xml:space="preserve">SF-12 </w:t>
      </w:r>
      <w:r w:rsidR="004D2A60">
        <w:t xml:space="preserve">items </w:t>
      </w:r>
      <w:r w:rsidR="00C66EAA">
        <w:t xml:space="preserve">with different </w:t>
      </w:r>
      <w:r>
        <w:t>weights</w:t>
      </w:r>
      <w:r w:rsidR="00C66EAA">
        <w:t xml:space="preserve"> for </w:t>
      </w:r>
      <w:r w:rsidR="002F0D72">
        <w:t xml:space="preserve">psychological </w:t>
      </w:r>
      <w:r w:rsidR="00C66EAA">
        <w:t>and physical</w:t>
      </w:r>
      <w:r w:rsidR="0094355D">
        <w:t xml:space="preserve"> health</w:t>
      </w:r>
      <w:r w:rsidR="005A44A4">
        <w:t xml:space="preserve"> which allowed no Cronbach’s </w:t>
      </w:r>
      <w:r w:rsidR="005A44A4">
        <w:rPr>
          <w:color w:val="262626"/>
        </w:rPr>
        <w:t>α</w:t>
      </w:r>
      <w:r w:rsidR="00C66EAA">
        <w:t xml:space="preserve">.  </w:t>
      </w:r>
      <w:r w:rsidR="005A44A4">
        <w:t xml:space="preserve">Examples </w:t>
      </w:r>
      <w:r w:rsidR="00BD1572">
        <w:t>a</w:t>
      </w:r>
      <w:r w:rsidR="005A44A4">
        <w:t>re</w:t>
      </w:r>
      <w:r w:rsidR="00C66EAA">
        <w:t xml:space="preserve"> “During the past 4 weeks how much of the time have you had any of the following problems with work or other regular daily activities as a result of any emotional problems: Accomplished less than you would like?  Did work or activities less carefully than usual?”  </w:t>
      </w:r>
      <w:r w:rsidR="005A44A4">
        <w:t>Response range</w:t>
      </w:r>
      <w:r w:rsidR="004D2A60">
        <w:t>s</w:t>
      </w:r>
      <w:r w:rsidR="005A44A4">
        <w:t xml:space="preserve"> differed for the various subscales</w:t>
      </w:r>
      <w:r w:rsidR="00C66EAA">
        <w:rPr>
          <w:i/>
        </w:rPr>
        <w:t>.</w:t>
      </w:r>
      <w:r w:rsidR="00C66EAA">
        <w:t xml:space="preserve">  </w:t>
      </w:r>
      <w:r w:rsidR="0090714A">
        <w:rPr>
          <w:color w:val="262626"/>
        </w:rPr>
        <w:t xml:space="preserve">The scoring </w:t>
      </w:r>
      <w:r w:rsidR="005A44A4">
        <w:rPr>
          <w:color w:val="262626"/>
        </w:rPr>
        <w:t>weights</w:t>
      </w:r>
      <w:r w:rsidR="0090714A">
        <w:rPr>
          <w:color w:val="262626"/>
        </w:rPr>
        <w:t xml:space="preserve"> </w:t>
      </w:r>
      <w:r w:rsidR="00BD1572">
        <w:rPr>
          <w:color w:val="262626"/>
        </w:rPr>
        <w:t>we</w:t>
      </w:r>
      <w:r w:rsidR="005A44A4">
        <w:rPr>
          <w:color w:val="262626"/>
        </w:rPr>
        <w:t>re</w:t>
      </w:r>
      <w:r w:rsidR="0090714A">
        <w:rPr>
          <w:color w:val="262626"/>
        </w:rPr>
        <w:t xml:space="preserve"> based </w:t>
      </w:r>
      <w:r w:rsidR="00506282">
        <w:rPr>
          <w:color w:val="262626"/>
        </w:rPr>
        <w:t xml:space="preserve">on </w:t>
      </w:r>
      <w:r w:rsidR="0090714A">
        <w:rPr>
          <w:color w:val="262626"/>
        </w:rPr>
        <w:t xml:space="preserve">two separate factors repeatedly found in factor analysis of the </w:t>
      </w:r>
      <w:r w:rsidR="005A44A4">
        <w:rPr>
          <w:color w:val="262626"/>
        </w:rPr>
        <w:t>SF-12</w:t>
      </w:r>
      <w:r w:rsidR="0090714A">
        <w:rPr>
          <w:color w:val="262626"/>
        </w:rPr>
        <w:t xml:space="preserve"> items</w:t>
      </w:r>
      <w:r w:rsidR="00506282">
        <w:rPr>
          <w:color w:val="262626"/>
        </w:rPr>
        <w:t xml:space="preserve"> (</w:t>
      </w:r>
      <w:r w:rsidR="00C66EAA">
        <w:rPr>
          <w:color w:val="262626"/>
        </w:rPr>
        <w:t>Ware</w:t>
      </w:r>
      <w:r w:rsidR="0007050F">
        <w:rPr>
          <w:color w:val="262626"/>
        </w:rPr>
        <w:t xml:space="preserve"> et al.</w:t>
      </w:r>
      <w:r w:rsidR="006A3169">
        <w:rPr>
          <w:color w:val="262626"/>
        </w:rPr>
        <w:t>,</w:t>
      </w:r>
      <w:r w:rsidR="00C66EAA">
        <w:rPr>
          <w:color w:val="262626"/>
        </w:rPr>
        <w:t xml:space="preserve"> 2002).</w:t>
      </w:r>
    </w:p>
    <w:p w14:paraId="07404013" w14:textId="7523C725" w:rsidR="00A571E0" w:rsidRPr="002A3745" w:rsidRDefault="00C66EAA" w:rsidP="00B51187">
      <w:pPr>
        <w:pStyle w:val="SPHParagraph"/>
      </w:pPr>
      <w:r w:rsidRPr="00C66EAA">
        <w:rPr>
          <w:i/>
        </w:rPr>
        <w:t>Life satisfaction</w:t>
      </w:r>
      <w:r w:rsidRPr="00CD76EA">
        <w:t xml:space="preserve"> </w:t>
      </w:r>
      <w:r>
        <w:t>was</w:t>
      </w:r>
      <w:r w:rsidRPr="00CD76EA">
        <w:t xml:space="preserve"> measured using the </w:t>
      </w:r>
      <w:r w:rsidR="007D1B6F">
        <w:t xml:space="preserve">5-item </w:t>
      </w:r>
      <w:r>
        <w:t>l</w:t>
      </w:r>
      <w:r w:rsidRPr="00CD76EA">
        <w:t xml:space="preserve">ife </w:t>
      </w:r>
      <w:r>
        <w:t>s</w:t>
      </w:r>
      <w:r w:rsidRPr="00CD76EA">
        <w:t xml:space="preserve">atisfaction </w:t>
      </w:r>
      <w:r>
        <w:t>s</w:t>
      </w:r>
      <w:r w:rsidRPr="00CD76EA">
        <w:t>cale</w:t>
      </w:r>
      <w:r>
        <w:t xml:space="preserve"> </w:t>
      </w:r>
      <w:r w:rsidRPr="00CD76EA">
        <w:t>(Diener</w:t>
      </w:r>
      <w:r>
        <w:t xml:space="preserve"> et al.</w:t>
      </w:r>
      <w:r w:rsidRPr="00CD76EA">
        <w:t xml:space="preserve">, 1985) </w:t>
      </w:r>
      <w:r w:rsidR="002F03F5">
        <w:t>An example is,</w:t>
      </w:r>
      <w:r w:rsidRPr="00CD76EA">
        <w:t xml:space="preserve"> </w:t>
      </w:r>
      <w:r>
        <w:t xml:space="preserve"> </w:t>
      </w:r>
      <w:r w:rsidRPr="00CD76EA">
        <w:t>“</w:t>
      </w:r>
      <w:r w:rsidRPr="00F33703">
        <w:t>In most ways my life is close to my</w:t>
      </w:r>
      <w:r>
        <w:t xml:space="preserve"> ideal</w:t>
      </w:r>
      <w:r w:rsidRPr="00C06AEC">
        <w:t xml:space="preserve">” with responses ranging from </w:t>
      </w:r>
      <w:r w:rsidRPr="00C06AEC">
        <w:rPr>
          <w:i/>
        </w:rPr>
        <w:t>not true</w:t>
      </w:r>
      <w:r>
        <w:rPr>
          <w:i/>
        </w:rPr>
        <w:t xml:space="preserve"> </w:t>
      </w:r>
      <w:r w:rsidRPr="000B3C40">
        <w:t>(1)</w:t>
      </w:r>
      <w:r w:rsidRPr="00C06AEC">
        <w:rPr>
          <w:i/>
        </w:rPr>
        <w:t xml:space="preserve"> </w:t>
      </w:r>
      <w:r w:rsidRPr="004A1353">
        <w:t>to</w:t>
      </w:r>
      <w:r w:rsidRPr="00C06AEC">
        <w:rPr>
          <w:i/>
        </w:rPr>
        <w:t xml:space="preserve"> very true</w:t>
      </w:r>
      <w:r>
        <w:rPr>
          <w:i/>
        </w:rPr>
        <w:t xml:space="preserve"> </w:t>
      </w:r>
      <w:r w:rsidRPr="000B3C40">
        <w:t>(</w:t>
      </w:r>
      <w:r>
        <w:t>7</w:t>
      </w:r>
      <w:r w:rsidRPr="000B3C40">
        <w:t>)</w:t>
      </w:r>
      <w:r w:rsidR="00187EFD">
        <w:rPr>
          <w:color w:val="262626"/>
        </w:rPr>
        <w:t xml:space="preserve">. </w:t>
      </w:r>
      <w:r>
        <w:rPr>
          <w:color w:val="262626"/>
        </w:rPr>
        <w:t xml:space="preserve">Cronbach’s α </w:t>
      </w:r>
      <w:r w:rsidR="00B667E9">
        <w:rPr>
          <w:color w:val="262626"/>
        </w:rPr>
        <w:t xml:space="preserve">was </w:t>
      </w:r>
      <w:r w:rsidRPr="002F03F5">
        <w:rPr>
          <w:color w:val="262626"/>
        </w:rPr>
        <w:t>.87.</w:t>
      </w:r>
      <w:r w:rsidR="003042D2">
        <w:rPr>
          <w:color w:val="262626"/>
        </w:rPr>
        <w:t xml:space="preserve"> </w:t>
      </w:r>
    </w:p>
    <w:p w14:paraId="46E6D119" w14:textId="77777777" w:rsidR="001B3122" w:rsidRDefault="0009308D" w:rsidP="00C54448">
      <w:pPr>
        <w:pStyle w:val="APALevel2"/>
      </w:pPr>
      <w:r>
        <w:t>Analys</w:t>
      </w:r>
      <w:r w:rsidR="00116941">
        <w:t>e</w:t>
      </w:r>
      <w:r>
        <w:t>s</w:t>
      </w:r>
    </w:p>
    <w:p w14:paraId="1FF08EC4" w14:textId="77777777" w:rsidR="00594371" w:rsidRDefault="001B3122" w:rsidP="00855B77">
      <w:r>
        <w:t xml:space="preserve">To test the relationships between spiritual intimacy, </w:t>
      </w:r>
      <w:r w:rsidR="004120A5">
        <w:t xml:space="preserve">marital </w:t>
      </w:r>
      <w:r>
        <w:t xml:space="preserve">intimacy, and well-being, </w:t>
      </w:r>
      <w:r w:rsidR="004972B1">
        <w:t>structural equation modeling</w:t>
      </w:r>
      <w:r>
        <w:t xml:space="preserve"> </w:t>
      </w:r>
      <w:r w:rsidR="004972B1">
        <w:t>(SEM, Amos 22; Arbuckle, 2013)</w:t>
      </w:r>
      <w:r w:rsidR="00FF25C1">
        <w:t xml:space="preserve"> was used,</w:t>
      </w:r>
      <w:r w:rsidR="004972B1">
        <w:t xml:space="preserve"> as well as SPSS 22 to run descriptive statistics and to </w:t>
      </w:r>
      <w:r w:rsidR="00075D90">
        <w:t xml:space="preserve">manage </w:t>
      </w:r>
      <w:r w:rsidR="004972B1">
        <w:t xml:space="preserve">data. </w:t>
      </w:r>
      <w:r w:rsidR="00FF25C1">
        <w:t xml:space="preserve">The </w:t>
      </w:r>
      <w:r w:rsidR="005E3F60">
        <w:t>causal mode</w:t>
      </w:r>
      <w:r w:rsidR="001E6C79">
        <w:t>l consist</w:t>
      </w:r>
      <w:r w:rsidR="004D12BD">
        <w:t xml:space="preserve">ed of 18 manifest variables </w:t>
      </w:r>
      <w:r w:rsidR="006058AF">
        <w:t xml:space="preserve">reflecting the overarching constructs </w:t>
      </w:r>
      <w:r w:rsidR="00F45F61">
        <w:t xml:space="preserve">in Figure 1 </w:t>
      </w:r>
      <w:r w:rsidR="006058AF">
        <w:t xml:space="preserve">of spiritual intimacy, </w:t>
      </w:r>
      <w:r w:rsidR="004120A5">
        <w:t xml:space="preserve">marital </w:t>
      </w:r>
      <w:r w:rsidR="006058AF">
        <w:t xml:space="preserve">intimacy, </w:t>
      </w:r>
      <w:r w:rsidR="00116941">
        <w:t xml:space="preserve">spiritual meaning, </w:t>
      </w:r>
      <w:r w:rsidR="006058AF">
        <w:t>and well-being</w:t>
      </w:r>
      <w:r w:rsidR="00F45F61">
        <w:t xml:space="preserve"> </w:t>
      </w:r>
      <w:r w:rsidR="004D12BD">
        <w:t xml:space="preserve">with </w:t>
      </w:r>
      <w:r w:rsidR="00F73BD7">
        <w:t>age</w:t>
      </w:r>
      <w:r w:rsidR="00D174AF">
        <w:t xml:space="preserve"> and length of relationship</w:t>
      </w:r>
      <w:r w:rsidR="004D12BD">
        <w:t xml:space="preserve"> as control variable</w:t>
      </w:r>
      <w:r w:rsidR="00D174AF">
        <w:t>s</w:t>
      </w:r>
      <w:r w:rsidR="00F5626D" w:rsidRPr="00564213">
        <w:t>.</w:t>
      </w:r>
      <w:r w:rsidR="003E2F60">
        <w:t xml:space="preserve">  </w:t>
      </w:r>
      <w:r w:rsidR="00075D90">
        <w:t>M</w:t>
      </w:r>
      <w:r w:rsidR="003E2F60" w:rsidRPr="00C85030">
        <w:t xml:space="preserve">odification indices </w:t>
      </w:r>
      <w:r w:rsidR="00075D90">
        <w:t>were examined</w:t>
      </w:r>
      <w:r w:rsidR="003E2F60" w:rsidRPr="00C85030">
        <w:t xml:space="preserve"> to chec</w:t>
      </w:r>
      <w:r w:rsidR="003E2F60">
        <w:t xml:space="preserve">k </w:t>
      </w:r>
      <w:r w:rsidR="00CA04A3">
        <w:t>for</w:t>
      </w:r>
      <w:r w:rsidR="003E2F60" w:rsidRPr="00C85030">
        <w:t xml:space="preserve"> correlations between the err</w:t>
      </w:r>
      <w:r w:rsidR="003E2F60">
        <w:t xml:space="preserve">or variances of these variables. </w:t>
      </w:r>
      <w:r w:rsidR="009F47E9">
        <w:t xml:space="preserve">Three </w:t>
      </w:r>
      <w:r w:rsidR="00FD09CA">
        <w:t>separate models</w:t>
      </w:r>
      <w:r w:rsidR="00BD1572">
        <w:t xml:space="preserve"> were run</w:t>
      </w:r>
      <w:r w:rsidR="00FD09CA">
        <w:t xml:space="preserve">: </w:t>
      </w:r>
      <w:r w:rsidR="00853225">
        <w:t xml:space="preserve">one including spiritual intimacy, </w:t>
      </w:r>
      <w:r w:rsidR="004120A5">
        <w:t xml:space="preserve">marital </w:t>
      </w:r>
      <w:r w:rsidR="00853225">
        <w:t>intimacy, and well-being</w:t>
      </w:r>
      <w:r w:rsidR="009F47E9">
        <w:t>;</w:t>
      </w:r>
      <w:r w:rsidR="00853225">
        <w:t xml:space="preserve"> a second, adding</w:t>
      </w:r>
      <w:r w:rsidR="00FD09CA">
        <w:t xml:space="preserve"> spiritual meaning</w:t>
      </w:r>
      <w:r w:rsidR="00DB477A">
        <w:t xml:space="preserve"> as a mediating variable</w:t>
      </w:r>
      <w:r w:rsidR="009F47E9">
        <w:t>; and a third as a comparison model with the full model with the spiritual meaning paths constrained to zero</w:t>
      </w:r>
      <w:r w:rsidR="00FD09CA">
        <w:t>.</w:t>
      </w:r>
      <w:r w:rsidR="00FF25C1">
        <w:t xml:space="preserve">  The</w:t>
      </w:r>
      <w:r w:rsidR="00D174AF">
        <w:t xml:space="preserve"> root mean square error of approximation (RMSEA) </w:t>
      </w:r>
      <w:r w:rsidR="00FF25C1">
        <w:t xml:space="preserve">was used to evaluate the fit of the models </w:t>
      </w:r>
      <w:r w:rsidR="00D174AF">
        <w:t>with a</w:t>
      </w:r>
      <w:r w:rsidR="00116941">
        <w:t xml:space="preserve"> target of</w:t>
      </w:r>
      <w:r w:rsidR="00D174AF">
        <w:t xml:space="preserve"> &lt; .06 (Hu &amp; Bentler, 1999); the standardized root mean square residual (SRMR) with a </w:t>
      </w:r>
      <w:r w:rsidR="00116941">
        <w:t>target of</w:t>
      </w:r>
      <w:r w:rsidR="00D174AF">
        <w:t xml:space="preserve"> &lt;</w:t>
      </w:r>
      <w:r w:rsidR="00D5109C">
        <w:t xml:space="preserve"> </w:t>
      </w:r>
      <w:r w:rsidR="00D174AF">
        <w:t xml:space="preserve">.08 (Hu &amp; Bentler, 1999); and the normed fit index (NFI) with acceptable model fit indicated by a value  &gt; .90 (Byrne, 1994).  </w:t>
      </w:r>
      <w:r w:rsidR="00C62981">
        <w:t>A</w:t>
      </w:r>
      <w:r w:rsidR="003E2F60" w:rsidRPr="000C61FC">
        <w:t xml:space="preserve"> 1,000 sample-adjusted bootstrap with 95% confidence intervals</w:t>
      </w:r>
      <w:r w:rsidR="003E2F60">
        <w:t xml:space="preserve"> </w:t>
      </w:r>
      <w:r w:rsidR="00C62981">
        <w:t xml:space="preserve">was used </w:t>
      </w:r>
      <w:r w:rsidR="003E2F60">
        <w:t xml:space="preserve">for </w:t>
      </w:r>
      <w:r w:rsidR="00FD09CA">
        <w:t>both</w:t>
      </w:r>
      <w:r w:rsidR="003E2F60">
        <w:t xml:space="preserve"> models. </w:t>
      </w:r>
      <w:r w:rsidR="00BD1572">
        <w:t>C</w:t>
      </w:r>
      <w:r w:rsidR="003E2F60" w:rsidRPr="000C61FC">
        <w:t>onfidence intervals</w:t>
      </w:r>
      <w:r w:rsidR="00BD1572">
        <w:t xml:space="preserve"> were compared</w:t>
      </w:r>
      <w:r w:rsidR="00C62981">
        <w:t xml:space="preserve"> to check for potential interactions </w:t>
      </w:r>
      <w:r w:rsidR="003E2F60">
        <w:t xml:space="preserve">in </w:t>
      </w:r>
      <w:r w:rsidR="00FD09CA">
        <w:t>the</w:t>
      </w:r>
      <w:r w:rsidR="003E2F60">
        <w:t xml:space="preserve"> group</w:t>
      </w:r>
      <w:r w:rsidR="00116941">
        <w:t>s</w:t>
      </w:r>
      <w:r w:rsidR="00BD1572">
        <w:t>,</w:t>
      </w:r>
      <w:r w:rsidR="003E2F60">
        <w:t xml:space="preserve"> looking for</w:t>
      </w:r>
      <w:r w:rsidR="003E2F60" w:rsidRPr="000C61FC">
        <w:t xml:space="preserve"> significant differences as evidenced by non-overlapping confidence inter</w:t>
      </w:r>
      <w:r w:rsidR="003E2F60">
        <w:t xml:space="preserve">vals (Cummings &amp; Finch, 2005). </w:t>
      </w:r>
      <w:r w:rsidR="00411FFC">
        <w:t xml:space="preserve">The criterion for statistical significance was </w:t>
      </w:r>
      <w:r w:rsidR="00411FFC" w:rsidRPr="00411FFC">
        <w:rPr>
          <w:i/>
        </w:rPr>
        <w:t>p</w:t>
      </w:r>
      <w:r w:rsidR="00411FFC">
        <w:t xml:space="preserve"> &lt; .05.</w:t>
      </w:r>
    </w:p>
    <w:p w14:paraId="6AA1B125" w14:textId="77777777" w:rsidR="006D63D3" w:rsidRDefault="006D63D3" w:rsidP="006D63D3">
      <w:pPr>
        <w:pStyle w:val="APALevel1"/>
      </w:pPr>
      <w:r w:rsidRPr="00EE1336">
        <w:t>Result</w:t>
      </w:r>
      <w:r>
        <w:t>s</w:t>
      </w:r>
    </w:p>
    <w:p w14:paraId="5815BE45" w14:textId="77777777" w:rsidR="007D7025" w:rsidRDefault="0079121A" w:rsidP="00C54448">
      <w:pPr>
        <w:pStyle w:val="APALevel2"/>
      </w:pPr>
      <w:r w:rsidRPr="0079121A">
        <w:t xml:space="preserve">Structural </w:t>
      </w:r>
      <w:r w:rsidR="00E702AD">
        <w:t>M</w:t>
      </w:r>
      <w:r w:rsidRPr="0079121A">
        <w:t xml:space="preserve">odel for the </w:t>
      </w:r>
      <w:r w:rsidR="00E702AD">
        <w:t>R</w:t>
      </w:r>
      <w:r w:rsidRPr="0079121A">
        <w:t xml:space="preserve">elationships </w:t>
      </w:r>
      <w:r w:rsidR="001C5614">
        <w:t>Among</w:t>
      </w:r>
      <w:r w:rsidR="001C5614" w:rsidRPr="0079121A">
        <w:t xml:space="preserve"> </w:t>
      </w:r>
      <w:r w:rsidR="00E702AD">
        <w:t>S</w:t>
      </w:r>
      <w:r w:rsidRPr="0079121A">
        <w:t xml:space="preserve">piritual </w:t>
      </w:r>
      <w:r w:rsidR="00E702AD">
        <w:t>I</w:t>
      </w:r>
      <w:r w:rsidRPr="0079121A">
        <w:t xml:space="preserve">ntimacy, </w:t>
      </w:r>
      <w:r w:rsidR="004120A5">
        <w:t>Marita</w:t>
      </w:r>
      <w:r w:rsidR="004120A5" w:rsidRPr="0079121A">
        <w:t xml:space="preserve">l </w:t>
      </w:r>
      <w:r w:rsidR="00E702AD">
        <w:t>I</w:t>
      </w:r>
      <w:r w:rsidRPr="0079121A">
        <w:t xml:space="preserve">ntimacy, and </w:t>
      </w:r>
      <w:r w:rsidR="00E702AD">
        <w:t>W</w:t>
      </w:r>
      <w:r w:rsidRPr="0079121A">
        <w:t>ell-</w:t>
      </w:r>
      <w:r w:rsidR="00CB4B74">
        <w:t>B</w:t>
      </w:r>
      <w:r w:rsidRPr="0079121A">
        <w:t>eing</w:t>
      </w:r>
    </w:p>
    <w:p w14:paraId="55313123" w14:textId="618C3879" w:rsidR="00137C95" w:rsidRPr="00FD09CA" w:rsidRDefault="00C62981" w:rsidP="00FD09CA">
      <w:pPr>
        <w:pStyle w:val="SPHParagraph"/>
      </w:pPr>
      <w:r>
        <w:t>The</w:t>
      </w:r>
      <w:r w:rsidR="00B401E6">
        <w:t xml:space="preserve"> basic model is shown in </w:t>
      </w:r>
      <w:r w:rsidR="004B65CF">
        <w:t xml:space="preserve">Figure </w:t>
      </w:r>
      <w:r w:rsidR="007505AB">
        <w:t>2</w:t>
      </w:r>
      <w:r w:rsidR="00B401E6">
        <w:t xml:space="preserve">.  All pathways were </w:t>
      </w:r>
      <w:r w:rsidR="007B7838" w:rsidRPr="007B7838">
        <w:t>positive</w:t>
      </w:r>
      <w:r w:rsidR="00992BE0">
        <w:t xml:space="preserve">. </w:t>
      </w:r>
      <w:r w:rsidR="00710631">
        <w:t xml:space="preserve">The weakest path was between spiritual intimacy and </w:t>
      </w:r>
      <w:r w:rsidR="005217CD">
        <w:t xml:space="preserve">marital </w:t>
      </w:r>
      <w:r w:rsidR="00710631">
        <w:t>intimacy (.</w:t>
      </w:r>
      <w:r w:rsidR="00D12608">
        <w:t>11</w:t>
      </w:r>
      <w:r w:rsidR="00710631">
        <w:t xml:space="preserve">, </w:t>
      </w:r>
      <w:r w:rsidR="00710631">
        <w:rPr>
          <w:i/>
        </w:rPr>
        <w:t>p</w:t>
      </w:r>
      <w:r w:rsidR="00A92150">
        <w:rPr>
          <w:i/>
        </w:rPr>
        <w:t xml:space="preserve"> </w:t>
      </w:r>
      <w:r w:rsidR="00710631">
        <w:t>=</w:t>
      </w:r>
      <w:r w:rsidR="00D12608">
        <w:t xml:space="preserve"> </w:t>
      </w:r>
      <w:r w:rsidR="00710631">
        <w:t>.00</w:t>
      </w:r>
      <w:r w:rsidR="00E3272A">
        <w:t>3</w:t>
      </w:r>
      <w:r w:rsidR="00710631">
        <w:t>).  All other path</w:t>
      </w:r>
      <w:r w:rsidR="005A7CD4">
        <w:t xml:space="preserve"> coefficients were</w:t>
      </w:r>
      <w:r w:rsidR="008F7BF9">
        <w:t xml:space="preserve"> </w:t>
      </w:r>
      <w:r w:rsidR="005A7CD4">
        <w:t>.</w:t>
      </w:r>
      <w:r w:rsidR="00D12608">
        <w:t>29</w:t>
      </w:r>
      <w:r w:rsidR="005A7CD4">
        <w:t xml:space="preserve"> or greater and</w:t>
      </w:r>
      <w:r w:rsidR="00710631">
        <w:t xml:space="preserve"> were statistically significant at </w:t>
      </w:r>
      <w:r w:rsidR="00710631">
        <w:rPr>
          <w:i/>
        </w:rPr>
        <w:t>p</w:t>
      </w:r>
      <w:r w:rsidR="00A92150">
        <w:rPr>
          <w:i/>
        </w:rPr>
        <w:t xml:space="preserve"> </w:t>
      </w:r>
      <w:r w:rsidR="00E3272A">
        <w:t>≤</w:t>
      </w:r>
      <w:r w:rsidR="00D12608">
        <w:t xml:space="preserve"> </w:t>
      </w:r>
      <w:r w:rsidR="00710631">
        <w:t>.00</w:t>
      </w:r>
      <w:r w:rsidR="00E3272A">
        <w:t>2</w:t>
      </w:r>
      <w:r w:rsidR="00710631">
        <w:t>.</w:t>
      </w:r>
      <w:r w:rsidR="007B7838" w:rsidRPr="007B7838">
        <w:t xml:space="preserve"> </w:t>
      </w:r>
      <w:r w:rsidR="00116941">
        <w:t>All indices indicated good model fit</w:t>
      </w:r>
      <w:r w:rsidR="00B55410">
        <w:t xml:space="preserve"> (RMSEA .05 [CI: .05, .0</w:t>
      </w:r>
      <w:r w:rsidR="00187EFD">
        <w:t>6</w:t>
      </w:r>
      <w:r w:rsidR="00B55410">
        <w:t>], SRMR .0</w:t>
      </w:r>
      <w:r w:rsidR="009201DD">
        <w:t>4</w:t>
      </w:r>
      <w:r w:rsidR="00B55410">
        <w:t>, NFI .9</w:t>
      </w:r>
      <w:r w:rsidR="00187EFD">
        <w:t>6</w:t>
      </w:r>
      <w:r w:rsidR="00B55410">
        <w:t xml:space="preserve">).  </w:t>
      </w:r>
      <w:r w:rsidR="00613A31">
        <w:t xml:space="preserve">These findings suggest that spiritual intimacy </w:t>
      </w:r>
      <w:r w:rsidR="009E4041">
        <w:t>is an important contributor to both marital intimacy and well-being</w:t>
      </w:r>
      <w:r w:rsidR="00AE0E9D">
        <w:t xml:space="preserve"> in that one’s relationship with God has a significantly positive effect on one’s marital intimacy and well-being</w:t>
      </w:r>
      <w:r w:rsidR="009E4041">
        <w:t>.</w:t>
      </w:r>
    </w:p>
    <w:p w14:paraId="5B36DDE9" w14:textId="77777777" w:rsidR="0079121A" w:rsidRDefault="0079121A" w:rsidP="00A92150">
      <w:pPr>
        <w:pStyle w:val="SPHParagraph"/>
        <w:keepNext/>
        <w:ind w:firstLine="0"/>
        <w:rPr>
          <w:b/>
        </w:rPr>
      </w:pPr>
      <w:r w:rsidRPr="003E2F60">
        <w:rPr>
          <w:b/>
        </w:rPr>
        <w:t xml:space="preserve">Effects of </w:t>
      </w:r>
      <w:r w:rsidR="009A7AB6">
        <w:rPr>
          <w:b/>
        </w:rPr>
        <w:t>A</w:t>
      </w:r>
      <w:r w:rsidRPr="003E2F60">
        <w:rPr>
          <w:b/>
        </w:rPr>
        <w:t xml:space="preserve">dding </w:t>
      </w:r>
      <w:r w:rsidR="009A7AB6">
        <w:rPr>
          <w:b/>
        </w:rPr>
        <w:t>S</w:t>
      </w:r>
      <w:r w:rsidRPr="003E2F60">
        <w:rPr>
          <w:b/>
        </w:rPr>
        <w:t xml:space="preserve">piritual </w:t>
      </w:r>
      <w:r w:rsidR="009A7AB6">
        <w:rPr>
          <w:b/>
        </w:rPr>
        <w:t>M</w:t>
      </w:r>
      <w:r w:rsidRPr="003E2F60">
        <w:rPr>
          <w:b/>
        </w:rPr>
        <w:t xml:space="preserve">eaning </w:t>
      </w:r>
      <w:r w:rsidR="009A7AB6">
        <w:rPr>
          <w:b/>
        </w:rPr>
        <w:t>I</w:t>
      </w:r>
      <w:r w:rsidRPr="003E2F60">
        <w:rPr>
          <w:b/>
        </w:rPr>
        <w:t xml:space="preserve">nto the </w:t>
      </w:r>
      <w:r w:rsidR="009A7AB6">
        <w:rPr>
          <w:b/>
        </w:rPr>
        <w:t>M</w:t>
      </w:r>
      <w:r w:rsidRPr="003E2F60">
        <w:rPr>
          <w:b/>
        </w:rPr>
        <w:t>odel</w:t>
      </w:r>
    </w:p>
    <w:p w14:paraId="62EC1772" w14:textId="7EBF0BE9" w:rsidR="00D13189" w:rsidRDefault="002C7420" w:rsidP="007B7838">
      <w:pPr>
        <w:pStyle w:val="SPHParagraph"/>
      </w:pPr>
      <w:r>
        <w:t xml:space="preserve">Figure </w:t>
      </w:r>
      <w:r w:rsidR="004F47A6">
        <w:t>3</w:t>
      </w:r>
      <w:r>
        <w:t xml:space="preserve"> shows the </w:t>
      </w:r>
      <w:r w:rsidR="00B55410">
        <w:t xml:space="preserve">final </w:t>
      </w:r>
      <w:r w:rsidR="00404F49">
        <w:t>structural equation model w</w:t>
      </w:r>
      <w:r w:rsidR="00C23419">
        <w:t>ith</w:t>
      </w:r>
      <w:r w:rsidR="00404F49">
        <w:t xml:space="preserve"> spiritual meaning included as a </w:t>
      </w:r>
      <w:r w:rsidR="00DB477A">
        <w:t xml:space="preserve">mediating </w:t>
      </w:r>
      <w:r w:rsidR="00404F49">
        <w:t>variable</w:t>
      </w:r>
      <w:r w:rsidR="00FA41E7">
        <w:t>.  While all links a</w:t>
      </w:r>
      <w:r w:rsidR="00404F49">
        <w:t xml:space="preserve">re statistically significant at </w:t>
      </w:r>
      <w:r w:rsidR="005A7CD4" w:rsidRPr="00BF0D6F">
        <w:rPr>
          <w:i/>
        </w:rPr>
        <w:t>p</w:t>
      </w:r>
      <w:r w:rsidR="00A92150">
        <w:rPr>
          <w:i/>
        </w:rPr>
        <w:t xml:space="preserve"> </w:t>
      </w:r>
      <w:r w:rsidR="00347539">
        <w:t>≤</w:t>
      </w:r>
      <w:r w:rsidR="00A92150">
        <w:t xml:space="preserve"> </w:t>
      </w:r>
      <w:r w:rsidR="00404F49">
        <w:t>.0</w:t>
      </w:r>
      <w:r w:rsidR="004F47A6">
        <w:t>1</w:t>
      </w:r>
      <w:r w:rsidR="00404F49">
        <w:t xml:space="preserve"> </w:t>
      </w:r>
      <w:r w:rsidR="00C23419">
        <w:t>and all fit indices are acceptable</w:t>
      </w:r>
      <w:r w:rsidR="00404F49">
        <w:t xml:space="preserve"> (RMSEA .04</w:t>
      </w:r>
      <w:r w:rsidR="00E3272A">
        <w:t xml:space="preserve">9 </w:t>
      </w:r>
      <w:r w:rsidR="00404F49">
        <w:t>[CI: .04</w:t>
      </w:r>
      <w:r w:rsidR="00C4144B">
        <w:t>7</w:t>
      </w:r>
      <w:r w:rsidR="00404F49">
        <w:t>, .050], SRMR .0</w:t>
      </w:r>
      <w:r w:rsidR="00C4144B">
        <w:t>4</w:t>
      </w:r>
      <w:r w:rsidR="00404F49">
        <w:t>, NFI .9</w:t>
      </w:r>
      <w:r w:rsidR="00E3272A">
        <w:t>5</w:t>
      </w:r>
      <w:r w:rsidR="00404F49">
        <w:t>)</w:t>
      </w:r>
      <w:r w:rsidR="00FA41E7">
        <w:t xml:space="preserve">, </w:t>
      </w:r>
      <w:r w:rsidR="00C23419">
        <w:t xml:space="preserve">not </w:t>
      </w:r>
      <w:r w:rsidR="00FA41E7">
        <w:t>all pathways are positive</w:t>
      </w:r>
      <w:r w:rsidR="00404F49">
        <w:t xml:space="preserve">. </w:t>
      </w:r>
      <w:r w:rsidR="00233D23">
        <w:t>The</w:t>
      </w:r>
      <w:r w:rsidR="00FA41E7">
        <w:t xml:space="preserve"> </w:t>
      </w:r>
      <w:r w:rsidR="007505AB">
        <w:t>direct connections</w:t>
      </w:r>
      <w:r w:rsidR="00FA41E7">
        <w:t xml:space="preserve"> </w:t>
      </w:r>
      <w:r w:rsidR="00992BE0">
        <w:t>from</w:t>
      </w:r>
      <w:r w:rsidR="00FA41E7">
        <w:t xml:space="preserve"> spiritual intimacy to well-being</w:t>
      </w:r>
      <w:r w:rsidR="00992BE0">
        <w:t xml:space="preserve"> and </w:t>
      </w:r>
      <w:r w:rsidR="004B65CF">
        <w:t xml:space="preserve">to </w:t>
      </w:r>
      <w:r w:rsidR="004120A5">
        <w:t xml:space="preserve">marital </w:t>
      </w:r>
      <w:r w:rsidR="00992BE0">
        <w:t>intimacy became</w:t>
      </w:r>
      <w:r w:rsidR="00233D23">
        <w:t xml:space="preserve"> negative when spiritual meaning was added as a mediator</w:t>
      </w:r>
      <w:r w:rsidR="004B65CF">
        <w:t>,</w:t>
      </w:r>
      <w:r w:rsidR="00273701">
        <w:t xml:space="preserve"> demonstrat</w:t>
      </w:r>
      <w:r w:rsidR="00BF0D6F">
        <w:t>ing</w:t>
      </w:r>
      <w:r w:rsidR="00273701">
        <w:t xml:space="preserve"> strong indirect associations </w:t>
      </w:r>
      <w:r w:rsidR="004B65CF">
        <w:t xml:space="preserve">of spiritual intimacy </w:t>
      </w:r>
      <w:r w:rsidR="00273701">
        <w:t xml:space="preserve">with </w:t>
      </w:r>
      <w:r w:rsidR="004120A5">
        <w:t xml:space="preserve">marital </w:t>
      </w:r>
      <w:r w:rsidR="00273701">
        <w:t xml:space="preserve">intimacy and well-being, </w:t>
      </w:r>
      <w:r w:rsidR="007505AB">
        <w:t xml:space="preserve">acting </w:t>
      </w:r>
      <w:r w:rsidR="00273701">
        <w:t>through spiritual meaning.</w:t>
      </w:r>
      <w:r w:rsidR="007505AB">
        <w:t xml:space="preserve">  To determine whether adding spiritual meaning in this central position was an improvement over a model without connections through spiritual meaning we tested the model shown in </w:t>
      </w:r>
      <w:r w:rsidR="00121C9C">
        <w:t>F</w:t>
      </w:r>
      <w:r w:rsidR="007505AB">
        <w:t xml:space="preserve">igure 3 with the paths from spiritual meaning to marital intimacy and to well-being constrained to zero.  The results of this model (not shown) were very similar to </w:t>
      </w:r>
      <w:r w:rsidR="00A8339B">
        <w:t xml:space="preserve">the model without spiritual meaning we initially tested in </w:t>
      </w:r>
      <w:r w:rsidR="00613A31">
        <w:t>F</w:t>
      </w:r>
      <w:r w:rsidR="00A8339B">
        <w:t>igure 2.  The direct paths from spiritual intimacy to marital intimacy (0.1</w:t>
      </w:r>
      <w:r w:rsidR="00F527EE">
        <w:t>4</w:t>
      </w:r>
      <w:r w:rsidR="00A8339B">
        <w:t>, 95% CI [0.1</w:t>
      </w:r>
      <w:r w:rsidR="00F527EE">
        <w:t>1</w:t>
      </w:r>
      <w:r w:rsidR="00A8339B">
        <w:t>, 0.1</w:t>
      </w:r>
      <w:r w:rsidR="00F527EE">
        <w:t>8</w:t>
      </w:r>
      <w:r w:rsidR="00A8339B">
        <w:t xml:space="preserve">], </w:t>
      </w:r>
      <w:r w:rsidR="00A8339B">
        <w:rPr>
          <w:i/>
        </w:rPr>
        <w:t>p</w:t>
      </w:r>
      <w:r w:rsidR="00E70DCD">
        <w:rPr>
          <w:i/>
        </w:rPr>
        <w:t xml:space="preserve"> </w:t>
      </w:r>
      <w:r w:rsidR="00A8339B">
        <w:t>=</w:t>
      </w:r>
      <w:r w:rsidR="00CA4D06">
        <w:t xml:space="preserve"> </w:t>
      </w:r>
      <w:r w:rsidR="00A8339B">
        <w:t>.002) and from spiritual intimacy to well-being (0.3</w:t>
      </w:r>
      <w:r w:rsidR="00F527EE">
        <w:t>5</w:t>
      </w:r>
      <w:r w:rsidR="00A8339B">
        <w:t>, 95% CI [0.31, 0.3</w:t>
      </w:r>
      <w:r w:rsidR="00F527EE">
        <w:t>8</w:t>
      </w:r>
      <w:r w:rsidR="00A8339B">
        <w:t xml:space="preserve">], </w:t>
      </w:r>
      <w:r w:rsidR="00A8339B">
        <w:rPr>
          <w:i/>
        </w:rPr>
        <w:t>p</w:t>
      </w:r>
      <w:r w:rsidR="00A8339B">
        <w:t xml:space="preserve"> = .00</w:t>
      </w:r>
      <w:r w:rsidR="00F527EE">
        <w:t>2</w:t>
      </w:r>
      <w:r w:rsidR="00A8339B">
        <w:t>) were both reasonably strong and positive.</w:t>
      </w:r>
      <w:r w:rsidR="00D50DE2">
        <w:t xml:space="preserve">  Additionally, the model not containing the constraints is a better fit to the data than the constrained model</w:t>
      </w:r>
      <w:r w:rsidR="00E70DCD">
        <w:t xml:space="preserve"> (</w:t>
      </w:r>
      <w:r w:rsidR="00D50DE2">
        <w:t>χ² (</w:t>
      </w:r>
      <w:r w:rsidR="00F527EE">
        <w:t>2</w:t>
      </w:r>
      <w:r w:rsidR="00D50DE2">
        <w:t>)</w:t>
      </w:r>
      <w:r w:rsidR="00E70DCD">
        <w:t xml:space="preserve"> </w:t>
      </w:r>
      <w:r w:rsidR="00D50DE2">
        <w:t>=</w:t>
      </w:r>
      <w:r w:rsidR="00E70DCD">
        <w:t xml:space="preserve"> </w:t>
      </w:r>
      <w:r w:rsidR="00F527EE">
        <w:t>797.</w:t>
      </w:r>
      <w:r w:rsidR="00A50121">
        <w:t>18</w:t>
      </w:r>
      <w:r w:rsidR="00D50DE2">
        <w:t xml:space="preserve">, </w:t>
      </w:r>
      <w:r w:rsidR="00D50DE2">
        <w:rPr>
          <w:i/>
        </w:rPr>
        <w:t>p</w:t>
      </w:r>
      <w:r w:rsidR="00C902BF">
        <w:rPr>
          <w:i/>
        </w:rPr>
        <w:t xml:space="preserve"> </w:t>
      </w:r>
      <w:r w:rsidR="00D50DE2">
        <w:t>&lt;</w:t>
      </w:r>
      <w:r w:rsidR="00E86FCD">
        <w:t xml:space="preserve"> </w:t>
      </w:r>
      <w:r w:rsidR="00D50DE2">
        <w:t>.005</w:t>
      </w:r>
      <w:r w:rsidR="00E70DCD">
        <w:t>)</w:t>
      </w:r>
      <w:r w:rsidR="00D50DE2">
        <w:t>.</w:t>
      </w:r>
      <w:r w:rsidR="00A4225D">
        <w:t xml:space="preserve"> </w:t>
      </w:r>
      <w:r w:rsidR="00A8339B">
        <w:t xml:space="preserve">  </w:t>
      </w:r>
      <w:r w:rsidR="00CE3E8E">
        <w:t xml:space="preserve">These findings suggest that spiritual meaning is </w:t>
      </w:r>
      <w:r w:rsidR="004366E3">
        <w:t>the</w:t>
      </w:r>
      <w:r w:rsidR="009E4041">
        <w:t xml:space="preserve"> vehicle through which spiritual intimacy</w:t>
      </w:r>
      <w:r w:rsidR="004366E3">
        <w:t xml:space="preserve"> is modeled to</w:t>
      </w:r>
      <w:r w:rsidR="009E4041">
        <w:t xml:space="preserve"> facilitate </w:t>
      </w:r>
      <w:r w:rsidR="00CE3E8E">
        <w:t>greater marital intimacy and well-being.</w:t>
      </w:r>
      <w:r w:rsidR="00AE0E9D">
        <w:t xml:space="preserve"> In other words, it is the spiritual meaning that is a result of one’s relationship with God that is the impetus and model for greater levels of intimacy in one’s marriage and increased individual well-being. </w:t>
      </w:r>
    </w:p>
    <w:p w14:paraId="164C6E85" w14:textId="77777777" w:rsidR="00D37939" w:rsidRDefault="0022270A" w:rsidP="00CA04A3">
      <w:pPr>
        <w:pStyle w:val="APALevel2"/>
      </w:pPr>
      <w:r>
        <w:t xml:space="preserve">Connections </w:t>
      </w:r>
      <w:r w:rsidR="0055734D">
        <w:t>A</w:t>
      </w:r>
      <w:r>
        <w:t>mong Latent Variables</w:t>
      </w:r>
    </w:p>
    <w:p w14:paraId="0D38B2B2" w14:textId="77777777" w:rsidR="00D37939" w:rsidRPr="00D37939" w:rsidRDefault="0022270A" w:rsidP="002254EF">
      <w:pPr>
        <w:pStyle w:val="SPHParagraph"/>
      </w:pPr>
      <w:r>
        <w:t>D</w:t>
      </w:r>
      <w:r w:rsidR="00F01050">
        <w:t>irect, indirect</w:t>
      </w:r>
      <w:r>
        <w:t>, and total effects</w:t>
      </w:r>
      <w:r w:rsidR="00F01050">
        <w:t xml:space="preserve"> among all latent variables are shown in </w:t>
      </w:r>
      <w:r w:rsidR="008F7BF9">
        <w:t>T</w:t>
      </w:r>
      <w:r w:rsidR="00F01050">
        <w:t>able 2</w:t>
      </w:r>
      <w:r>
        <w:t xml:space="preserve"> along with their confidence limits and </w:t>
      </w:r>
      <w:r>
        <w:rPr>
          <w:i/>
        </w:rPr>
        <w:t>p</w:t>
      </w:r>
      <w:r>
        <w:t xml:space="preserve"> values.  All are statistically significant at </w:t>
      </w:r>
      <w:r>
        <w:rPr>
          <w:i/>
        </w:rPr>
        <w:t xml:space="preserve">p </w:t>
      </w:r>
      <w:r w:rsidR="00347539">
        <w:t>≤</w:t>
      </w:r>
      <w:r w:rsidR="008F7BF9">
        <w:t xml:space="preserve"> </w:t>
      </w:r>
      <w:r>
        <w:t>.0</w:t>
      </w:r>
      <w:r w:rsidR="004F47A6">
        <w:t>1</w:t>
      </w:r>
      <w:r>
        <w:t xml:space="preserve"> or better</w:t>
      </w:r>
      <w:r w:rsidR="00F01050">
        <w:t>.</w:t>
      </w:r>
      <w:r w:rsidR="00470C6E">
        <w:t xml:space="preserve">  </w:t>
      </w:r>
    </w:p>
    <w:p w14:paraId="532C09FD" w14:textId="77777777" w:rsidR="0079121A" w:rsidRPr="00C54448" w:rsidRDefault="0079121A" w:rsidP="00262D64">
      <w:pPr>
        <w:pStyle w:val="APALevel3"/>
        <w:keepNext w:val="0"/>
        <w:rPr>
          <w:vanish/>
          <w:specVanish/>
        </w:rPr>
      </w:pPr>
      <w:r>
        <w:t>Direct effects.</w:t>
      </w:r>
    </w:p>
    <w:p w14:paraId="5B881902" w14:textId="77777777" w:rsidR="0079121A" w:rsidRPr="00B12D93" w:rsidRDefault="0079121A" w:rsidP="00262D64">
      <w:pPr>
        <w:pStyle w:val="SPHParagraph"/>
      </w:pPr>
      <w:r>
        <w:t xml:space="preserve">  While all the direct paths among latent variables were significant, those pathways from spiritual intimacy to well-being and to </w:t>
      </w:r>
      <w:r w:rsidR="004120A5">
        <w:t xml:space="preserve">marital </w:t>
      </w:r>
      <w:r>
        <w:t xml:space="preserve">intimacy were both </w:t>
      </w:r>
      <w:r w:rsidR="0022270A">
        <w:t xml:space="preserve">relatively </w:t>
      </w:r>
      <w:r>
        <w:t xml:space="preserve">weak and negative.  </w:t>
      </w:r>
      <w:r w:rsidR="00CE3E8E">
        <w:t xml:space="preserve">This </w:t>
      </w:r>
      <w:r w:rsidR="001F3D72">
        <w:t xml:space="preserve">shows the </w:t>
      </w:r>
      <w:r w:rsidR="00603595">
        <w:t xml:space="preserve">importance </w:t>
      </w:r>
      <w:r w:rsidR="001F3D72">
        <w:t>of spiritual meaning</w:t>
      </w:r>
      <w:r w:rsidR="00603595">
        <w:t xml:space="preserve"> to marital intimacy and well-being</w:t>
      </w:r>
      <w:r w:rsidR="001F3D72">
        <w:t xml:space="preserve"> and raises the specter of what is left that creates a negative relationship when </w:t>
      </w:r>
      <w:r w:rsidR="00F9115A">
        <w:t>spiritual intimacy is bereft of spiritual meaning</w:t>
      </w:r>
      <w:r w:rsidR="001F3D72">
        <w:t>.</w:t>
      </w:r>
    </w:p>
    <w:p w14:paraId="0F34435D" w14:textId="77777777" w:rsidR="0079121A" w:rsidRPr="00C54448" w:rsidRDefault="0079121A" w:rsidP="00262D64">
      <w:pPr>
        <w:pStyle w:val="APALevel3"/>
        <w:keepNext w:val="0"/>
        <w:widowControl w:val="0"/>
        <w:rPr>
          <w:vanish/>
          <w:specVanish/>
        </w:rPr>
      </w:pPr>
      <w:r>
        <w:t>Indirect effects.</w:t>
      </w:r>
    </w:p>
    <w:p w14:paraId="6308EDE5" w14:textId="77777777" w:rsidR="002254EF" w:rsidRDefault="0079121A" w:rsidP="00262D64">
      <w:pPr>
        <w:pStyle w:val="SPHParagraph"/>
        <w:widowControl w:val="0"/>
        <w:rPr>
          <w:b/>
        </w:rPr>
      </w:pPr>
      <w:r>
        <w:rPr>
          <w:b/>
        </w:rPr>
        <w:t xml:space="preserve"> </w:t>
      </w:r>
      <w:r>
        <w:t>The indirect effects were mediated by spiritual meaning</w:t>
      </w:r>
      <w:r w:rsidR="0022270A">
        <w:t>.</w:t>
      </w:r>
      <w:r>
        <w:t xml:space="preserve">  </w:t>
      </w:r>
      <w:r w:rsidR="0022270A">
        <w:t>T</w:t>
      </w:r>
      <w:r>
        <w:t xml:space="preserve">he </w:t>
      </w:r>
      <w:r w:rsidR="00470C6E">
        <w:t xml:space="preserve">direct </w:t>
      </w:r>
      <w:r>
        <w:t>negative</w:t>
      </w:r>
      <w:r w:rsidR="0022270A">
        <w:t xml:space="preserve"> associations of spiritual intimacy with </w:t>
      </w:r>
      <w:r w:rsidR="004120A5">
        <w:t xml:space="preserve">marital </w:t>
      </w:r>
      <w:r w:rsidR="0022270A">
        <w:t>intimacy and with well</w:t>
      </w:r>
      <w:r w:rsidR="00273701">
        <w:t>-</w:t>
      </w:r>
      <w:r w:rsidR="0022270A">
        <w:t>being</w:t>
      </w:r>
      <w:r>
        <w:t xml:space="preserve"> </w:t>
      </w:r>
      <w:r w:rsidR="00470C6E">
        <w:t>were both strong and positive when considered as indirect effects working through spiritual meaning</w:t>
      </w:r>
      <w:r w:rsidR="00FD09CA">
        <w:t xml:space="preserve">.  </w:t>
      </w:r>
      <w:r w:rsidR="00CE3E8E">
        <w:t>This suggests the strong role of spiritual meaning when examining the relationship among spiritual intimacy, marital intimacy, and well-being.</w:t>
      </w:r>
    </w:p>
    <w:p w14:paraId="689B6359" w14:textId="77777777" w:rsidR="0022270A" w:rsidRPr="00CA04A3" w:rsidRDefault="002254EF" w:rsidP="00262D64">
      <w:pPr>
        <w:pStyle w:val="APALevel3"/>
        <w:keepNext w:val="0"/>
        <w:widowControl w:val="0"/>
        <w:rPr>
          <w:vanish/>
          <w:specVanish/>
        </w:rPr>
      </w:pPr>
      <w:r w:rsidRPr="00D37939">
        <w:t>Total effects.</w:t>
      </w:r>
      <w:r>
        <w:t xml:space="preserve">  </w:t>
      </w:r>
    </w:p>
    <w:p w14:paraId="2C3F4285" w14:textId="77777777" w:rsidR="00DB477A" w:rsidRPr="00FD09CA" w:rsidRDefault="0022270A" w:rsidP="00262D64">
      <w:pPr>
        <w:pStyle w:val="SPHParagraph"/>
        <w:widowControl w:val="0"/>
      </w:pPr>
      <w:r>
        <w:t xml:space="preserve"> </w:t>
      </w:r>
      <w:r w:rsidR="00411FFC">
        <w:t>As shown in Table 2, the t</w:t>
      </w:r>
      <w:r w:rsidR="002254EF">
        <w:t xml:space="preserve">otal effects </w:t>
      </w:r>
      <w:r w:rsidR="00470C6E">
        <w:t>of</w:t>
      </w:r>
      <w:r w:rsidR="002254EF">
        <w:t xml:space="preserve"> spiritual </w:t>
      </w:r>
      <w:r w:rsidR="00470C6E">
        <w:t>intimacy</w:t>
      </w:r>
      <w:r w:rsidR="002254EF">
        <w:t xml:space="preserve"> to </w:t>
      </w:r>
      <w:r w:rsidR="00470C6E">
        <w:t>spiritual meaning</w:t>
      </w:r>
      <w:r w:rsidR="002254EF">
        <w:t xml:space="preserve">, and </w:t>
      </w:r>
      <w:r w:rsidR="00470C6E">
        <w:t>of</w:t>
      </w:r>
      <w:r w:rsidR="002254EF">
        <w:t xml:space="preserve"> spiritual meaning</w:t>
      </w:r>
      <w:r w:rsidR="00470C6E">
        <w:t xml:space="preserve"> to well</w:t>
      </w:r>
      <w:r w:rsidR="00273701">
        <w:t>-</w:t>
      </w:r>
      <w:r w:rsidR="00470C6E">
        <w:t>being</w:t>
      </w:r>
      <w:r w:rsidR="002254EF">
        <w:t xml:space="preserve"> were both</w:t>
      </w:r>
      <w:r w:rsidR="00470C6E">
        <w:t xml:space="preserve"> </w:t>
      </w:r>
      <w:r w:rsidR="002254EF">
        <w:t>strong</w:t>
      </w:r>
      <w:r w:rsidR="00411FFC">
        <w:t xml:space="preserve"> relative to the other effects</w:t>
      </w:r>
      <w:r w:rsidR="00D72AC7">
        <w:t>.</w:t>
      </w:r>
      <w:r w:rsidR="002254EF">
        <w:t xml:space="preserve"> </w:t>
      </w:r>
      <w:r w:rsidR="00D72AC7">
        <w:t xml:space="preserve"> T</w:t>
      </w:r>
      <w:r w:rsidR="002254EF">
        <w:t>he path</w:t>
      </w:r>
      <w:r w:rsidR="006642FB">
        <w:t>s</w:t>
      </w:r>
      <w:r w:rsidR="002254EF">
        <w:t xml:space="preserve"> from spiritual </w:t>
      </w:r>
      <w:r w:rsidR="006642FB">
        <w:t xml:space="preserve">and </w:t>
      </w:r>
      <w:r w:rsidR="004120A5">
        <w:t xml:space="preserve">marital </w:t>
      </w:r>
      <w:r w:rsidR="002254EF">
        <w:t>intimacy to well-being w</w:t>
      </w:r>
      <w:r w:rsidR="006642FB">
        <w:t>ere</w:t>
      </w:r>
      <w:r w:rsidR="00411FFC">
        <w:t xml:space="preserve"> somewhat weaker</w:t>
      </w:r>
      <w:r w:rsidR="002254EF">
        <w:t xml:space="preserve"> and the path from spiritual </w:t>
      </w:r>
      <w:r w:rsidR="006642FB">
        <w:t>meaning</w:t>
      </w:r>
      <w:r w:rsidR="002254EF">
        <w:t xml:space="preserve"> to </w:t>
      </w:r>
      <w:r w:rsidR="004120A5">
        <w:t xml:space="preserve">marital </w:t>
      </w:r>
      <w:r w:rsidR="002254EF">
        <w:t xml:space="preserve">intimacy was </w:t>
      </w:r>
      <w:r w:rsidR="00411FFC">
        <w:t>the weakest though still significant</w:t>
      </w:r>
      <w:r w:rsidR="00470C6E">
        <w:t>.</w:t>
      </w:r>
      <w:r w:rsidR="00DB477A">
        <w:t xml:space="preserve"> </w:t>
      </w:r>
      <w:r w:rsidR="00603595">
        <w:t>S</w:t>
      </w:r>
      <w:r w:rsidR="001F3D72">
        <w:t>piritual meaning</w:t>
      </w:r>
      <w:r w:rsidR="00603595">
        <w:t>, thus,</w:t>
      </w:r>
      <w:r w:rsidR="001F3D72">
        <w:t xml:space="preserve"> is strongest in relation to well-being, but also strong in </w:t>
      </w:r>
      <w:r w:rsidR="00603595">
        <w:t xml:space="preserve">relation to </w:t>
      </w:r>
      <w:r w:rsidR="001F3D72">
        <w:t>marital intimacy.</w:t>
      </w:r>
    </w:p>
    <w:p w14:paraId="11E7C575" w14:textId="77777777" w:rsidR="006C485A" w:rsidRPr="00CB656D" w:rsidRDefault="0079121A" w:rsidP="00736669">
      <w:pPr>
        <w:pStyle w:val="SPHParagraph"/>
        <w:keepNext/>
        <w:widowControl w:val="0"/>
        <w:ind w:firstLine="0"/>
        <w:rPr>
          <w:b/>
          <w:specVanish/>
        </w:rPr>
      </w:pPr>
      <w:r w:rsidRPr="00CB656D">
        <w:rPr>
          <w:b/>
        </w:rPr>
        <w:t>Potential Moderating Factors</w:t>
      </w:r>
    </w:p>
    <w:p w14:paraId="038EC484" w14:textId="77777777" w:rsidR="0079121A" w:rsidRPr="0079121A" w:rsidRDefault="006C485A" w:rsidP="00603B55">
      <w:r>
        <w:t xml:space="preserve"> </w:t>
      </w:r>
      <w:r w:rsidR="00D174AF">
        <w:t>Using th</w:t>
      </w:r>
      <w:r w:rsidR="0079121A" w:rsidRPr="0079121A">
        <w:t>e</w:t>
      </w:r>
      <w:r w:rsidR="00D174AF">
        <w:t xml:space="preserve"> methods outlined in the analysis section, potential interactions</w:t>
      </w:r>
      <w:r w:rsidR="00AD301B">
        <w:t xml:space="preserve"> were tested</w:t>
      </w:r>
      <w:r w:rsidR="00D174AF">
        <w:t xml:space="preserve"> across the following groups:</w:t>
      </w:r>
      <w:r w:rsidR="00D174AF" w:rsidRPr="0079121A">
        <w:t xml:space="preserve">  (a) gender, </w:t>
      </w:r>
      <w:r w:rsidR="00397929">
        <w:t>(</w:t>
      </w:r>
      <w:r w:rsidR="00D174AF" w:rsidRPr="0079121A">
        <w:t xml:space="preserve">b) length of </w:t>
      </w:r>
      <w:r w:rsidR="004120A5">
        <w:t xml:space="preserve">marriage </w:t>
      </w:r>
      <w:r w:rsidR="00D174AF" w:rsidRPr="0079121A">
        <w:t xml:space="preserve">relationship by age group—both by tertiles and median split, (c) length of </w:t>
      </w:r>
      <w:r w:rsidR="004120A5">
        <w:t xml:space="preserve">marriage </w:t>
      </w:r>
      <w:r w:rsidR="00D174AF" w:rsidRPr="0079121A">
        <w:t>relationship in 10-year increments using age as a control, and (d) ethnicity as well as ethnicity by gender using age as a control.</w:t>
      </w:r>
      <w:r w:rsidR="00D174AF">
        <w:t xml:space="preserve">  </w:t>
      </w:r>
      <w:r w:rsidR="00AD301B">
        <w:t>There were</w:t>
      </w:r>
      <w:r w:rsidR="00D174AF">
        <w:t xml:space="preserve"> no significant interactions</w:t>
      </w:r>
      <w:r w:rsidR="001F3D72">
        <w:t xml:space="preserve"> suggesting that gender, length of relationship, and ethnicity do not change the strong mediational</w:t>
      </w:r>
      <w:r w:rsidR="00C6142E">
        <w:t xml:space="preserve"> role of spiritual meaning</w:t>
      </w:r>
      <w:r w:rsidR="0017099A">
        <w:t xml:space="preserve"> </w:t>
      </w:r>
      <w:r w:rsidR="00D72AC7">
        <w:t>in the association of</w:t>
      </w:r>
      <w:r w:rsidR="0017099A">
        <w:t xml:space="preserve"> marital and spiritual intimacy </w:t>
      </w:r>
      <w:r w:rsidR="00D72AC7">
        <w:t>with</w:t>
      </w:r>
      <w:r w:rsidR="0017099A">
        <w:t xml:space="preserve"> well-being.</w:t>
      </w:r>
      <w:r w:rsidR="0079121A" w:rsidRPr="0079121A">
        <w:t xml:space="preserve"> </w:t>
      </w:r>
    </w:p>
    <w:p w14:paraId="1715B979" w14:textId="77777777" w:rsidR="007A065A" w:rsidRDefault="0009308D" w:rsidP="009B1DA5">
      <w:pPr>
        <w:pStyle w:val="APALevel1"/>
      </w:pPr>
      <w:r>
        <w:t>Discussion</w:t>
      </w:r>
    </w:p>
    <w:p w14:paraId="25CA0B33" w14:textId="006682B9" w:rsidR="00F0692C" w:rsidRDefault="007A065A" w:rsidP="004924D0">
      <w:r>
        <w:t>The results of this study show that</w:t>
      </w:r>
      <w:r w:rsidR="00AE0E9D">
        <w:t xml:space="preserve"> spiritual meaning, as a component of one’s relationship with God, is a strong predictor of increased marital intimacy and individual well-being.</w:t>
      </w:r>
      <w:r w:rsidR="00F0692C">
        <w:t xml:space="preserve"> Having a relationship with God </w:t>
      </w:r>
      <w:r w:rsidR="002F1487">
        <w:t xml:space="preserve">may </w:t>
      </w:r>
      <w:r w:rsidR="00F0692C">
        <w:t>improve one’s marital intimacy and well-being, but it is the spiritual meaning aspect of spiritual intimacy that is the key agent in predicting greater marital intimacy and well-being.  Without spiritual meaning as a product of one’s relationship with God, marital intimacy and well-being can be negatively affected.</w:t>
      </w:r>
    </w:p>
    <w:p w14:paraId="37790F4E" w14:textId="7C6DCE47" w:rsidR="00EF72B0" w:rsidRDefault="00AE0E9D" w:rsidP="004924D0">
      <w:r>
        <w:t>W</w:t>
      </w:r>
      <w:r w:rsidR="007A065A">
        <w:t>hen spiritual meaning is not included in the model the spiritual intimacy to well-being relationship is strongly positive</w:t>
      </w:r>
      <w:r w:rsidR="00760D5D">
        <w:t xml:space="preserve">. </w:t>
      </w:r>
      <w:r w:rsidR="007A065A">
        <w:t>However, when spiritual meaning is added, the direct positive connections of spiritual intimacy to marital intimacy or to well-being</w:t>
      </w:r>
      <w:r w:rsidR="00C268B2">
        <w:t xml:space="preserve"> become</w:t>
      </w:r>
      <w:r w:rsidR="007A065A">
        <w:t xml:space="preserve"> negative. </w:t>
      </w:r>
      <w:r w:rsidR="00C268B2">
        <w:t xml:space="preserve"> Thus, s</w:t>
      </w:r>
      <w:r w:rsidR="00126282">
        <w:t xml:space="preserve">piritual intimacy primarily predicts spiritual meaning, and what remains </w:t>
      </w:r>
      <w:r w:rsidR="00C268B2">
        <w:t xml:space="preserve">from spiritual intimacy </w:t>
      </w:r>
      <w:r w:rsidR="00126282">
        <w:t xml:space="preserve">predicts well-being and </w:t>
      </w:r>
      <w:r w:rsidR="004120A5">
        <w:t xml:space="preserve">marital </w:t>
      </w:r>
      <w:r w:rsidR="00126282">
        <w:t xml:space="preserve">intimacy only weakly. </w:t>
      </w:r>
      <w:r w:rsidR="00C268B2">
        <w:t>However, a</w:t>
      </w:r>
      <w:r w:rsidR="00247B39">
        <w:t xml:space="preserve">lthough </w:t>
      </w:r>
      <w:r w:rsidR="00126282">
        <w:t xml:space="preserve">the direct </w:t>
      </w:r>
      <w:r w:rsidR="00676394">
        <w:t>negative</w:t>
      </w:r>
      <w:r w:rsidR="004B65CF">
        <w:t xml:space="preserve"> </w:t>
      </w:r>
      <w:r w:rsidR="00126282">
        <w:t xml:space="preserve">relationships of </w:t>
      </w:r>
      <w:r w:rsidR="00BF21A6">
        <w:t>spiritual intimacy</w:t>
      </w:r>
      <w:r w:rsidR="00126282">
        <w:t xml:space="preserve"> to </w:t>
      </w:r>
      <w:r w:rsidR="004120A5">
        <w:t xml:space="preserve">marital </w:t>
      </w:r>
      <w:r w:rsidR="00126282">
        <w:t xml:space="preserve">intimacy </w:t>
      </w:r>
      <w:r w:rsidR="00676394">
        <w:t xml:space="preserve">and to well-being after spiritual meaning was included in the model </w:t>
      </w:r>
      <w:r w:rsidR="00126282">
        <w:t>are counterintuitive</w:t>
      </w:r>
      <w:r w:rsidR="00D72AC7">
        <w:t xml:space="preserve"> and do not match our original conceptual model (</w:t>
      </w:r>
      <w:r w:rsidR="00121C9C">
        <w:t>F</w:t>
      </w:r>
      <w:r w:rsidR="00D72AC7">
        <w:t>igure 1)</w:t>
      </w:r>
      <w:r w:rsidR="00126282">
        <w:t xml:space="preserve">, </w:t>
      </w:r>
      <w:r w:rsidR="00BF21A6">
        <w:t>the connection</w:t>
      </w:r>
      <w:r w:rsidR="00247B39">
        <w:t>s</w:t>
      </w:r>
      <w:r w:rsidR="00BF21A6">
        <w:t xml:space="preserve"> between spiritual intimacy and </w:t>
      </w:r>
      <w:r w:rsidR="00247B39">
        <w:t xml:space="preserve">both </w:t>
      </w:r>
      <w:r w:rsidR="00BF21A6">
        <w:t xml:space="preserve">well-being and </w:t>
      </w:r>
      <w:r w:rsidR="004120A5">
        <w:t xml:space="preserve">marital </w:t>
      </w:r>
      <w:r w:rsidR="00BF21A6">
        <w:t>intimacy through spiritual meaning</w:t>
      </w:r>
      <w:r w:rsidR="00247B39">
        <w:t xml:space="preserve"> </w:t>
      </w:r>
      <w:r w:rsidR="00C512E6">
        <w:t>a</w:t>
      </w:r>
      <w:r w:rsidR="00247B39">
        <w:t>re in the expected direction, and substantially stronger than the direct pathways</w:t>
      </w:r>
      <w:r w:rsidR="00C268B2">
        <w:t xml:space="preserve"> in the model without spiritual meaning</w:t>
      </w:r>
      <w:r w:rsidR="00BF21A6">
        <w:t xml:space="preserve">. </w:t>
      </w:r>
    </w:p>
    <w:p w14:paraId="3A4CED97" w14:textId="77777777" w:rsidR="00371908" w:rsidRPr="00FD6581" w:rsidRDefault="00EF72B0" w:rsidP="00CB4B74">
      <w:pPr>
        <w:pStyle w:val="APALevel3"/>
        <w:keepNext w:val="0"/>
        <w:rPr>
          <w:b w:val="0"/>
          <w:vanish/>
          <w:specVanish/>
        </w:rPr>
      </w:pPr>
      <w:r w:rsidRPr="00787DD0">
        <w:t>Meaning in life.</w:t>
      </w:r>
    </w:p>
    <w:p w14:paraId="344393EC" w14:textId="77777777" w:rsidR="00EF72B0" w:rsidRDefault="00EF72B0" w:rsidP="00EF72B0">
      <w:r>
        <w:t xml:space="preserve">  </w:t>
      </w:r>
      <w:r w:rsidR="000F344F">
        <w:t xml:space="preserve">The strength of </w:t>
      </w:r>
      <w:r w:rsidR="00D72AC7">
        <w:t xml:space="preserve">the </w:t>
      </w:r>
      <w:r w:rsidR="00BB3F1C">
        <w:t>mediat</w:t>
      </w:r>
      <w:r w:rsidR="00126282">
        <w:t>ional</w:t>
      </w:r>
      <w:r w:rsidR="000F344F">
        <w:t xml:space="preserve"> pathway </w:t>
      </w:r>
      <w:r w:rsidR="00D72AC7">
        <w:t xml:space="preserve">through spiritual meaning </w:t>
      </w:r>
      <w:r w:rsidR="000F344F">
        <w:t xml:space="preserve">suggests </w:t>
      </w:r>
      <w:r w:rsidR="000F344F" w:rsidRPr="007D6F0D">
        <w:t xml:space="preserve">that </w:t>
      </w:r>
      <w:r w:rsidR="00F21584">
        <w:t xml:space="preserve">perceived </w:t>
      </w:r>
      <w:r w:rsidR="00E019F2">
        <w:t>s</w:t>
      </w:r>
      <w:r w:rsidR="00F21584" w:rsidRPr="007D6F0D">
        <w:t xml:space="preserve">piritual </w:t>
      </w:r>
      <w:r w:rsidR="000F344F" w:rsidRPr="007D6F0D">
        <w:t xml:space="preserve">intimacy is </w:t>
      </w:r>
      <w:r w:rsidR="000F344F">
        <w:t>important</w:t>
      </w:r>
      <w:r w:rsidR="00126282">
        <w:t xml:space="preserve"> largely</w:t>
      </w:r>
      <w:r w:rsidR="000F344F">
        <w:t xml:space="preserve"> because it </w:t>
      </w:r>
      <w:r w:rsidR="000F344F" w:rsidRPr="007D6F0D">
        <w:t xml:space="preserve">gives meaning to </w:t>
      </w:r>
      <w:r w:rsidR="006C485A">
        <w:t>a person’s</w:t>
      </w:r>
      <w:r w:rsidR="006C485A" w:rsidRPr="007D6F0D">
        <w:t xml:space="preserve"> </w:t>
      </w:r>
      <w:r w:rsidR="000F344F" w:rsidRPr="007D6F0D">
        <w:t>li</w:t>
      </w:r>
      <w:r w:rsidR="006C485A">
        <w:t>fe</w:t>
      </w:r>
      <w:r w:rsidR="00126282">
        <w:t>,</w:t>
      </w:r>
      <w:r w:rsidR="000F344F">
        <w:t xml:space="preserve"> providing </w:t>
      </w:r>
      <w:r w:rsidR="00126282">
        <w:t>a</w:t>
      </w:r>
      <w:r w:rsidR="000F344F">
        <w:t xml:space="preserve"> sense of </w:t>
      </w:r>
      <w:r w:rsidR="00126282">
        <w:t>connection to</w:t>
      </w:r>
      <w:r w:rsidR="000F344F">
        <w:t xml:space="preserve"> a higher power </w:t>
      </w:r>
      <w:r w:rsidR="00911CAC">
        <w:t>who</w:t>
      </w:r>
      <w:r w:rsidR="000F344F">
        <w:t xml:space="preserve"> </w:t>
      </w:r>
      <w:r w:rsidR="006C485A">
        <w:t xml:space="preserve">is believed to </w:t>
      </w:r>
      <w:r w:rsidR="000F344F">
        <w:t>care for us,</w:t>
      </w:r>
      <w:r w:rsidR="00911CAC">
        <w:t xml:space="preserve"> </w:t>
      </w:r>
      <w:r w:rsidR="000F344F">
        <w:t>enabl</w:t>
      </w:r>
      <w:r w:rsidR="00126282">
        <w:t>ing</w:t>
      </w:r>
      <w:r w:rsidR="000F344F">
        <w:t xml:space="preserve"> positive religious coping (Pargament, Tarakeshwar, Ellison, &amp; Wulff, 2001). </w:t>
      </w:r>
      <w:r w:rsidRPr="007D6F0D">
        <w:t xml:space="preserve"> </w:t>
      </w:r>
      <w:r w:rsidR="00C268B2">
        <w:t xml:space="preserve">This is consistent with </w:t>
      </w:r>
      <w:r w:rsidR="00C4509D">
        <w:t xml:space="preserve">Wnuk and Marcinkowski (2014) </w:t>
      </w:r>
      <w:r w:rsidR="00C268B2">
        <w:t xml:space="preserve">findings </w:t>
      </w:r>
      <w:r w:rsidR="00C4509D">
        <w:t xml:space="preserve">that hope and meaning in life </w:t>
      </w:r>
      <w:r w:rsidR="00C268B2">
        <w:t>a</w:t>
      </w:r>
      <w:r w:rsidR="00C4509D">
        <w:t>re mediators between spiritual experiences and the life satisfaction portion of well-being</w:t>
      </w:r>
      <w:r w:rsidR="00126282">
        <w:t xml:space="preserve"> </w:t>
      </w:r>
      <w:r w:rsidR="00E37455">
        <w:t>and affirms</w:t>
      </w:r>
      <w:r w:rsidR="00C268B2">
        <w:t xml:space="preserve"> </w:t>
      </w:r>
      <w:r w:rsidR="00126282">
        <w:t>the observed</w:t>
      </w:r>
      <w:r w:rsidR="006C22AD">
        <w:t xml:space="preserve"> relative importance</w:t>
      </w:r>
      <w:r w:rsidR="00126282">
        <w:t xml:space="preserve"> of life satisfaction </w:t>
      </w:r>
      <w:r w:rsidR="006C22AD">
        <w:t>to the latent variable of well-being</w:t>
      </w:r>
      <w:r w:rsidR="006C485A">
        <w:t xml:space="preserve"> in the model used here</w:t>
      </w:r>
      <w:r w:rsidR="006C22AD">
        <w:t xml:space="preserve">. </w:t>
      </w:r>
      <w:r w:rsidR="00126282">
        <w:t xml:space="preserve"> </w:t>
      </w:r>
    </w:p>
    <w:p w14:paraId="1F8E84F3" w14:textId="77777777" w:rsidR="00EF72B0" w:rsidRDefault="00EF72B0" w:rsidP="00EF72B0">
      <w:pPr>
        <w:ind w:firstLine="0"/>
      </w:pPr>
      <w:r>
        <w:tab/>
        <w:t xml:space="preserve">Baumeister, Vohs, Aaker, and Garbinsky (2013) </w:t>
      </w:r>
      <w:r w:rsidR="001309F7">
        <w:t xml:space="preserve">examining life satisfaction </w:t>
      </w:r>
      <w:r>
        <w:t>found that happiness was associated with being a taker</w:t>
      </w:r>
      <w:r w:rsidR="00A917CB">
        <w:t>,</w:t>
      </w:r>
      <w:r>
        <w:t xml:space="preserve"> whereas meaningfulness was associated with being a giver.  The </w:t>
      </w:r>
      <w:r w:rsidR="006C22AD">
        <w:t>“</w:t>
      </w:r>
      <w:r>
        <w:t>giver</w:t>
      </w:r>
      <w:r w:rsidR="006C22AD">
        <w:t>” construct</w:t>
      </w:r>
      <w:r>
        <w:t xml:space="preserve"> </w:t>
      </w:r>
      <w:r w:rsidR="006C22AD">
        <w:t>parallels</w:t>
      </w:r>
      <w:r>
        <w:t xml:space="preserve"> Wachs and Cordova</w:t>
      </w:r>
      <w:r w:rsidR="006C22AD">
        <w:t>’s</w:t>
      </w:r>
      <w:r>
        <w:t xml:space="preserve"> (2007) </w:t>
      </w:r>
      <w:r w:rsidR="006C22AD">
        <w:t xml:space="preserve">descriptions </w:t>
      </w:r>
      <w:r>
        <w:t>of being attuned to the concerns and needs of others</w:t>
      </w:r>
      <w:r w:rsidR="006C22AD">
        <w:t xml:space="preserve"> which, in turn</w:t>
      </w:r>
      <w:r>
        <w:t xml:space="preserve"> promot</w:t>
      </w:r>
      <w:r w:rsidR="006C22AD">
        <w:t>es</w:t>
      </w:r>
      <w:r>
        <w:t xml:space="preserve"> </w:t>
      </w:r>
      <w:r w:rsidR="005217CD">
        <w:t xml:space="preserve">marital </w:t>
      </w:r>
      <w:r>
        <w:t>intimacy, and also with Dollahite and Marks</w:t>
      </w:r>
      <w:r w:rsidR="006C22AD">
        <w:t>’</w:t>
      </w:r>
      <w:r>
        <w:t xml:space="preserve"> (2009) </w:t>
      </w:r>
      <w:r w:rsidR="006C22AD">
        <w:t>descriptions of</w:t>
      </w:r>
      <w:r>
        <w:t xml:space="preserve"> </w:t>
      </w:r>
      <w:r w:rsidR="006C22AD">
        <w:t xml:space="preserve">the </w:t>
      </w:r>
      <w:r>
        <w:t>selfless priorit</w:t>
      </w:r>
      <w:r w:rsidR="006C22AD">
        <w:t>ies</w:t>
      </w:r>
      <w:r>
        <w:t xml:space="preserve"> of faith and family </w:t>
      </w:r>
      <w:r w:rsidR="006C22AD">
        <w:t>as</w:t>
      </w:r>
      <w:r>
        <w:t xml:space="preserve"> a manifestation of sacred meaning </w:t>
      </w:r>
      <w:r w:rsidR="006C22AD">
        <w:t>in</w:t>
      </w:r>
      <w:r>
        <w:t xml:space="preserve"> life.  </w:t>
      </w:r>
      <w:r w:rsidR="00AD21A5">
        <w:t xml:space="preserve">Stafford &amp; McPherson (2014) </w:t>
      </w:r>
      <w:r w:rsidR="00626E81">
        <w:t xml:space="preserve">include sacrifice as an important factor in what they term “sanctity of marriage.” Together, these </w:t>
      </w:r>
      <w:r>
        <w:t xml:space="preserve">provide a possible </w:t>
      </w:r>
      <w:r w:rsidR="00AD21A5">
        <w:t>explanation for how</w:t>
      </w:r>
      <w:r w:rsidR="006C22AD">
        <w:t xml:space="preserve"> </w:t>
      </w:r>
      <w:r>
        <w:t>spiritual meaning</w:t>
      </w:r>
      <w:r w:rsidR="00DB0D4E">
        <w:t xml:space="preserve">—through the </w:t>
      </w:r>
      <w:r w:rsidR="0090488E">
        <w:t xml:space="preserve">modeling </w:t>
      </w:r>
      <w:r w:rsidR="00DB0D4E">
        <w:t>of selfless giving—</w:t>
      </w:r>
      <w:r w:rsidR="00AD21A5">
        <w:t xml:space="preserve">is associated with </w:t>
      </w:r>
      <w:r>
        <w:t xml:space="preserve">both well-being and </w:t>
      </w:r>
      <w:r w:rsidR="005217CD">
        <w:t xml:space="preserve">marital </w:t>
      </w:r>
      <w:r>
        <w:t>intimacy</w:t>
      </w:r>
      <w:r w:rsidR="00E01D9B">
        <w:t>.</w:t>
      </w:r>
    </w:p>
    <w:p w14:paraId="398F2B4E" w14:textId="77777777" w:rsidR="00C4509D" w:rsidRDefault="00060B5E" w:rsidP="009D70FF">
      <w:r>
        <w:t>F</w:t>
      </w:r>
      <w:r w:rsidR="00EF72B0">
        <w:t xml:space="preserve">rom a different perspective, Van Tongeren, Hook, and Davis (2013) found that spiritual meaning was enhanced by </w:t>
      </w:r>
      <w:r w:rsidR="00CA04A3">
        <w:t>what they termed “</w:t>
      </w:r>
      <w:r w:rsidR="00EF72B0">
        <w:t>defensive</w:t>
      </w:r>
      <w:r w:rsidR="00CA04A3">
        <w:t>”</w:t>
      </w:r>
      <w:r w:rsidR="00EF72B0">
        <w:t xml:space="preserve"> religious beliefs—those that pr</w:t>
      </w:r>
      <w:r w:rsidR="00D4428B">
        <w:t>ovided</w:t>
      </w:r>
      <w:r w:rsidR="00EF72B0">
        <w:t xml:space="preserve"> solace, comfort, and stability—rather than existential beliefs </w:t>
      </w:r>
      <w:r w:rsidR="006F2CAA">
        <w:t xml:space="preserve">that are </w:t>
      </w:r>
      <w:r w:rsidR="00D4428B">
        <w:t>less rooted in the present</w:t>
      </w:r>
      <w:r w:rsidR="00EF72B0">
        <w:t xml:space="preserve">.  This </w:t>
      </w:r>
      <w:r w:rsidR="00D4428B">
        <w:t xml:space="preserve">enhanced spiritual meaning resulted from commitment to one’s religious community and its validation of one’s attachment to God. </w:t>
      </w:r>
      <w:r w:rsidR="00EF72B0">
        <w:t xml:space="preserve">This </w:t>
      </w:r>
      <w:r>
        <w:t>suggest</w:t>
      </w:r>
      <w:r w:rsidR="00D4428B">
        <w:t>s</w:t>
      </w:r>
      <w:r w:rsidR="00EF72B0">
        <w:t xml:space="preserve"> another possible mechanism for explaining how spiritual meaning—birthed from tangible personal experiences with God—</w:t>
      </w:r>
      <w:r w:rsidR="00D4428B">
        <w:t>might</w:t>
      </w:r>
      <w:r w:rsidR="004962E5">
        <w:t xml:space="preserve"> </w:t>
      </w:r>
      <w:r w:rsidR="00EF72B0">
        <w:t xml:space="preserve">enhance both </w:t>
      </w:r>
      <w:r w:rsidR="005217CD">
        <w:t xml:space="preserve">marital </w:t>
      </w:r>
      <w:r w:rsidR="00EF72B0">
        <w:t>intimacy and well-being.</w:t>
      </w:r>
    </w:p>
    <w:p w14:paraId="447D1EAF" w14:textId="77777777" w:rsidR="000D6B47" w:rsidRPr="00736669" w:rsidRDefault="000D6B47" w:rsidP="00736669">
      <w:pPr>
        <w:pStyle w:val="APALevel3"/>
        <w:rPr>
          <w:vanish/>
          <w:specVanish/>
        </w:rPr>
      </w:pPr>
      <w:r>
        <w:t>Spiritual intimacy without meaning.</w:t>
      </w:r>
    </w:p>
    <w:p w14:paraId="0F0F0721" w14:textId="77777777" w:rsidR="000D6B47" w:rsidRDefault="000D6B47" w:rsidP="009D70FF">
      <w:r>
        <w:t xml:space="preserve">  A finding we did not initially </w:t>
      </w:r>
      <w:r w:rsidR="0047209D">
        <w:t>anticipate</w:t>
      </w:r>
      <w:r>
        <w:t xml:space="preserve"> was that spiritual intimacy would be associated with poorer marital intimacy and poorer well-being once spiritual meaning was accounted for.  Why is spiritual intimacy without meaning associated with negative outcomes?  </w:t>
      </w:r>
      <w:r w:rsidR="0047209D">
        <w:t xml:space="preserve">At least two areas in the religion and health literature </w:t>
      </w:r>
      <w:r w:rsidR="000136F3">
        <w:t xml:space="preserve">not included in the model </w:t>
      </w:r>
      <w:r w:rsidR="0047209D">
        <w:t>suggest possible explanations</w:t>
      </w:r>
      <w:r w:rsidR="000136F3">
        <w:t>, and in</w:t>
      </w:r>
      <w:r w:rsidR="00CB6969">
        <w:t xml:space="preserve"> light of the findings </w:t>
      </w:r>
      <w:r w:rsidR="000136F3">
        <w:t>are important to discuss: the constructs of negative religious coping and extrinsic religiosity</w:t>
      </w:r>
      <w:r w:rsidR="00CB6969">
        <w:t>. The focus in this study is on positive religious coping, but religiously-oriented yet maladaptive coping strategies also exist and may contribute to the portrait of someone high on spiritual intimacy.  These elements are unlikely to contribute much to spiritual meaning, but may nonetheless influence the nature of one’s spiritual intimacy and thus might help explain this study’s findings of weak, negative direct links from spiritual intimacy to marital intimacy and to well-being coupled with strong, positive indirect links to those same outcomes via spiritual meaning</w:t>
      </w:r>
    </w:p>
    <w:p w14:paraId="4E913183" w14:textId="77777777" w:rsidR="00FF74E3" w:rsidRPr="00C4509D" w:rsidRDefault="002C7BD7" w:rsidP="00C4509D">
      <w:pPr>
        <w:rPr>
          <w:b/>
          <w:vanish/>
          <w:specVanish/>
        </w:rPr>
      </w:pPr>
      <w:r w:rsidRPr="00736669">
        <w:rPr>
          <w:rStyle w:val="APALevel4Char"/>
        </w:rPr>
        <w:t xml:space="preserve">Negative </w:t>
      </w:r>
      <w:r w:rsidR="0055734D" w:rsidRPr="00736669">
        <w:rPr>
          <w:rStyle w:val="APALevel4Char"/>
        </w:rPr>
        <w:t>r</w:t>
      </w:r>
      <w:r w:rsidRPr="00736669">
        <w:rPr>
          <w:rStyle w:val="APALevel4Char"/>
        </w:rPr>
        <w:t xml:space="preserve">eligious </w:t>
      </w:r>
      <w:r w:rsidR="0055734D" w:rsidRPr="00736669">
        <w:rPr>
          <w:rStyle w:val="APALevel4Char"/>
        </w:rPr>
        <w:t>c</w:t>
      </w:r>
      <w:r w:rsidRPr="00736669">
        <w:rPr>
          <w:rStyle w:val="APALevel4Char"/>
        </w:rPr>
        <w:t>oping</w:t>
      </w:r>
      <w:r w:rsidR="0082366A" w:rsidRPr="00C4509D">
        <w:rPr>
          <w:b/>
        </w:rPr>
        <w:t>.</w:t>
      </w:r>
    </w:p>
    <w:p w14:paraId="33255518" w14:textId="77777777" w:rsidR="00754121" w:rsidRPr="008A281E" w:rsidRDefault="00133083" w:rsidP="00894275">
      <w:pPr>
        <w:ind w:firstLine="0"/>
        <w:rPr>
          <w:vanish/>
          <w:specVanish/>
        </w:rPr>
      </w:pPr>
      <w:r>
        <w:t xml:space="preserve"> </w:t>
      </w:r>
    </w:p>
    <w:p w14:paraId="3A3E3FC7" w14:textId="77777777" w:rsidR="008F7BF9" w:rsidRDefault="00CB65A9" w:rsidP="00DD3FC2">
      <w:r>
        <w:t xml:space="preserve"> </w:t>
      </w:r>
      <w:r w:rsidR="00814632">
        <w:t>Negative religious coping has</w:t>
      </w:r>
      <w:r w:rsidR="004962E5">
        <w:t xml:space="preserve"> indeed</w:t>
      </w:r>
      <w:r w:rsidR="00814632">
        <w:t xml:space="preserve"> been shown to have </w:t>
      </w:r>
      <w:r w:rsidR="00F63E5E">
        <w:t xml:space="preserve">deleterious </w:t>
      </w:r>
      <w:r w:rsidR="00814632">
        <w:t>effects on both interpersonal relationships and well-being</w:t>
      </w:r>
      <w:r w:rsidR="00CB6969">
        <w:t xml:space="preserve"> (</w:t>
      </w:r>
      <w:r w:rsidR="007F273E">
        <w:t>Mahoney</w:t>
      </w:r>
      <w:r w:rsidR="002A65A1">
        <w:t xml:space="preserve">, Pargament, Tarakeshwar, </w:t>
      </w:r>
      <w:r w:rsidR="00CB6969">
        <w:t xml:space="preserve">&amp; </w:t>
      </w:r>
      <w:r w:rsidR="002A65A1">
        <w:t>Swank</w:t>
      </w:r>
      <w:r w:rsidR="00CB6969">
        <w:t>,</w:t>
      </w:r>
      <w:r w:rsidR="002A65A1">
        <w:t xml:space="preserve"> </w:t>
      </w:r>
      <w:r w:rsidR="007F273E">
        <w:t>2001)</w:t>
      </w:r>
      <w:r w:rsidR="00CB6969">
        <w:t>.</w:t>
      </w:r>
      <w:r w:rsidR="007F273E">
        <w:t xml:space="preserve"> </w:t>
      </w:r>
      <w:r w:rsidR="00DD3FC2">
        <w:t>D</w:t>
      </w:r>
      <w:r w:rsidR="000A497C">
        <w:t xml:space="preserve">espite </w:t>
      </w:r>
      <w:r w:rsidR="008749D8">
        <w:t xml:space="preserve">positive religious coping </w:t>
      </w:r>
      <w:r w:rsidR="000A497C">
        <w:t xml:space="preserve">acting as </w:t>
      </w:r>
      <w:r w:rsidR="008749D8">
        <w:t>a buffer for romantic attachment</w:t>
      </w:r>
      <w:r w:rsidR="00F63E5E">
        <w:t xml:space="preserve"> or </w:t>
      </w:r>
      <w:r w:rsidR="008749D8">
        <w:t xml:space="preserve">avoidance it </w:t>
      </w:r>
      <w:r w:rsidR="00DD3FC2">
        <w:t xml:space="preserve">does </w:t>
      </w:r>
      <w:r w:rsidR="008749D8">
        <w:t xml:space="preserve">not attenuate the negative issues </w:t>
      </w:r>
      <w:r w:rsidR="00DD3FC2">
        <w:t xml:space="preserve"> (Pollard et al., 2014). This </w:t>
      </w:r>
      <w:r w:rsidR="008749D8">
        <w:t xml:space="preserve">could </w:t>
      </w:r>
      <w:r w:rsidR="00DD3FC2">
        <w:t xml:space="preserve">possibly </w:t>
      </w:r>
      <w:r w:rsidR="008749D8">
        <w:t>expla</w:t>
      </w:r>
      <w:r w:rsidR="00317E05">
        <w:t>in</w:t>
      </w:r>
      <w:r w:rsidR="008749D8">
        <w:t xml:space="preserve"> the small negative direct </w:t>
      </w:r>
      <w:r w:rsidR="00FD6581">
        <w:t xml:space="preserve">path </w:t>
      </w:r>
      <w:r w:rsidR="008749D8">
        <w:t>effect seen in our model</w:t>
      </w:r>
      <w:r w:rsidR="00351A77">
        <w:t xml:space="preserve"> as being due to ambivalence and inconsistency in one’s relationship to God</w:t>
      </w:r>
      <w:r w:rsidR="00317E05">
        <w:t>.</w:t>
      </w:r>
      <w:r w:rsidR="008749D8">
        <w:t xml:space="preserve"> </w:t>
      </w:r>
      <w:r w:rsidR="00DD3FC2">
        <w:t xml:space="preserve"> </w:t>
      </w:r>
      <w:r w:rsidR="00970780">
        <w:t xml:space="preserve">Another factor </w:t>
      </w:r>
      <w:r w:rsidR="009818C4">
        <w:t xml:space="preserve">is that not all spouses </w:t>
      </w:r>
      <w:r w:rsidR="00970780">
        <w:t>are homogenous in their religious beliefs</w:t>
      </w:r>
      <w:r w:rsidR="008F7BF9">
        <w:t>,</w:t>
      </w:r>
      <w:r w:rsidR="00970780">
        <w:t xml:space="preserve"> </w:t>
      </w:r>
      <w:r w:rsidR="00E07766">
        <w:t>which</w:t>
      </w:r>
      <w:r w:rsidR="00970780">
        <w:t xml:space="preserve"> in </w:t>
      </w:r>
      <w:r w:rsidR="00970780" w:rsidRPr="00DB51DA">
        <w:t>turn</w:t>
      </w:r>
      <w:r w:rsidR="00E07766">
        <w:t>,</w:t>
      </w:r>
      <w:r w:rsidR="00970780" w:rsidRPr="00DB51DA">
        <w:t xml:space="preserve"> could </w:t>
      </w:r>
      <w:r w:rsidR="009818C4">
        <w:t xml:space="preserve">create inconsistencies in whether </w:t>
      </w:r>
      <w:r w:rsidR="00970780" w:rsidRPr="00DB51DA">
        <w:t xml:space="preserve">spousal spiritual intimacy </w:t>
      </w:r>
      <w:r w:rsidR="009818C4">
        <w:t>is</w:t>
      </w:r>
      <w:r w:rsidR="00970780" w:rsidRPr="00DB51DA">
        <w:t xml:space="preserve"> a positive or negative factor</w:t>
      </w:r>
      <w:r w:rsidR="009818C4">
        <w:t xml:space="preserve"> for </w:t>
      </w:r>
      <w:r w:rsidR="005217CD">
        <w:t xml:space="preserve">marital </w:t>
      </w:r>
      <w:r w:rsidR="009818C4">
        <w:t>intimacy</w:t>
      </w:r>
      <w:r w:rsidR="00CB6969">
        <w:t xml:space="preserve"> (</w:t>
      </w:r>
      <w:r w:rsidR="00312102">
        <w:t>Vaaler et al.</w:t>
      </w:r>
      <w:r w:rsidR="00CB6969">
        <w:t>,</w:t>
      </w:r>
      <w:r w:rsidR="00312102">
        <w:t xml:space="preserve"> </w:t>
      </w:r>
      <w:r w:rsidR="00970780">
        <w:t>2009)</w:t>
      </w:r>
      <w:r w:rsidR="00CB6969">
        <w:t>.</w:t>
      </w:r>
      <w:r w:rsidR="00970780">
        <w:t xml:space="preserve"> </w:t>
      </w:r>
      <w:r w:rsidR="00CB656D">
        <w:t>Because</w:t>
      </w:r>
      <w:r w:rsidR="009818C4">
        <w:t xml:space="preserve"> </w:t>
      </w:r>
      <w:r w:rsidR="008F7BF9">
        <w:t xml:space="preserve">the </w:t>
      </w:r>
      <w:r w:rsidR="009818C4">
        <w:t>interplay</w:t>
      </w:r>
      <w:r w:rsidR="00CB6969">
        <w:t>s</w:t>
      </w:r>
      <w:r w:rsidR="009818C4">
        <w:t xml:space="preserve"> between spiritual intimacy, spiritual meaning, </w:t>
      </w:r>
      <w:r w:rsidR="005217CD">
        <w:t xml:space="preserve">marital </w:t>
      </w:r>
      <w:r w:rsidR="009818C4">
        <w:t xml:space="preserve">intimacy, and well-being are complex, </w:t>
      </w:r>
      <w:r w:rsidR="008F7BF9">
        <w:t>it is not surprising</w:t>
      </w:r>
      <w:r w:rsidR="009818C4">
        <w:t xml:space="preserve"> </w:t>
      </w:r>
      <w:r w:rsidR="008F7BF9">
        <w:t>th</w:t>
      </w:r>
      <w:r w:rsidR="009818C4">
        <w:t xml:space="preserve">at </w:t>
      </w:r>
      <w:r w:rsidR="008F7BF9">
        <w:t xml:space="preserve">the </w:t>
      </w:r>
      <w:r w:rsidR="009818C4">
        <w:t xml:space="preserve">path coefficients initially seem contradictory. </w:t>
      </w:r>
    </w:p>
    <w:p w14:paraId="012188C4" w14:textId="77777777" w:rsidR="00FF74E3" w:rsidRPr="00FD6581" w:rsidRDefault="002C7BD7" w:rsidP="008F7BF9">
      <w:pPr>
        <w:rPr>
          <w:b/>
          <w:vanish/>
          <w:specVanish/>
        </w:rPr>
      </w:pPr>
      <w:r w:rsidRPr="00736669">
        <w:rPr>
          <w:rStyle w:val="APALevel4Char"/>
        </w:rPr>
        <w:t>Extrinsic religiosity</w:t>
      </w:r>
      <w:r w:rsidRPr="00894275">
        <w:t>.</w:t>
      </w:r>
    </w:p>
    <w:p w14:paraId="7E888803" w14:textId="77777777" w:rsidR="00A504F7" w:rsidRPr="007D6F0D" w:rsidRDefault="00FF74E3" w:rsidP="00C54448">
      <w:r>
        <w:t xml:space="preserve">  </w:t>
      </w:r>
      <w:r w:rsidR="00DB51DA" w:rsidRPr="0005653C">
        <w:t xml:space="preserve">One must also consider extrinsic </w:t>
      </w:r>
      <w:r w:rsidR="00E07766">
        <w:t>religiosity</w:t>
      </w:r>
      <w:r w:rsidR="00016C1D">
        <w:t xml:space="preserve"> (outward religious observance)</w:t>
      </w:r>
      <w:r w:rsidR="008C090E">
        <w:t>,</w:t>
      </w:r>
      <w:r w:rsidR="00016C1D">
        <w:t xml:space="preserve"> </w:t>
      </w:r>
      <w:r w:rsidR="002564C5">
        <w:t xml:space="preserve">not included in </w:t>
      </w:r>
      <w:r w:rsidR="008F7BF9">
        <w:t>this</w:t>
      </w:r>
      <w:r w:rsidR="002564C5">
        <w:t xml:space="preserve"> co</w:t>
      </w:r>
      <w:r w:rsidR="007D749D">
        <w:t>nceptualization of spiritual intimacy</w:t>
      </w:r>
      <w:r w:rsidR="002564C5">
        <w:t xml:space="preserve"> but which </w:t>
      </w:r>
      <w:r w:rsidR="00DB51DA" w:rsidRPr="0005653C">
        <w:t xml:space="preserve">might </w:t>
      </w:r>
      <w:r w:rsidR="002564C5">
        <w:t xml:space="preserve">help explain </w:t>
      </w:r>
      <w:r w:rsidR="007D749D">
        <w:t>its</w:t>
      </w:r>
      <w:r w:rsidR="002564C5">
        <w:t xml:space="preserve"> direct negative associations with well-being and </w:t>
      </w:r>
      <w:r w:rsidR="005217CD">
        <w:t xml:space="preserve">marital </w:t>
      </w:r>
      <w:r w:rsidR="002564C5">
        <w:t>intimacy</w:t>
      </w:r>
      <w:r w:rsidR="00DB51DA" w:rsidRPr="0005653C">
        <w:t>.</w:t>
      </w:r>
      <w:r w:rsidR="0005653C">
        <w:t xml:space="preserve"> Steffan (2014) found that extrinsic religiosity </w:t>
      </w:r>
      <w:r w:rsidR="00594E54">
        <w:t xml:space="preserve">was related to increased </w:t>
      </w:r>
      <w:r w:rsidR="0005653C">
        <w:t xml:space="preserve">maladaptive perfectionism and therefore contributed to decreased life satisfaction and increased negative affect. </w:t>
      </w:r>
      <w:r w:rsidR="00CB656D">
        <w:t>T</w:t>
      </w:r>
      <w:r w:rsidR="0005653C">
        <w:t xml:space="preserve">his might </w:t>
      </w:r>
      <w:r w:rsidR="007D749D">
        <w:t xml:space="preserve">help to </w:t>
      </w:r>
      <w:r w:rsidR="0005653C">
        <w:t xml:space="preserve">explain </w:t>
      </w:r>
      <w:r w:rsidR="002564C5">
        <w:t>why,</w:t>
      </w:r>
      <w:r w:rsidR="0005653C">
        <w:t xml:space="preserve"> when the positive effects of religious coping</w:t>
      </w:r>
      <w:r w:rsidR="00B6794E">
        <w:t xml:space="preserve"> and a</w:t>
      </w:r>
      <w:r w:rsidR="00F21584">
        <w:t xml:space="preserve"> perceived</w:t>
      </w:r>
      <w:r w:rsidR="00B6794E">
        <w:t xml:space="preserve"> relationship </w:t>
      </w:r>
      <w:r w:rsidR="00E019F2">
        <w:t xml:space="preserve">to </w:t>
      </w:r>
      <w:r w:rsidR="00B6794E">
        <w:t>God</w:t>
      </w:r>
      <w:r w:rsidR="0005653C">
        <w:t xml:space="preserve"> </w:t>
      </w:r>
      <w:r w:rsidR="00E07766">
        <w:t xml:space="preserve">working through meaning </w:t>
      </w:r>
      <w:r w:rsidR="008F7BF9">
        <w:t>are removed from</w:t>
      </w:r>
      <w:r w:rsidR="00DE0BEF">
        <w:t xml:space="preserve"> our model, </w:t>
      </w:r>
      <w:r w:rsidR="008F7BF9">
        <w:t>what is left are the</w:t>
      </w:r>
      <w:r w:rsidR="0005653C">
        <w:t xml:space="preserve"> negative direct effects </w:t>
      </w:r>
      <w:r w:rsidR="007D749D">
        <w:t>of</w:t>
      </w:r>
      <w:r w:rsidR="0005653C">
        <w:t xml:space="preserve"> spiritual intimacy</w:t>
      </w:r>
      <w:r w:rsidR="00317E05">
        <w:t xml:space="preserve"> on </w:t>
      </w:r>
      <w:r w:rsidR="005217CD">
        <w:t xml:space="preserve">marital </w:t>
      </w:r>
      <w:r w:rsidR="00317E05">
        <w:t>intimacy and well-being</w:t>
      </w:r>
      <w:r w:rsidR="0005653C">
        <w:t>.</w:t>
      </w:r>
      <w:r w:rsidR="00DB51DA">
        <w:t xml:space="preserve"> </w:t>
      </w:r>
      <w:r w:rsidR="00A504F7">
        <w:t xml:space="preserve"> </w:t>
      </w:r>
    </w:p>
    <w:p w14:paraId="56D6DFDD" w14:textId="77777777" w:rsidR="0009308D" w:rsidRDefault="0009308D" w:rsidP="004924D0">
      <w:pPr>
        <w:pStyle w:val="APALevel2"/>
      </w:pPr>
      <w:r>
        <w:t>Study Strengths</w:t>
      </w:r>
    </w:p>
    <w:p w14:paraId="0C570192" w14:textId="77777777" w:rsidR="009363DE" w:rsidRPr="009363DE" w:rsidRDefault="005F2D4A" w:rsidP="009363DE">
      <w:pPr>
        <w:pStyle w:val="SPHParagraph"/>
      </w:pPr>
      <w:r>
        <w:t xml:space="preserve">Some of the strengths of </w:t>
      </w:r>
      <w:r w:rsidR="008F7BF9">
        <w:t>this</w:t>
      </w:r>
      <w:r>
        <w:t xml:space="preserve"> stu</w:t>
      </w:r>
      <w:r w:rsidR="00FA3A52">
        <w:t>dy include the large nationwide s</w:t>
      </w:r>
      <w:r w:rsidR="008F7BF9">
        <w:t>ample</w:t>
      </w:r>
      <w:r w:rsidR="003D176C">
        <w:t xml:space="preserve"> </w:t>
      </w:r>
      <w:r w:rsidR="00DD3FC2">
        <w:t xml:space="preserve">of Christians who believe in a personal God, </w:t>
      </w:r>
      <w:r w:rsidR="007D749D">
        <w:t xml:space="preserve">and </w:t>
      </w:r>
      <w:r w:rsidR="008F7BF9">
        <w:t xml:space="preserve">the </w:t>
      </w:r>
      <w:r w:rsidR="007D749D">
        <w:t>increased uniformity in understanding of study questions</w:t>
      </w:r>
      <w:r w:rsidR="00DD3FC2">
        <w:t xml:space="preserve"> </w:t>
      </w:r>
      <w:r w:rsidR="007D749D">
        <w:t xml:space="preserve">because </w:t>
      </w:r>
      <w:r w:rsidR="00FA3A52">
        <w:t>participants shar</w:t>
      </w:r>
      <w:r w:rsidR="007D749D">
        <w:t>e</w:t>
      </w:r>
      <w:r w:rsidR="00FA3A52">
        <w:t xml:space="preserve"> the same conservative Christian faith</w:t>
      </w:r>
      <w:r w:rsidR="003D176C">
        <w:t xml:space="preserve"> </w:t>
      </w:r>
      <w:r w:rsidR="007D749D">
        <w:t>(Seventh-day Adventism)</w:t>
      </w:r>
      <w:r w:rsidR="003D176C">
        <w:t xml:space="preserve">.  </w:t>
      </w:r>
      <w:r w:rsidR="008F7BF9">
        <w:t>This</w:t>
      </w:r>
      <w:r w:rsidR="003D176C">
        <w:t xml:space="preserve"> study also included a large </w:t>
      </w:r>
      <w:r w:rsidR="007D749D">
        <w:t>number</w:t>
      </w:r>
      <w:r w:rsidR="003D176C">
        <w:t xml:space="preserve"> of older adults with long</w:t>
      </w:r>
      <w:r w:rsidR="003C594F">
        <w:t>-</w:t>
      </w:r>
      <w:r w:rsidR="003D176C">
        <w:t>term marital relationships</w:t>
      </w:r>
      <w:r w:rsidR="002D67F1">
        <w:t xml:space="preserve"> </w:t>
      </w:r>
      <w:r w:rsidR="003D176C">
        <w:t xml:space="preserve">thereby providing a </w:t>
      </w:r>
      <w:r w:rsidR="007D749D">
        <w:t xml:space="preserve">perspective not typically included in studies of intimacy and </w:t>
      </w:r>
      <w:r w:rsidR="00B67920">
        <w:t>allowing us to address th</w:t>
      </w:r>
      <w:r w:rsidR="007D749D">
        <w:t>is</w:t>
      </w:r>
      <w:r w:rsidR="00B67920">
        <w:t xml:space="preserve"> gap in </w:t>
      </w:r>
      <w:r w:rsidR="007D749D">
        <w:t>the literature</w:t>
      </w:r>
      <w:r w:rsidR="003D176C">
        <w:t xml:space="preserve">. </w:t>
      </w:r>
      <w:r w:rsidR="008F7BF9">
        <w:t xml:space="preserve">The </w:t>
      </w:r>
      <w:r w:rsidR="00B67920">
        <w:t xml:space="preserve">methodology included measurements that are </w:t>
      </w:r>
      <w:r w:rsidR="007D749D">
        <w:t>well</w:t>
      </w:r>
      <w:r w:rsidR="00116B14">
        <w:t xml:space="preserve"> </w:t>
      </w:r>
      <w:r w:rsidR="00B67920">
        <w:t xml:space="preserve">validated. </w:t>
      </w:r>
    </w:p>
    <w:p w14:paraId="00E4012E" w14:textId="77777777" w:rsidR="0009308D" w:rsidRPr="009363DE" w:rsidRDefault="00A571E0" w:rsidP="00CF290B">
      <w:pPr>
        <w:pStyle w:val="APALevel2"/>
      </w:pPr>
      <w:r w:rsidRPr="009363DE">
        <w:t>Study Limit</w:t>
      </w:r>
      <w:r w:rsidR="007D7025" w:rsidRPr="009363DE">
        <w:t>ation</w:t>
      </w:r>
      <w:r w:rsidRPr="009363DE">
        <w:t>s</w:t>
      </w:r>
    </w:p>
    <w:p w14:paraId="460DEB99" w14:textId="77777777" w:rsidR="0009308D" w:rsidRPr="005F2D4A" w:rsidRDefault="00105D19" w:rsidP="00580B82">
      <w:pPr>
        <w:pStyle w:val="SPHParagraph"/>
      </w:pPr>
      <w:r>
        <w:t xml:space="preserve">Using archival data is not without challenges. </w:t>
      </w:r>
      <w:r w:rsidR="00737AD4">
        <w:t xml:space="preserve">Although </w:t>
      </w:r>
      <w:r w:rsidR="008F7BF9">
        <w:t xml:space="preserve">these </w:t>
      </w:r>
      <w:r w:rsidR="00737AD4">
        <w:t>manifest variable measures</w:t>
      </w:r>
      <w:r w:rsidR="005F2D4A">
        <w:t xml:space="preserve"> are all valid</w:t>
      </w:r>
      <w:r w:rsidR="00737AD4">
        <w:t xml:space="preserve"> and reliable</w:t>
      </w:r>
      <w:r>
        <w:t xml:space="preserve">, latent variable indicators </w:t>
      </w:r>
      <w:r w:rsidR="008F7BF9">
        <w:t xml:space="preserve">were selected </w:t>
      </w:r>
      <w:r>
        <w:t>from what was available in the data set. B</w:t>
      </w:r>
      <w:r w:rsidR="00EB6B1D">
        <w:t xml:space="preserve">eing able to </w:t>
      </w:r>
      <w:r>
        <w:t xml:space="preserve">more thoroughly define each latent variable and, in particular, to more fully </w:t>
      </w:r>
      <w:r w:rsidR="00EB6B1D">
        <w:t>explore the latent factor of spiritual meaning</w:t>
      </w:r>
      <w:r>
        <w:t xml:space="preserve"> would have strengthened this study</w:t>
      </w:r>
      <w:r w:rsidR="00EB6B1D">
        <w:t>.  A</w:t>
      </w:r>
      <w:r>
        <w:t>dditionally, a</w:t>
      </w:r>
      <w:r w:rsidR="00EB6B1D">
        <w:t xml:space="preserve">lthough the BRHS has two waves, </w:t>
      </w:r>
      <w:r>
        <w:t>only</w:t>
      </w:r>
      <w:r w:rsidR="00EB6B1D">
        <w:t xml:space="preserve"> cross-sectional data from wave one </w:t>
      </w:r>
      <w:r w:rsidR="008F7BF9">
        <w:t xml:space="preserve">was used </w:t>
      </w:r>
      <w:r w:rsidR="00EB6B1D">
        <w:t xml:space="preserve">because </w:t>
      </w:r>
      <w:r>
        <w:t xml:space="preserve">data from </w:t>
      </w:r>
      <w:r w:rsidR="00F606C8">
        <w:t xml:space="preserve">the second wave was not ready for analysis at the time this study was developed.  </w:t>
      </w:r>
      <w:r>
        <w:t xml:space="preserve">The </w:t>
      </w:r>
      <w:r w:rsidR="00F606C8">
        <w:t>longitudinal relationships among these variables</w:t>
      </w:r>
      <w:r>
        <w:t xml:space="preserve"> should be explored</w:t>
      </w:r>
      <w:r w:rsidR="002F7AD8">
        <w:t xml:space="preserve"> in order to better understand how </w:t>
      </w:r>
      <w:r w:rsidR="00F21584">
        <w:t xml:space="preserve">perceived </w:t>
      </w:r>
      <w:r w:rsidR="002F7AD8">
        <w:t xml:space="preserve">spiritual intimacy, </w:t>
      </w:r>
      <w:r w:rsidR="005217CD">
        <w:t xml:space="preserve">marital </w:t>
      </w:r>
      <w:r w:rsidR="002F7AD8">
        <w:t>intimacy, and well-being associate and influence each other through the different seasons of life.</w:t>
      </w:r>
    </w:p>
    <w:p w14:paraId="1F1414AB" w14:textId="77777777" w:rsidR="00D34E67" w:rsidRDefault="00713539" w:rsidP="004924D0">
      <w:pPr>
        <w:pStyle w:val="APALevel2"/>
      </w:pPr>
      <w:r>
        <w:t>Conclusion</w:t>
      </w:r>
      <w:r w:rsidR="007D7025">
        <w:t>s</w:t>
      </w:r>
    </w:p>
    <w:p w14:paraId="60699905" w14:textId="77777777" w:rsidR="00DB51DA" w:rsidRDefault="006A59A3" w:rsidP="00916291">
      <w:pPr>
        <w:pStyle w:val="SPHParagraph"/>
      </w:pPr>
      <w:r>
        <w:t xml:space="preserve">Spiritual meaning was found to be the link connecting a relationship with God to a relationship with one’s spouse and to well-being.  However, a relationship with God </w:t>
      </w:r>
      <w:r w:rsidR="00CD2A0F">
        <w:t>that i</w:t>
      </w:r>
      <w:r>
        <w:t>s devoid of meaning may contribute to poorer well-being and a worse relationship with one’s spouse.</w:t>
      </w:r>
    </w:p>
    <w:p w14:paraId="4E2037CC" w14:textId="77777777" w:rsidR="00E128AC" w:rsidRDefault="006A16A3" w:rsidP="00603B55">
      <w:pPr>
        <w:pStyle w:val="SPHParagraph"/>
      </w:pPr>
      <w:r w:rsidRPr="00C55F17">
        <w:t>These</w:t>
      </w:r>
      <w:r w:rsidR="00DB51DA" w:rsidRPr="00C55F17">
        <w:t xml:space="preserve"> findings </w:t>
      </w:r>
      <w:r w:rsidR="00105D19" w:rsidRPr="00C55F17">
        <w:t>highlight</w:t>
      </w:r>
      <w:r w:rsidR="00DB51DA" w:rsidRPr="00C55F17">
        <w:t xml:space="preserve"> the importance of meaning</w:t>
      </w:r>
      <w:r w:rsidR="006C485A" w:rsidRPr="00C55F17">
        <w:t xml:space="preserve"> </w:t>
      </w:r>
      <w:r w:rsidR="00105D19" w:rsidRPr="00C55F17">
        <w:t>to</w:t>
      </w:r>
      <w:r w:rsidR="006C485A" w:rsidRPr="00C55F17">
        <w:t xml:space="preserve"> relationships</w:t>
      </w:r>
      <w:r w:rsidR="00C55F17" w:rsidRPr="00C55F17">
        <w:t>, notably</w:t>
      </w:r>
      <w:r w:rsidR="006C485A" w:rsidRPr="00C55F17">
        <w:t xml:space="preserve"> among spiritual intimacy, </w:t>
      </w:r>
      <w:r w:rsidR="00CB656D">
        <w:t>marital</w:t>
      </w:r>
      <w:r w:rsidR="001309F7" w:rsidRPr="00C55F17">
        <w:t xml:space="preserve"> </w:t>
      </w:r>
      <w:r w:rsidR="00DB51DA" w:rsidRPr="00C55F17">
        <w:t>relationships</w:t>
      </w:r>
      <w:r w:rsidR="00393B4C">
        <w:t>,</w:t>
      </w:r>
      <w:r w:rsidR="00105D19" w:rsidRPr="00C55F17">
        <w:t xml:space="preserve"> and well-being</w:t>
      </w:r>
      <w:r w:rsidR="00DB51DA" w:rsidRPr="00C55F17">
        <w:t>.</w:t>
      </w:r>
      <w:r w:rsidR="00DB51DA">
        <w:t xml:space="preserve">  </w:t>
      </w:r>
      <w:r w:rsidR="00850963" w:rsidRPr="007D6F0D">
        <w:t xml:space="preserve">This </w:t>
      </w:r>
      <w:r w:rsidR="00105D19">
        <w:t>suggests</w:t>
      </w:r>
      <w:r w:rsidR="00850963" w:rsidRPr="007D6F0D">
        <w:t xml:space="preserve"> the </w:t>
      </w:r>
      <w:r w:rsidR="00105D19">
        <w:t>value</w:t>
      </w:r>
      <w:r w:rsidR="00105D19" w:rsidRPr="007D6F0D">
        <w:t xml:space="preserve"> </w:t>
      </w:r>
      <w:r w:rsidR="00850963" w:rsidRPr="007D6F0D">
        <w:t xml:space="preserve">of </w:t>
      </w:r>
      <w:r w:rsidR="009A14B1">
        <w:t xml:space="preserve">addressing </w:t>
      </w:r>
      <w:r w:rsidR="00850963" w:rsidRPr="007D6F0D">
        <w:t>spiritual meaning in whole</w:t>
      </w:r>
      <w:r w:rsidR="00105D19">
        <w:t>-</w:t>
      </w:r>
      <w:r w:rsidR="00850963" w:rsidRPr="007D6F0D">
        <w:t>person health and wellness, as well as in one’s intimate marital relationships over the continuum of life.</w:t>
      </w:r>
      <w:r w:rsidR="001309F7">
        <w:t xml:space="preserve">  </w:t>
      </w:r>
      <w:r w:rsidR="00B62441">
        <w:t>F</w:t>
      </w:r>
      <w:r w:rsidR="003713E8">
        <w:t xml:space="preserve">urther </w:t>
      </w:r>
      <w:r w:rsidR="00752983">
        <w:t xml:space="preserve">investigation </w:t>
      </w:r>
      <w:r w:rsidR="00A7622C">
        <w:t xml:space="preserve">is needed </w:t>
      </w:r>
      <w:r w:rsidR="00752983">
        <w:t xml:space="preserve">of </w:t>
      </w:r>
      <w:r w:rsidR="00E15410">
        <w:t>the</w:t>
      </w:r>
      <w:r w:rsidR="00713539">
        <w:t xml:space="preserve"> weak negative effect of spiritual intimacy </w:t>
      </w:r>
      <w:r w:rsidR="00A7622C">
        <w:t xml:space="preserve">apart from meaning when it operates </w:t>
      </w:r>
      <w:r w:rsidR="001309F7">
        <w:t xml:space="preserve">on both well-being and </w:t>
      </w:r>
      <w:r w:rsidR="004120A5">
        <w:t xml:space="preserve">marital </w:t>
      </w:r>
      <w:r w:rsidR="001309F7">
        <w:t>intimacy</w:t>
      </w:r>
      <w:r w:rsidR="00165AF7">
        <w:t xml:space="preserve">, possibly by </w:t>
      </w:r>
      <w:r w:rsidR="00A7622C">
        <w:t>considering</w:t>
      </w:r>
      <w:r w:rsidR="00165AF7">
        <w:t xml:space="preserve"> negative religious coping</w:t>
      </w:r>
      <w:r w:rsidR="00713539" w:rsidRPr="00E15410">
        <w:t xml:space="preserve">.  In line with other studies, one might consider </w:t>
      </w:r>
      <w:r w:rsidR="00E05ACA">
        <w:t>whether</w:t>
      </w:r>
      <w:r w:rsidR="00713539" w:rsidRPr="00E15410">
        <w:t xml:space="preserve"> there</w:t>
      </w:r>
      <w:r w:rsidR="00E05ACA">
        <w:t xml:space="preserve"> is</w:t>
      </w:r>
      <w:r w:rsidR="00713539" w:rsidRPr="00E15410">
        <w:t xml:space="preserve"> a point </w:t>
      </w:r>
      <w:r w:rsidR="00105B57" w:rsidRPr="007D6F0D">
        <w:t xml:space="preserve">where </w:t>
      </w:r>
      <w:r w:rsidR="00200F0E">
        <w:t xml:space="preserve">an apparent </w:t>
      </w:r>
      <w:r w:rsidR="004120A5">
        <w:t xml:space="preserve">perceived </w:t>
      </w:r>
      <w:r w:rsidR="00105B57" w:rsidRPr="007D6F0D">
        <w:t>vertical intimacy</w:t>
      </w:r>
      <w:r w:rsidR="00200F0E">
        <w:t xml:space="preserve"> with God</w:t>
      </w:r>
      <w:r w:rsidR="00603B55">
        <w:t>,</w:t>
      </w:r>
      <w:r w:rsidR="00105B57" w:rsidRPr="007D6F0D">
        <w:t xml:space="preserve"> </w:t>
      </w:r>
      <w:r w:rsidR="00200F0E">
        <w:t xml:space="preserve">which does not add </w:t>
      </w:r>
      <w:r w:rsidR="004B2DA3">
        <w:t>meaning to</w:t>
      </w:r>
      <w:r w:rsidR="00200F0E">
        <w:t xml:space="preserve"> life</w:t>
      </w:r>
      <w:r w:rsidR="00603B55">
        <w:t>,</w:t>
      </w:r>
      <w:r w:rsidR="00200F0E">
        <w:t xml:space="preserve"> </w:t>
      </w:r>
      <w:r w:rsidR="00105B57" w:rsidRPr="007D6F0D">
        <w:t>can impede one’s horizontal intimate relationships</w:t>
      </w:r>
      <w:r w:rsidR="000B0D19">
        <w:t xml:space="preserve"> as </w:t>
      </w:r>
      <w:r w:rsidR="00CD56A1">
        <w:t>alluded to</w:t>
      </w:r>
      <w:r w:rsidR="000B0D19">
        <w:t xml:space="preserve"> by</w:t>
      </w:r>
      <w:r w:rsidR="00CD56A1">
        <w:t xml:space="preserve"> Vaaler et al. </w:t>
      </w:r>
      <w:r w:rsidR="000B0D19">
        <w:t>(</w:t>
      </w:r>
      <w:r w:rsidR="00CD56A1">
        <w:t>2009) and Fincham et al. (2008).</w:t>
      </w:r>
      <w:r w:rsidR="001B2F7D">
        <w:t xml:space="preserve">  </w:t>
      </w:r>
      <w:r w:rsidR="006E3F6D">
        <w:t xml:space="preserve">Within the bounds of Christianity, religion and its efficacy in life can be seen as a two-edged sword with both costs and benefits (Pargament, 2002). </w:t>
      </w:r>
    </w:p>
    <w:p w14:paraId="450964ED" w14:textId="77777777" w:rsidR="00CF290B" w:rsidRDefault="00752983" w:rsidP="007236FE">
      <w:pPr>
        <w:keepNext/>
        <w:sectPr w:rsidR="00CF290B" w:rsidSect="007236FE">
          <w:headerReference w:type="even" r:id="rId9"/>
          <w:headerReference w:type="default" r:id="rId10"/>
          <w:headerReference w:type="first" r:id="rId11"/>
          <w:pgSz w:w="12240" w:h="15840"/>
          <w:pgMar w:top="1440" w:right="1350" w:bottom="1440" w:left="1440" w:header="720" w:footer="720" w:gutter="0"/>
          <w:cols w:space="720"/>
          <w:noEndnote/>
          <w:titlePg/>
        </w:sectPr>
      </w:pPr>
      <w:r>
        <w:t>Additionally, p</w:t>
      </w:r>
      <w:r w:rsidR="00105B57" w:rsidRPr="007D6F0D">
        <w:t xml:space="preserve">eople </w:t>
      </w:r>
      <w:r>
        <w:t>do</w:t>
      </w:r>
      <w:r w:rsidR="00105B57" w:rsidRPr="007D6F0D">
        <w:t xml:space="preserve"> have meaningful lives </w:t>
      </w:r>
      <w:r w:rsidR="004B2DA3">
        <w:t>outside Christianity</w:t>
      </w:r>
      <w:r w:rsidR="00713539">
        <w:t xml:space="preserve">, so further study </w:t>
      </w:r>
      <w:r w:rsidR="004B2DA3">
        <w:t xml:space="preserve">of </w:t>
      </w:r>
      <w:r>
        <w:t>those</w:t>
      </w:r>
      <w:r w:rsidR="00713539">
        <w:t xml:space="preserve"> </w:t>
      </w:r>
      <w:r w:rsidR="00A95E6E">
        <w:t xml:space="preserve">who </w:t>
      </w:r>
      <w:r w:rsidR="00713539">
        <w:t xml:space="preserve">espouse </w:t>
      </w:r>
      <w:r w:rsidR="004B2DA3">
        <w:t>some other</w:t>
      </w:r>
      <w:r w:rsidR="00713539">
        <w:t xml:space="preserve"> faith</w:t>
      </w:r>
      <w:r w:rsidR="00E05ACA">
        <w:t xml:space="preserve"> </w:t>
      </w:r>
      <w:r w:rsidR="004B2DA3">
        <w:t xml:space="preserve">or </w:t>
      </w:r>
      <w:r>
        <w:t>no</w:t>
      </w:r>
      <w:r w:rsidR="00E05ACA">
        <w:t xml:space="preserve"> religious faith</w:t>
      </w:r>
      <w:r w:rsidR="00713539">
        <w:t xml:space="preserve"> </w:t>
      </w:r>
      <w:r>
        <w:t xml:space="preserve">is needed </w:t>
      </w:r>
      <w:r w:rsidR="00713539">
        <w:t xml:space="preserve">to </w:t>
      </w:r>
      <w:r>
        <w:t>better understand</w:t>
      </w:r>
      <w:r w:rsidR="00713539">
        <w:t xml:space="preserve"> </w:t>
      </w:r>
      <w:r>
        <w:t xml:space="preserve">how </w:t>
      </w:r>
      <w:r w:rsidR="00713539">
        <w:t xml:space="preserve">spiritual meaning </w:t>
      </w:r>
      <w:r>
        <w:t>functions</w:t>
      </w:r>
      <w:r w:rsidR="00713539">
        <w:t xml:space="preserve"> </w:t>
      </w:r>
      <w:r w:rsidR="00D97ED6">
        <w:t>(Jirasek, 2013)</w:t>
      </w:r>
      <w:r w:rsidR="00713539">
        <w:t>.</w:t>
      </w:r>
      <w:r w:rsidR="00E128AC">
        <w:t xml:space="preserve"> </w:t>
      </w:r>
      <w:r>
        <w:t>How</w:t>
      </w:r>
      <w:r w:rsidR="00713539">
        <w:t xml:space="preserve"> to best i</w:t>
      </w:r>
      <w:r>
        <w:t>mpart</w:t>
      </w:r>
      <w:r w:rsidR="00713539">
        <w:t xml:space="preserve"> spiritual meaning without imposing one’s religious </w:t>
      </w:r>
      <w:r>
        <w:t>beliefs</w:t>
      </w:r>
      <w:r w:rsidR="00713539">
        <w:t xml:space="preserve"> on others</w:t>
      </w:r>
      <w:r>
        <w:t xml:space="preserve"> remains a challenge</w:t>
      </w:r>
      <w:r w:rsidR="00713539">
        <w:t xml:space="preserve">.  The question </w:t>
      </w:r>
      <w:r w:rsidR="007236FE">
        <w:t xml:space="preserve">also </w:t>
      </w:r>
      <w:r w:rsidR="009E7AE3">
        <w:t>remains</w:t>
      </w:r>
      <w:r w:rsidR="00713539">
        <w:t xml:space="preserve"> as to how </w:t>
      </w:r>
      <w:r w:rsidR="0055734D">
        <w:t xml:space="preserve">current </w:t>
      </w:r>
      <w:r w:rsidR="004120A5">
        <w:t xml:space="preserve">marital </w:t>
      </w:r>
      <w:r w:rsidR="00713539">
        <w:t xml:space="preserve">and spiritual intimacy paradigms will influence the lives of young </w:t>
      </w:r>
      <w:r w:rsidR="007236FE">
        <w:t xml:space="preserve">adults </w:t>
      </w:r>
      <w:r w:rsidR="00713539">
        <w:t>and how this influence will be manifested over time in their lives, marriages, and families.</w:t>
      </w:r>
    </w:p>
    <w:p w14:paraId="1471AD72" w14:textId="77777777" w:rsidR="003F0403" w:rsidRPr="007905B2" w:rsidRDefault="003F0403" w:rsidP="000D3E87">
      <w:pPr>
        <w:pStyle w:val="APALevel1"/>
      </w:pPr>
      <w:r w:rsidRPr="007905B2">
        <w:t>References</w:t>
      </w:r>
    </w:p>
    <w:p w14:paraId="68179D9E" w14:textId="77777777" w:rsidR="003F0403" w:rsidRDefault="003F0403" w:rsidP="00C54448">
      <w:pPr>
        <w:ind w:left="720" w:hanging="720"/>
      </w:pPr>
      <w:r>
        <w:t>Acker, J. &amp; Davis, J. H. (1992)</w:t>
      </w:r>
      <w:r w:rsidR="005F6D86">
        <w:t>.</w:t>
      </w:r>
      <w:r>
        <w:t xml:space="preserve"> Intimacy, passion, and commitment in adult romantic relationships: A test of the triangular theory of love. </w:t>
      </w:r>
      <w:r w:rsidRPr="0017766F">
        <w:rPr>
          <w:i/>
        </w:rPr>
        <w:t>Journal of Social and Personal Relationships</w:t>
      </w:r>
      <w:r>
        <w:rPr>
          <w:i/>
        </w:rPr>
        <w:t>,</w:t>
      </w:r>
      <w:r>
        <w:t xml:space="preserve"> </w:t>
      </w:r>
      <w:r w:rsidRPr="00DB1A42">
        <w:rPr>
          <w:i/>
        </w:rPr>
        <w:t>9</w:t>
      </w:r>
      <w:r>
        <w:t xml:space="preserve">, 21-50. </w:t>
      </w:r>
      <w:r w:rsidR="005F6D86">
        <w:t xml:space="preserve">doi: </w:t>
      </w:r>
      <w:r>
        <w:t>10.1177/0265407592091002</w:t>
      </w:r>
    </w:p>
    <w:p w14:paraId="00568600" w14:textId="258DC664" w:rsidR="005C0F02" w:rsidRDefault="005C0F02" w:rsidP="00C54448">
      <w:pPr>
        <w:ind w:left="720" w:hanging="720"/>
      </w:pPr>
      <w:r>
        <w:t xml:space="preserve">Ahmetoglu, G., Swami, V., Chamorro-Premuzic, T. (2010). The relationship between dimensions of love, personality, and relationship length. </w:t>
      </w:r>
      <w:r w:rsidRPr="00FF4AE7">
        <w:rPr>
          <w:i/>
        </w:rPr>
        <w:t>Archives of Sexual Behavior, 39</w:t>
      </w:r>
      <w:r w:rsidR="005D3685">
        <w:t>, 118</w:t>
      </w:r>
      <w:r>
        <w:t>1-1190, doi: 10.1007/s10508-009-9515-5</w:t>
      </w:r>
    </w:p>
    <w:p w14:paraId="6D06A0DE" w14:textId="77777777" w:rsidR="003F0403" w:rsidRPr="007905B2" w:rsidRDefault="003F0403" w:rsidP="00C54448">
      <w:pPr>
        <w:ind w:left="720" w:hanging="720"/>
      </w:pPr>
      <w:r w:rsidRPr="007905B2">
        <w:t>Arbuckle, J. L. (</w:t>
      </w:r>
      <w:r w:rsidR="006720DB" w:rsidRPr="007905B2">
        <w:t>20</w:t>
      </w:r>
      <w:r w:rsidR="006720DB">
        <w:t>13</w:t>
      </w:r>
      <w:r w:rsidRPr="007905B2">
        <w:t xml:space="preserve">). </w:t>
      </w:r>
      <w:r w:rsidRPr="007905B2">
        <w:rPr>
          <w:i/>
        </w:rPr>
        <w:t>Amos</w:t>
      </w:r>
      <w:r w:rsidRPr="007905B2">
        <w:t xml:space="preserve"> (Version </w:t>
      </w:r>
      <w:r w:rsidR="006720DB">
        <w:t>2</w:t>
      </w:r>
      <w:r w:rsidRPr="007905B2">
        <w:t>2). Chicago: SPSS.</w:t>
      </w:r>
    </w:p>
    <w:p w14:paraId="3256691F" w14:textId="77777777" w:rsidR="000F4C14" w:rsidRPr="000F4C14" w:rsidRDefault="000F4C14" w:rsidP="000F4C14">
      <w:pPr>
        <w:widowControl w:val="0"/>
        <w:autoSpaceDE w:val="0"/>
        <w:autoSpaceDN w:val="0"/>
        <w:adjustRightInd w:val="0"/>
        <w:ind w:firstLine="0"/>
        <w:rPr>
          <w:lang w:eastAsia="en-US"/>
        </w:rPr>
      </w:pPr>
      <w:r w:rsidRPr="000F4C14">
        <w:rPr>
          <w:lang w:eastAsia="en-US"/>
        </w:rPr>
        <w:t>Bandura, A. (2003). On the psychosocial impact and mechanisms of spiritual modeling.</w:t>
      </w:r>
    </w:p>
    <w:p w14:paraId="380BA97F" w14:textId="77777777" w:rsidR="000F4C14" w:rsidRDefault="000F4C14" w:rsidP="000F4C14">
      <w:pPr>
        <w:rPr>
          <w:lang w:eastAsia="en-US"/>
        </w:rPr>
      </w:pPr>
      <w:r w:rsidRPr="000F4C14">
        <w:rPr>
          <w:i/>
          <w:lang w:eastAsia="en-US"/>
        </w:rPr>
        <w:t>The International Journal for the Psychology of Religion</w:t>
      </w:r>
      <w:r w:rsidRPr="000F4C14">
        <w:rPr>
          <w:lang w:eastAsia="en-US"/>
        </w:rPr>
        <w:t xml:space="preserve">, </w:t>
      </w:r>
      <w:r w:rsidRPr="000F4C14">
        <w:rPr>
          <w:i/>
          <w:lang w:eastAsia="en-US"/>
        </w:rPr>
        <w:t>13</w:t>
      </w:r>
      <w:r w:rsidRPr="000F4C14">
        <w:rPr>
          <w:lang w:eastAsia="en-US"/>
        </w:rPr>
        <w:t>(3), 167–174.</w:t>
      </w:r>
    </w:p>
    <w:p w14:paraId="7246B519" w14:textId="39B3D707" w:rsidR="00DD361F" w:rsidRPr="000F4C14" w:rsidRDefault="00DD361F" w:rsidP="00FF4AE7">
      <w:pPr>
        <w:tabs>
          <w:tab w:val="left" w:pos="3240"/>
        </w:tabs>
        <w:ind w:left="720" w:hanging="720"/>
      </w:pPr>
      <w:r>
        <w:rPr>
          <w:lang w:eastAsia="en-US"/>
        </w:rPr>
        <w:t xml:space="preserve">Baesler, </w:t>
      </w:r>
      <w:r w:rsidR="00EF435C">
        <w:rPr>
          <w:lang w:eastAsia="en-US"/>
        </w:rPr>
        <w:t xml:space="preserve">E. J. (2002) Prayer and relationship with God II: Replication and extension of the relational prayer model. </w:t>
      </w:r>
      <w:r w:rsidR="00EF435C" w:rsidRPr="00FF4AE7">
        <w:rPr>
          <w:i/>
          <w:lang w:eastAsia="en-US"/>
        </w:rPr>
        <w:t>Review of Religious Research, 44</w:t>
      </w:r>
      <w:r w:rsidR="00EF435C">
        <w:rPr>
          <w:lang w:eastAsia="en-US"/>
        </w:rPr>
        <w:t>(1), 58-67.</w:t>
      </w:r>
    </w:p>
    <w:p w14:paraId="327241CF" w14:textId="77777777" w:rsidR="00C03766" w:rsidRPr="00C03766" w:rsidRDefault="00C03766" w:rsidP="00C54448">
      <w:pPr>
        <w:ind w:left="720" w:hanging="720"/>
        <w:rPr>
          <w:i/>
        </w:rPr>
      </w:pPr>
      <w:r>
        <w:t xml:space="preserve">Baumeister, R. F., Vohs, K. D., Aaker J. L., &amp; Garbinsky, E. N. (2013). Some key differences between a happy life and a meaningful life. </w:t>
      </w:r>
      <w:r>
        <w:rPr>
          <w:i/>
        </w:rPr>
        <w:t>The Journal of Positive Psychology,</w:t>
      </w:r>
      <w:r w:rsidRPr="00C03766">
        <w:t xml:space="preserve"> </w:t>
      </w:r>
      <w:r w:rsidRPr="00767974">
        <w:rPr>
          <w:i/>
        </w:rPr>
        <w:t>8</w:t>
      </w:r>
      <w:r w:rsidRPr="00C03766">
        <w:t xml:space="preserve">(6), 505-516. </w:t>
      </w:r>
      <w:r w:rsidR="005F6D86">
        <w:t xml:space="preserve">doi: </w:t>
      </w:r>
      <w:r>
        <w:t>10.1080/17439760.2013.830764</w:t>
      </w:r>
    </w:p>
    <w:p w14:paraId="64535F6A" w14:textId="77777777" w:rsidR="003F0403" w:rsidRPr="007905B2" w:rsidRDefault="003F0403" w:rsidP="00C54448">
      <w:pPr>
        <w:ind w:left="720" w:hanging="720"/>
      </w:pPr>
      <w:r w:rsidRPr="007905B2">
        <w:t xml:space="preserve">Butler, T. L., Fraser, G. E., Beeson, W. L., Knutsen, S. F., Herring, R. P., Chan, J., . . . Jaceldo-Siegl, Kl (2008). Cohort profile: The Adventist Health Study-2 (AHS-2). </w:t>
      </w:r>
      <w:r w:rsidRPr="007905B2">
        <w:rPr>
          <w:i/>
        </w:rPr>
        <w:t>International Journal of Epidemiology</w:t>
      </w:r>
      <w:r w:rsidRPr="007905B2">
        <w:t xml:space="preserve">, </w:t>
      </w:r>
      <w:r w:rsidRPr="00881730">
        <w:rPr>
          <w:i/>
        </w:rPr>
        <w:t>37</w:t>
      </w:r>
      <w:r w:rsidRPr="007905B2">
        <w:t xml:space="preserve">(2), 260-265, </w:t>
      </w:r>
      <w:r w:rsidR="005F6D86">
        <w:t xml:space="preserve">doi: </w:t>
      </w:r>
      <w:r w:rsidRPr="007905B2">
        <w:t>10.1093/ije/dym165</w:t>
      </w:r>
    </w:p>
    <w:p w14:paraId="6D804EB4" w14:textId="77777777" w:rsidR="003F0403" w:rsidRDefault="003F0403" w:rsidP="00C54448">
      <w:pPr>
        <w:ind w:left="720" w:hanging="720"/>
      </w:pPr>
      <w:r w:rsidRPr="007905B2">
        <w:t xml:space="preserve">Byrne, B. M. (1994). </w:t>
      </w:r>
      <w:r w:rsidRPr="003C594F">
        <w:rPr>
          <w:i/>
        </w:rPr>
        <w:t>Structural equation modeling with EQS and EQS/Windows.</w:t>
      </w:r>
      <w:r w:rsidRPr="007905B2">
        <w:t xml:space="preserve"> T</w:t>
      </w:r>
      <w:r>
        <w:t xml:space="preserve">housand </w:t>
      </w:r>
      <w:r w:rsidRPr="007905B2">
        <w:t>Oaks, CA: Sage Publications.</w:t>
      </w:r>
    </w:p>
    <w:p w14:paraId="6E58507D" w14:textId="77777777" w:rsidR="003F0403" w:rsidRPr="007905B2" w:rsidRDefault="003F0403" w:rsidP="00C54448">
      <w:pPr>
        <w:ind w:left="720" w:hanging="720"/>
      </w:pPr>
      <w:r w:rsidRPr="007905B2">
        <w:t xml:space="preserve">Carter, P., &amp; Carter, D. (2010). Emotional risk-taking in marital relationships: A </w:t>
      </w:r>
    </w:p>
    <w:p w14:paraId="4D14CA6A" w14:textId="77777777" w:rsidR="001A66BF" w:rsidRDefault="003F0403" w:rsidP="00D8113E">
      <w:pPr>
        <w:ind w:left="720" w:firstLine="0"/>
      </w:pPr>
      <w:r w:rsidRPr="007905B2">
        <w:t xml:space="preserve">phenomenological approach. </w:t>
      </w:r>
      <w:r w:rsidRPr="004B3B7F">
        <w:rPr>
          <w:i/>
        </w:rPr>
        <w:t xml:space="preserve">Journal of </w:t>
      </w:r>
      <w:r w:rsidR="004B3B7F" w:rsidRPr="004B3B7F">
        <w:rPr>
          <w:i/>
        </w:rPr>
        <w:t xml:space="preserve">Couple </w:t>
      </w:r>
      <w:r w:rsidRPr="004B3B7F">
        <w:rPr>
          <w:i/>
        </w:rPr>
        <w:t xml:space="preserve">&amp; </w:t>
      </w:r>
      <w:r w:rsidR="004B3B7F" w:rsidRPr="004B3B7F">
        <w:rPr>
          <w:i/>
        </w:rPr>
        <w:t>Re</w:t>
      </w:r>
      <w:r w:rsidRPr="004B3B7F">
        <w:rPr>
          <w:i/>
        </w:rPr>
        <w:t xml:space="preserve">lationship </w:t>
      </w:r>
      <w:r w:rsidR="004B3B7F" w:rsidRPr="004B3B7F">
        <w:rPr>
          <w:i/>
        </w:rPr>
        <w:t>T</w:t>
      </w:r>
      <w:r w:rsidRPr="004B3B7F">
        <w:rPr>
          <w:i/>
        </w:rPr>
        <w:t xml:space="preserve">herapy: </w:t>
      </w:r>
      <w:r w:rsidRPr="00CC44A5">
        <w:rPr>
          <w:i/>
        </w:rPr>
        <w:t xml:space="preserve">Innovations in </w:t>
      </w:r>
      <w:r w:rsidR="004B3B7F" w:rsidRPr="00CC44A5">
        <w:rPr>
          <w:i/>
        </w:rPr>
        <w:t>C</w:t>
      </w:r>
      <w:r w:rsidRPr="00CC44A5">
        <w:rPr>
          <w:i/>
        </w:rPr>
        <w:t xml:space="preserve">linical and </w:t>
      </w:r>
      <w:r w:rsidR="004B3B7F" w:rsidRPr="00CC44A5">
        <w:rPr>
          <w:i/>
        </w:rPr>
        <w:t>E</w:t>
      </w:r>
      <w:r w:rsidRPr="00CC44A5">
        <w:rPr>
          <w:i/>
        </w:rPr>
        <w:t xml:space="preserve">ducational </w:t>
      </w:r>
      <w:r w:rsidR="004B3B7F" w:rsidRPr="00CC44A5">
        <w:rPr>
          <w:i/>
        </w:rPr>
        <w:t>I</w:t>
      </w:r>
      <w:r w:rsidRPr="00CC44A5">
        <w:rPr>
          <w:i/>
        </w:rPr>
        <w:t>nterventions</w:t>
      </w:r>
      <w:r w:rsidRPr="00CC44A5">
        <w:t xml:space="preserve">, </w:t>
      </w:r>
      <w:r w:rsidRPr="00CC44A5">
        <w:rPr>
          <w:i/>
        </w:rPr>
        <w:t>9</w:t>
      </w:r>
      <w:r w:rsidRPr="00CC44A5">
        <w:t>(4), 327-343.</w:t>
      </w:r>
    </w:p>
    <w:p w14:paraId="31A619DA" w14:textId="77777777" w:rsidR="008D1AFC" w:rsidRPr="008D1AFC" w:rsidRDefault="008D1AFC" w:rsidP="00C54448">
      <w:pPr>
        <w:ind w:left="720" w:hanging="720"/>
      </w:pPr>
      <w:r w:rsidRPr="00CC44A5">
        <w:t>Charlemagn</w:t>
      </w:r>
      <w:r w:rsidRPr="008D1AFC">
        <w:t>e-Badal, S. J., Lee, J. W., Butler, T. L., &amp; Fraser, G. E. (2014). Conceptual domains included in well</w:t>
      </w:r>
      <w:r w:rsidR="00116B14">
        <w:t>-</w:t>
      </w:r>
      <w:r w:rsidRPr="008D1AFC">
        <w:t xml:space="preserve">being and life satisfaction instruments: A review. </w:t>
      </w:r>
      <w:r w:rsidRPr="008D1AFC">
        <w:rPr>
          <w:i/>
          <w:iCs/>
        </w:rPr>
        <w:t>Applied Research in Quality of Life</w:t>
      </w:r>
      <w:r w:rsidR="001D2710">
        <w:t xml:space="preserve">, 1-24. </w:t>
      </w:r>
      <w:r w:rsidR="00650B30">
        <w:t xml:space="preserve">doi: </w:t>
      </w:r>
      <w:r w:rsidRPr="008D1AFC">
        <w:t>10.1007/s11482-014-9306-6</w:t>
      </w:r>
    </w:p>
    <w:p w14:paraId="4C3A95C3" w14:textId="77777777" w:rsidR="003F0403" w:rsidRPr="007905B2" w:rsidRDefault="003F0403" w:rsidP="00C54448">
      <w:pPr>
        <w:ind w:left="720" w:hanging="720"/>
      </w:pPr>
      <w:r w:rsidRPr="007905B2">
        <w:t xml:space="preserve">Chelune, G. J., Robison, J. T., &amp; Krommor, M. J. (1984). A cognitive interaction model of intimate relationships. In V.J. Derlega (Ed.), </w:t>
      </w:r>
      <w:r w:rsidRPr="007905B2">
        <w:rPr>
          <w:i/>
          <w:iCs/>
        </w:rPr>
        <w:t xml:space="preserve">Communication, Intimacy, and Close Relationship </w:t>
      </w:r>
      <w:r w:rsidRPr="007905B2">
        <w:rPr>
          <w:iCs/>
        </w:rPr>
        <w:t xml:space="preserve">(pp. </w:t>
      </w:r>
      <w:r w:rsidRPr="007905B2">
        <w:t>11-40). Orlando, FL: Academic Press.</w:t>
      </w:r>
    </w:p>
    <w:p w14:paraId="7E90444F" w14:textId="77777777" w:rsidR="003F0403" w:rsidRPr="007905B2" w:rsidRDefault="003F0403" w:rsidP="00C54448">
      <w:pPr>
        <w:ind w:left="720" w:hanging="720"/>
      </w:pPr>
      <w:r w:rsidRPr="007905B2">
        <w:t xml:space="preserve">Cordova, J., &amp; Scott, R. (2001) Intimacy: A behavioral interpretation. </w:t>
      </w:r>
      <w:r w:rsidRPr="007905B2">
        <w:rPr>
          <w:i/>
        </w:rPr>
        <w:t>The Behavior Analyst,</w:t>
      </w:r>
      <w:r w:rsidRPr="00ED3012">
        <w:rPr>
          <w:i/>
        </w:rPr>
        <w:t xml:space="preserve"> 24</w:t>
      </w:r>
      <w:r w:rsidRPr="007905B2">
        <w:t>(1), 75-86.</w:t>
      </w:r>
    </w:p>
    <w:p w14:paraId="7F998F2B" w14:textId="77777777" w:rsidR="003F0403" w:rsidRPr="007905B2" w:rsidRDefault="003F0403" w:rsidP="00C54448">
      <w:pPr>
        <w:pStyle w:val="EndNoteBibliography"/>
        <w:ind w:left="720" w:hanging="720"/>
        <w:rPr>
          <w:noProof/>
        </w:rPr>
      </w:pPr>
      <w:r w:rsidRPr="007905B2">
        <w:rPr>
          <w:noProof/>
        </w:rPr>
        <w:t xml:space="preserve">Cumming, G., &amp; Finch, S. (2005). Inference by </w:t>
      </w:r>
      <w:r w:rsidR="00650B30">
        <w:rPr>
          <w:noProof/>
        </w:rPr>
        <w:t>e</w:t>
      </w:r>
      <w:r w:rsidR="00650B30" w:rsidRPr="007905B2">
        <w:rPr>
          <w:noProof/>
        </w:rPr>
        <w:t>ye</w:t>
      </w:r>
      <w:r w:rsidRPr="007905B2">
        <w:rPr>
          <w:noProof/>
        </w:rPr>
        <w:t xml:space="preserve">: Confidence </w:t>
      </w:r>
      <w:r w:rsidR="00650B30">
        <w:rPr>
          <w:noProof/>
        </w:rPr>
        <w:t>i</w:t>
      </w:r>
      <w:r w:rsidRPr="007905B2">
        <w:rPr>
          <w:noProof/>
        </w:rPr>
        <w:t xml:space="preserve">ntervals and </w:t>
      </w:r>
      <w:r w:rsidR="00650B30">
        <w:rPr>
          <w:noProof/>
        </w:rPr>
        <w:t>h</w:t>
      </w:r>
      <w:r w:rsidRPr="007905B2">
        <w:rPr>
          <w:noProof/>
        </w:rPr>
        <w:t xml:space="preserve">ow to </w:t>
      </w:r>
      <w:r w:rsidR="00650B30">
        <w:rPr>
          <w:noProof/>
        </w:rPr>
        <w:t>r</w:t>
      </w:r>
      <w:r w:rsidRPr="007905B2">
        <w:rPr>
          <w:noProof/>
        </w:rPr>
        <w:t xml:space="preserve">ead </w:t>
      </w:r>
      <w:r w:rsidR="00650B30">
        <w:rPr>
          <w:noProof/>
        </w:rPr>
        <w:t>p</w:t>
      </w:r>
      <w:r w:rsidR="00650B30" w:rsidRPr="007905B2">
        <w:rPr>
          <w:noProof/>
        </w:rPr>
        <w:t xml:space="preserve">ictures </w:t>
      </w:r>
      <w:r w:rsidRPr="007905B2">
        <w:rPr>
          <w:noProof/>
        </w:rPr>
        <w:t xml:space="preserve">of </w:t>
      </w:r>
      <w:r w:rsidR="00650B30">
        <w:rPr>
          <w:noProof/>
        </w:rPr>
        <w:t>d</w:t>
      </w:r>
      <w:r w:rsidR="00650B30" w:rsidRPr="007905B2">
        <w:rPr>
          <w:noProof/>
        </w:rPr>
        <w:t>ata</w:t>
      </w:r>
      <w:r w:rsidRPr="007905B2">
        <w:rPr>
          <w:noProof/>
        </w:rPr>
        <w:t xml:space="preserve">. </w:t>
      </w:r>
      <w:r w:rsidRPr="007905B2">
        <w:rPr>
          <w:i/>
          <w:noProof/>
        </w:rPr>
        <w:t>American Psychologist</w:t>
      </w:r>
      <w:r w:rsidRPr="0017766F">
        <w:rPr>
          <w:noProof/>
        </w:rPr>
        <w:t xml:space="preserve">, </w:t>
      </w:r>
      <w:r w:rsidRPr="00ED3012">
        <w:rPr>
          <w:i/>
          <w:noProof/>
        </w:rPr>
        <w:t>60</w:t>
      </w:r>
      <w:r w:rsidRPr="007905B2">
        <w:rPr>
          <w:noProof/>
        </w:rPr>
        <w:t xml:space="preserve">(2), 170-180. </w:t>
      </w:r>
      <w:r w:rsidR="00650B30">
        <w:t xml:space="preserve">doi: </w:t>
      </w:r>
      <w:r w:rsidRPr="007905B2">
        <w:rPr>
          <w:noProof/>
        </w:rPr>
        <w:t>10.1037/0003-066X.60.2.170</w:t>
      </w:r>
    </w:p>
    <w:p w14:paraId="41166A38" w14:textId="77777777" w:rsidR="003F0403" w:rsidRDefault="001740C2" w:rsidP="001740C2">
      <w:pPr>
        <w:ind w:left="720" w:hanging="720"/>
      </w:pPr>
      <w:r w:rsidRPr="009618F7">
        <w:t xml:space="preserve">Davis, E. B., Moriarty, G. L., &amp; Mauch, J. C. (2013). God images and God concepts: Definitions, development, and dynamics. </w:t>
      </w:r>
      <w:r w:rsidRPr="001740C2">
        <w:rPr>
          <w:i/>
        </w:rPr>
        <w:t xml:space="preserve">Psychology of </w:t>
      </w:r>
      <w:r w:rsidR="003C594F">
        <w:rPr>
          <w:i/>
        </w:rPr>
        <w:t>R</w:t>
      </w:r>
      <w:r w:rsidRPr="001740C2">
        <w:rPr>
          <w:i/>
        </w:rPr>
        <w:t xml:space="preserve">eligion and </w:t>
      </w:r>
      <w:r w:rsidR="003C594F">
        <w:rPr>
          <w:i/>
        </w:rPr>
        <w:t>S</w:t>
      </w:r>
      <w:r w:rsidRPr="001740C2">
        <w:rPr>
          <w:i/>
        </w:rPr>
        <w:t>pirituality</w:t>
      </w:r>
      <w:r w:rsidRPr="009618F7">
        <w:t xml:space="preserve">, </w:t>
      </w:r>
      <w:r w:rsidRPr="001740C2">
        <w:rPr>
          <w:i/>
        </w:rPr>
        <w:t>5</w:t>
      </w:r>
      <w:r w:rsidRPr="009618F7">
        <w:t>(1), 51-60.</w:t>
      </w:r>
    </w:p>
    <w:p w14:paraId="13F5BB17" w14:textId="77777777" w:rsidR="00682B42" w:rsidRPr="007905B2" w:rsidRDefault="003F0403" w:rsidP="00BA7474">
      <w:pPr>
        <w:ind w:left="720" w:hanging="720"/>
      </w:pPr>
      <w:r w:rsidRPr="007905B2">
        <w:t xml:space="preserve">Ditzen, B., Hoppmann, C., &amp; Klumb, P. (2008). Positive couple interactions and daily cortisol: On the stress-protecting role of intimacy. </w:t>
      </w:r>
      <w:r w:rsidRPr="007905B2">
        <w:rPr>
          <w:i/>
          <w:iCs/>
        </w:rPr>
        <w:t xml:space="preserve">Psychosomatic Medicine, </w:t>
      </w:r>
      <w:r w:rsidRPr="00881730">
        <w:rPr>
          <w:i/>
          <w:iCs/>
        </w:rPr>
        <w:t>70</w:t>
      </w:r>
      <w:r w:rsidRPr="007905B2">
        <w:t xml:space="preserve">(8), 883-889. </w:t>
      </w:r>
      <w:r w:rsidR="00650B30">
        <w:t xml:space="preserve">doi: </w:t>
      </w:r>
      <w:r w:rsidR="00682B42">
        <w:t>10.1097/PSY.0b013e318185c4fc</w:t>
      </w:r>
    </w:p>
    <w:p w14:paraId="5517258A" w14:textId="77777777" w:rsidR="003F0403" w:rsidRPr="007905B2" w:rsidRDefault="003F0403" w:rsidP="00493A0C">
      <w:pPr>
        <w:ind w:left="720" w:right="-270" w:hanging="720"/>
      </w:pPr>
      <w:r w:rsidRPr="007905B2">
        <w:t>Dollahite</w:t>
      </w:r>
      <w:r w:rsidR="00D8113E">
        <w:t>,</w:t>
      </w:r>
      <w:r w:rsidRPr="007905B2">
        <w:t xml:space="preserve"> D. C., &amp; Marks, L. D. (2009). A conceptual model of family and religious processes in highly religious families. </w:t>
      </w:r>
      <w:r w:rsidRPr="007905B2">
        <w:rPr>
          <w:i/>
        </w:rPr>
        <w:t>Review of Religious Research,</w:t>
      </w:r>
      <w:r w:rsidRPr="007905B2">
        <w:t xml:space="preserve"> </w:t>
      </w:r>
      <w:r w:rsidRPr="00ED3012">
        <w:rPr>
          <w:i/>
        </w:rPr>
        <w:t>50</w:t>
      </w:r>
      <w:r w:rsidRPr="007905B2">
        <w:t>(4), 373-391.</w:t>
      </w:r>
    </w:p>
    <w:p w14:paraId="74080435" w14:textId="77777777" w:rsidR="003F0403" w:rsidRPr="007905B2" w:rsidRDefault="003F0403" w:rsidP="00C54448">
      <w:pPr>
        <w:ind w:left="720" w:hanging="720"/>
      </w:pPr>
      <w:r w:rsidRPr="007905B2">
        <w:t xml:space="preserve">Dorian, M., &amp; Cordova, J. (2004). Coding intimacy in couples’ interactions. In P. Kerig &amp; D. Baucom (Ed.), </w:t>
      </w:r>
      <w:r w:rsidRPr="007905B2">
        <w:rPr>
          <w:i/>
        </w:rPr>
        <w:t>Couple Observational Coding Systems</w:t>
      </w:r>
      <w:r w:rsidRPr="007905B2">
        <w:t xml:space="preserve"> (pp. 243-256). Mahwah, NJ: Lawrence Erlbaum Associates.</w:t>
      </w:r>
    </w:p>
    <w:p w14:paraId="729666BA" w14:textId="77777777" w:rsidR="003F0403" w:rsidRPr="007905B2" w:rsidRDefault="003F0403" w:rsidP="00C54448">
      <w:pPr>
        <w:ind w:left="720" w:hanging="720"/>
      </w:pPr>
      <w:r w:rsidRPr="007905B2">
        <w:t xml:space="preserve">Dudley, M. G., &amp; Kosinski, F. A. Jr. (1990). Religiosity and marital satisfaction: A research note. </w:t>
      </w:r>
      <w:r w:rsidRPr="007905B2">
        <w:rPr>
          <w:i/>
        </w:rPr>
        <w:t>Review of Religious Research</w:t>
      </w:r>
      <w:r w:rsidR="00ED3012">
        <w:rPr>
          <w:i/>
        </w:rPr>
        <w:t>,</w:t>
      </w:r>
      <w:r w:rsidRPr="007905B2">
        <w:rPr>
          <w:i/>
        </w:rPr>
        <w:t xml:space="preserve"> </w:t>
      </w:r>
      <w:r w:rsidRPr="00ED3012">
        <w:rPr>
          <w:i/>
        </w:rPr>
        <w:t>32</w:t>
      </w:r>
      <w:r w:rsidRPr="007905B2">
        <w:t>(1), 78-86.</w:t>
      </w:r>
    </w:p>
    <w:p w14:paraId="0EEFE8FB" w14:textId="77777777" w:rsidR="006739C2" w:rsidRPr="007905B2" w:rsidRDefault="006739C2" w:rsidP="008F3399">
      <w:pPr>
        <w:ind w:left="720" w:right="-180" w:hanging="720"/>
      </w:pPr>
      <w:r>
        <w:t xml:space="preserve">Emmons, R. A., Cheung, C., &amp; Tehrani, K. (1998). Assessing spirituality through personal goals: Implications for research on religion and subjective well-being. </w:t>
      </w:r>
      <w:r w:rsidRPr="00E07CFE">
        <w:rPr>
          <w:i/>
        </w:rPr>
        <w:t>Social Indicators Research</w:t>
      </w:r>
      <w:r>
        <w:t xml:space="preserve">, </w:t>
      </w:r>
      <w:r w:rsidRPr="00ED3012">
        <w:rPr>
          <w:i/>
        </w:rPr>
        <w:t>45</w:t>
      </w:r>
      <w:r>
        <w:t xml:space="preserve">(1-3), 391-422. </w:t>
      </w:r>
      <w:r w:rsidR="00650B30">
        <w:t xml:space="preserve">doi: </w:t>
      </w:r>
      <w:r w:rsidR="00E07CFE" w:rsidRPr="00E07CFE">
        <w:rPr>
          <w:color w:val="535353"/>
          <w:lang w:eastAsia="en-US"/>
        </w:rPr>
        <w:t>10.1023/A:1006926720976</w:t>
      </w:r>
    </w:p>
    <w:p w14:paraId="24C99EF5" w14:textId="77777777" w:rsidR="006739C2" w:rsidRDefault="003F0403" w:rsidP="00C54448">
      <w:pPr>
        <w:ind w:left="720" w:hanging="720"/>
      </w:pPr>
      <w:r w:rsidRPr="007905B2">
        <w:t xml:space="preserve">Emmons, R. A. (2005). Striving for the sacred: personal goals, life meaning, and religion. </w:t>
      </w:r>
      <w:r w:rsidRPr="007905B2">
        <w:rPr>
          <w:i/>
        </w:rPr>
        <w:t>Journal of Social Issues</w:t>
      </w:r>
      <w:r w:rsidRPr="007905B2">
        <w:t xml:space="preserve">, </w:t>
      </w:r>
      <w:r w:rsidRPr="00ED3012">
        <w:rPr>
          <w:i/>
        </w:rPr>
        <w:t>61</w:t>
      </w:r>
      <w:r w:rsidRPr="007905B2">
        <w:t>(4), 731-745.</w:t>
      </w:r>
    </w:p>
    <w:p w14:paraId="65E3D233" w14:textId="77777777" w:rsidR="003F0403" w:rsidRPr="007905B2" w:rsidRDefault="003F0403" w:rsidP="00C54448">
      <w:pPr>
        <w:ind w:left="720" w:hanging="720"/>
      </w:pPr>
      <w:r>
        <w:t>Fincham, F. D., Beach, S. R. H., Lambert, N., Stillman, T., &amp; Braithwaite, S. (2008). Spiritual behaviors and relationship satisfaction: A critical analysis of the role of prayer</w:t>
      </w:r>
      <w:r w:rsidRPr="00F8576F">
        <w:rPr>
          <w:i/>
        </w:rPr>
        <w:t>. Journal of Social and Clinical Psychology,</w:t>
      </w:r>
      <w:r>
        <w:t xml:space="preserve"> </w:t>
      </w:r>
      <w:r w:rsidRPr="00DB1A42">
        <w:rPr>
          <w:i/>
        </w:rPr>
        <w:t>27</w:t>
      </w:r>
      <w:r w:rsidR="00650B30">
        <w:t>(</w:t>
      </w:r>
      <w:r>
        <w:t>4</w:t>
      </w:r>
      <w:r w:rsidR="00650B30">
        <w:t>)</w:t>
      </w:r>
      <w:r>
        <w:t>, 362-388.</w:t>
      </w:r>
    </w:p>
    <w:p w14:paraId="7003ED61" w14:textId="77777777" w:rsidR="003F0403" w:rsidRPr="007905B2" w:rsidRDefault="003F0403" w:rsidP="00C54448">
      <w:pPr>
        <w:ind w:left="720" w:hanging="720"/>
      </w:pPr>
      <w:r w:rsidRPr="007905B2">
        <w:t xml:space="preserve">Gable, S., Gonzaga, G., &amp; Strachman, A. (2006). Will you be there for me when things go right? Supportive responses to positive event disclosures. </w:t>
      </w:r>
      <w:r w:rsidRPr="007905B2">
        <w:rPr>
          <w:i/>
        </w:rPr>
        <w:t xml:space="preserve">Journal of Personality and Social Psychology, </w:t>
      </w:r>
      <w:r w:rsidRPr="00ED3012">
        <w:rPr>
          <w:i/>
        </w:rPr>
        <w:t>91</w:t>
      </w:r>
      <w:r w:rsidRPr="007905B2">
        <w:t xml:space="preserve">(5), 904-917. </w:t>
      </w:r>
      <w:r w:rsidR="00650B30">
        <w:t xml:space="preserve">doi: </w:t>
      </w:r>
      <w:r w:rsidRPr="007905B2">
        <w:t>10.1037/0022-3514.91.5.904</w:t>
      </w:r>
    </w:p>
    <w:p w14:paraId="61B68FEE" w14:textId="77777777" w:rsidR="003F0403" w:rsidRDefault="003F0403" w:rsidP="00DB1A42">
      <w:pPr>
        <w:ind w:left="720" w:hanging="720"/>
        <w:rPr>
          <w:noProof/>
        </w:rPr>
      </w:pPr>
      <w:r w:rsidRPr="007905B2">
        <w:t xml:space="preserve">Gable, S. L., Reis, H. T., Impett, E., &amp; Asher, E. R. (2004). What do you do when things go right? The intrapersonal and interpersonal benefits of sharing positive events. </w:t>
      </w:r>
      <w:r w:rsidRPr="007905B2">
        <w:rPr>
          <w:i/>
        </w:rPr>
        <w:t>Journal of</w:t>
      </w:r>
      <w:r w:rsidR="00650B30">
        <w:rPr>
          <w:i/>
        </w:rPr>
        <w:t xml:space="preserve"> P</w:t>
      </w:r>
      <w:r w:rsidRPr="007905B2">
        <w:rPr>
          <w:i/>
        </w:rPr>
        <w:t xml:space="preserve">ersonality and Social Psychology, </w:t>
      </w:r>
      <w:r w:rsidRPr="00DB1A42">
        <w:rPr>
          <w:i/>
        </w:rPr>
        <w:t>87</w:t>
      </w:r>
      <w:r w:rsidRPr="007905B2">
        <w:t>, 228-245.</w:t>
      </w:r>
    </w:p>
    <w:p w14:paraId="33BC9AAB" w14:textId="77777777" w:rsidR="00B9733B" w:rsidRPr="007905B2" w:rsidRDefault="00B9733B" w:rsidP="00650B30">
      <w:pPr>
        <w:pStyle w:val="EndNoteBibliography"/>
        <w:ind w:left="720" w:hanging="720"/>
        <w:rPr>
          <w:noProof/>
        </w:rPr>
      </w:pPr>
      <w:r>
        <w:rPr>
          <w:noProof/>
        </w:rPr>
        <w:t xml:space="preserve">Greeff, </w:t>
      </w:r>
      <w:r w:rsidR="00FB6E09">
        <w:rPr>
          <w:noProof/>
        </w:rPr>
        <w:t xml:space="preserve">A. P. &amp; Malherbe, H. L. (2001). Intimacy and marital satisfaction in spouses. </w:t>
      </w:r>
      <w:r w:rsidR="00FB6E09" w:rsidRPr="00FB6E09">
        <w:rPr>
          <w:i/>
          <w:noProof/>
        </w:rPr>
        <w:t>Journal of Sex &amp; Marital Therapy</w:t>
      </w:r>
      <w:r w:rsidR="00FB6E09" w:rsidRPr="00FB6E09">
        <w:rPr>
          <w:noProof/>
        </w:rPr>
        <w:t xml:space="preserve">, </w:t>
      </w:r>
      <w:r w:rsidR="00FB6E09" w:rsidRPr="00ED3012">
        <w:rPr>
          <w:i/>
          <w:noProof/>
        </w:rPr>
        <w:t>27</w:t>
      </w:r>
      <w:r w:rsidR="00FB6E09">
        <w:rPr>
          <w:noProof/>
        </w:rPr>
        <w:t xml:space="preserve">(3), 247-257. </w:t>
      </w:r>
      <w:r w:rsidR="00650B30">
        <w:t xml:space="preserve">doi: </w:t>
      </w:r>
      <w:r w:rsidR="00FB6E09">
        <w:rPr>
          <w:noProof/>
        </w:rPr>
        <w:t>10.1080/009262301750257100</w:t>
      </w:r>
    </w:p>
    <w:p w14:paraId="6586599A" w14:textId="77777777" w:rsidR="003F0403" w:rsidRPr="007905B2" w:rsidRDefault="003F0403" w:rsidP="00C54448">
      <w:pPr>
        <w:ind w:left="720" w:hanging="720"/>
      </w:pPr>
      <w:r w:rsidRPr="007905B2">
        <w:t xml:space="preserve">Hatch, R., James, D., &amp; Schumm, W. (1986). Spiritual intimacy and marital satisfaction. </w:t>
      </w:r>
      <w:r w:rsidRPr="007905B2">
        <w:rPr>
          <w:i/>
        </w:rPr>
        <w:t>Family Relations</w:t>
      </w:r>
      <w:r w:rsidRPr="007905B2">
        <w:t xml:space="preserve">, </w:t>
      </w:r>
      <w:r w:rsidRPr="00DB1A42">
        <w:rPr>
          <w:i/>
        </w:rPr>
        <w:t>35</w:t>
      </w:r>
      <w:r w:rsidRPr="007905B2">
        <w:t>, 539-545.</w:t>
      </w:r>
    </w:p>
    <w:p w14:paraId="6E284DB9" w14:textId="77777777" w:rsidR="003F0403" w:rsidRPr="007905B2" w:rsidRDefault="003F0403" w:rsidP="00C54448">
      <w:pPr>
        <w:ind w:left="720" w:hanging="720"/>
      </w:pPr>
      <w:r w:rsidRPr="007905B2">
        <w:t xml:space="preserve">Hayward, R. D., &amp; Kraus, N. (2013). Patterns of change in </w:t>
      </w:r>
      <w:r w:rsidR="008D4EBB">
        <w:t xml:space="preserve">prayer activity, expectancies, </w:t>
      </w:r>
      <w:r w:rsidRPr="007905B2">
        <w:t xml:space="preserve">and contents during older adulthood. </w:t>
      </w:r>
      <w:r w:rsidRPr="007905B2">
        <w:rPr>
          <w:i/>
        </w:rPr>
        <w:t xml:space="preserve">Journal for the Scientific Study of Religion, </w:t>
      </w:r>
      <w:r w:rsidRPr="00ED3012">
        <w:rPr>
          <w:i/>
        </w:rPr>
        <w:t>52</w:t>
      </w:r>
      <w:r w:rsidRPr="007905B2">
        <w:t>(1), 17-34.</w:t>
      </w:r>
    </w:p>
    <w:p w14:paraId="1B3A97D0" w14:textId="77777777" w:rsidR="003F0403" w:rsidRPr="007905B2" w:rsidRDefault="003F0403" w:rsidP="00220E78">
      <w:pPr>
        <w:keepNext/>
        <w:ind w:left="720" w:hanging="720"/>
      </w:pPr>
      <w:r w:rsidRPr="007905B2">
        <w:t xml:space="preserve">Heller, P. E., &amp; Wood, B. (2000). The influence of religious and ethnic differences on </w:t>
      </w:r>
    </w:p>
    <w:p w14:paraId="31DEC5BA" w14:textId="77777777" w:rsidR="003F0403" w:rsidRPr="007905B2" w:rsidRDefault="003F0403" w:rsidP="00C54448">
      <w:pPr>
        <w:ind w:left="720" w:hanging="720"/>
      </w:pPr>
      <w:r w:rsidRPr="007905B2">
        <w:t xml:space="preserve">            marital intimacy; Intermarriage versus intramarriage. </w:t>
      </w:r>
      <w:r w:rsidRPr="007905B2">
        <w:rPr>
          <w:i/>
        </w:rPr>
        <w:t>Journal of Marital and Family Therapy</w:t>
      </w:r>
      <w:r w:rsidRPr="007905B2">
        <w:t xml:space="preserve">, </w:t>
      </w:r>
      <w:r w:rsidRPr="00ED3012">
        <w:rPr>
          <w:i/>
        </w:rPr>
        <w:t>26</w:t>
      </w:r>
      <w:r w:rsidRPr="007905B2">
        <w:t>(2), 241-252.</w:t>
      </w:r>
    </w:p>
    <w:p w14:paraId="4A544F21" w14:textId="77777777" w:rsidR="003F0403" w:rsidRPr="007905B2" w:rsidRDefault="003F0403" w:rsidP="00C54448">
      <w:pPr>
        <w:ind w:left="720" w:hanging="720"/>
      </w:pPr>
      <w:r w:rsidRPr="007905B2">
        <w:t xml:space="preserve">Hu, L. T., &amp; Bentler, P. M. (1999). Cutoff criteria for fit indexes in covariance structure analysis: Conventional criteria versus new alternatives. </w:t>
      </w:r>
      <w:r w:rsidRPr="007905B2">
        <w:rPr>
          <w:i/>
        </w:rPr>
        <w:t>Structural Equation Modeling</w:t>
      </w:r>
      <w:r w:rsidRPr="007905B2">
        <w:t xml:space="preserve">, </w:t>
      </w:r>
      <w:r w:rsidRPr="00DB1A42">
        <w:rPr>
          <w:i/>
        </w:rPr>
        <w:t>6</w:t>
      </w:r>
      <w:r w:rsidRPr="007905B2">
        <w:t xml:space="preserve">, 1-55.  </w:t>
      </w:r>
      <w:r w:rsidR="00650B30">
        <w:t xml:space="preserve">doi: </w:t>
      </w:r>
      <w:r w:rsidRPr="007905B2">
        <w:t>10.1080/10705519909540118</w:t>
      </w:r>
    </w:p>
    <w:p w14:paraId="1F6C87AC" w14:textId="77777777" w:rsidR="003F0403" w:rsidRPr="007905B2" w:rsidRDefault="003F0403" w:rsidP="00807C9F">
      <w:pPr>
        <w:keepNext/>
        <w:keepLines/>
        <w:ind w:left="720" w:hanging="720"/>
      </w:pPr>
      <w:r>
        <w:t xml:space="preserve">Impett, E. A., Beals, K. P., &amp; Peplau, L. A. (2001). Testing the investment model of relationship commitment and stability in a longitudinal study of married couples. (2001). </w:t>
      </w:r>
      <w:r w:rsidRPr="00881049">
        <w:rPr>
          <w:i/>
        </w:rPr>
        <w:t>Current Psychology</w:t>
      </w:r>
      <w:r>
        <w:rPr>
          <w:i/>
        </w:rPr>
        <w:t>: Developmental, Learning, Personality, Social</w:t>
      </w:r>
      <w:r>
        <w:t xml:space="preserve">, </w:t>
      </w:r>
      <w:r w:rsidR="00ED3012" w:rsidRPr="00ED3012">
        <w:rPr>
          <w:i/>
        </w:rPr>
        <w:t>20</w:t>
      </w:r>
      <w:r w:rsidR="00ED3012">
        <w:t>(4)</w:t>
      </w:r>
      <w:r>
        <w:t>, 312-326.</w:t>
      </w:r>
    </w:p>
    <w:p w14:paraId="219D8D6E" w14:textId="77777777" w:rsidR="00D97ED6" w:rsidRPr="007905B2" w:rsidRDefault="00D97ED6" w:rsidP="00C54448">
      <w:pPr>
        <w:ind w:left="720" w:hanging="720"/>
      </w:pPr>
      <w:r>
        <w:t xml:space="preserve">Jirasek, I. (2013) Verticality as non-religious spirituality. </w:t>
      </w:r>
      <w:r w:rsidRPr="00D97ED6">
        <w:rPr>
          <w:i/>
        </w:rPr>
        <w:t>Implicit Religion</w:t>
      </w:r>
      <w:r w:rsidR="0044659D">
        <w:t xml:space="preserve">, </w:t>
      </w:r>
      <w:r w:rsidR="0044659D" w:rsidRPr="00DB1A42">
        <w:rPr>
          <w:i/>
        </w:rPr>
        <w:t>16</w:t>
      </w:r>
      <w:r w:rsidR="0044659D">
        <w:t xml:space="preserve">(2) 191-201. </w:t>
      </w:r>
      <w:r w:rsidR="00647993">
        <w:t xml:space="preserve">doi: </w:t>
      </w:r>
      <w:r>
        <w:t>10.1558/imre.v16i2.191</w:t>
      </w:r>
    </w:p>
    <w:p w14:paraId="3447746D" w14:textId="77777777" w:rsidR="003F0403" w:rsidRPr="007905B2" w:rsidRDefault="003F0403" w:rsidP="001A66BF">
      <w:pPr>
        <w:keepNext/>
        <w:ind w:left="720" w:hanging="720"/>
      </w:pPr>
      <w:r w:rsidRPr="007905B2">
        <w:t xml:space="preserve">Koenig, H. G., Parkerson, G. R., &amp; Meador, K. G. (1997). Religion index for psychiatric </w:t>
      </w:r>
    </w:p>
    <w:p w14:paraId="344A4DAB" w14:textId="77777777" w:rsidR="00F11F93" w:rsidRDefault="00D97ED6" w:rsidP="00D97ED6">
      <w:pPr>
        <w:ind w:left="720" w:hanging="720"/>
      </w:pPr>
      <w:r>
        <w:tab/>
      </w:r>
      <w:r w:rsidR="003F0403" w:rsidRPr="007905B2">
        <w:t xml:space="preserve">research. </w:t>
      </w:r>
      <w:r w:rsidR="003F0403" w:rsidRPr="00182823">
        <w:rPr>
          <w:i/>
        </w:rPr>
        <w:t>American Journal of Psychiatry</w:t>
      </w:r>
      <w:r w:rsidR="00647993">
        <w:rPr>
          <w:i/>
        </w:rPr>
        <w:t>,</w:t>
      </w:r>
      <w:r w:rsidR="003F0403" w:rsidRPr="007905B2">
        <w:t xml:space="preserve"> </w:t>
      </w:r>
      <w:r w:rsidR="003F0403" w:rsidRPr="00ED3012">
        <w:rPr>
          <w:i/>
        </w:rPr>
        <w:t>154</w:t>
      </w:r>
      <w:r w:rsidR="003F0403" w:rsidRPr="007905B2">
        <w:t>(6), 885-886.</w:t>
      </w:r>
    </w:p>
    <w:p w14:paraId="21926B52" w14:textId="77777777" w:rsidR="003F0403" w:rsidRPr="007905B2" w:rsidRDefault="003F0403" w:rsidP="00DB1A42">
      <w:pPr>
        <w:keepNext/>
        <w:keepLines/>
        <w:ind w:left="720" w:hanging="720"/>
      </w:pPr>
      <w:r w:rsidRPr="007905B2">
        <w:t xml:space="preserve">Laurenceau, J. P., Barrett, L. F., Pietromonaco, P. R. (1998). Intimacy as an interpersonal process:  The importance of self-disclosure, partner disclosure, and perceived partner responsiveness in interpersonal exchanges. </w:t>
      </w:r>
      <w:r w:rsidRPr="007905B2">
        <w:rPr>
          <w:i/>
        </w:rPr>
        <w:t xml:space="preserve">Journal of Personality and Social Psychology, </w:t>
      </w:r>
      <w:r w:rsidRPr="00DB1A42">
        <w:rPr>
          <w:i/>
        </w:rPr>
        <w:t>74</w:t>
      </w:r>
      <w:r w:rsidRPr="007905B2">
        <w:t xml:space="preserve">(5), 1238-1251. </w:t>
      </w:r>
    </w:p>
    <w:p w14:paraId="092BE63C" w14:textId="77777777" w:rsidR="003F0403" w:rsidRPr="007905B2" w:rsidRDefault="003F0403" w:rsidP="00C54448">
      <w:pPr>
        <w:ind w:left="720" w:hanging="720"/>
      </w:pPr>
      <w:r w:rsidRPr="007905B2">
        <w:t xml:space="preserve">Lee, G. (1988). Marital intimacy among older persons: The spouse as confidant. </w:t>
      </w:r>
      <w:r w:rsidR="008D4EBB">
        <w:rPr>
          <w:i/>
        </w:rPr>
        <w:t xml:space="preserve">Journal </w:t>
      </w:r>
      <w:r w:rsidRPr="007905B2">
        <w:rPr>
          <w:i/>
        </w:rPr>
        <w:t>of Family Issues</w:t>
      </w:r>
      <w:r w:rsidRPr="00DB1A42">
        <w:t xml:space="preserve">, </w:t>
      </w:r>
      <w:r w:rsidRPr="00BF3EB8">
        <w:t>9</w:t>
      </w:r>
      <w:r w:rsidRPr="007905B2">
        <w:t xml:space="preserve">, 273. </w:t>
      </w:r>
      <w:r w:rsidR="00BF3EB8">
        <w:t xml:space="preserve">doi: </w:t>
      </w:r>
      <w:r w:rsidRPr="007905B2">
        <w:t>10.1177/019251388009002008</w:t>
      </w:r>
    </w:p>
    <w:p w14:paraId="742C3D2C" w14:textId="77777777" w:rsidR="003F0403" w:rsidRPr="007905B2" w:rsidRDefault="003F0403" w:rsidP="00807C9F">
      <w:pPr>
        <w:keepNext/>
        <w:keepLines/>
        <w:ind w:left="720" w:hanging="720"/>
      </w:pPr>
      <w:r w:rsidRPr="007905B2">
        <w:t>Lee, J. W., Morton, K. R., Walters, J., Bellinger, D. L., W</w:t>
      </w:r>
      <w:r w:rsidR="008D4EBB">
        <w:t xml:space="preserve">ilson, C., . . . Fraser, G. E. </w:t>
      </w:r>
      <w:r w:rsidRPr="007905B2">
        <w:t xml:space="preserve">(2009). Cohort profile: The biopsychosocial religion and health study (BRHS). [Research Support, N. I. H., Extramural]. </w:t>
      </w:r>
      <w:r w:rsidRPr="007905B2">
        <w:rPr>
          <w:i/>
        </w:rPr>
        <w:t>International Journal of Epidemiology,</w:t>
      </w:r>
      <w:r w:rsidRPr="007905B2">
        <w:t xml:space="preserve"> </w:t>
      </w:r>
      <w:r w:rsidRPr="00ED3012">
        <w:rPr>
          <w:i/>
        </w:rPr>
        <w:t>38</w:t>
      </w:r>
      <w:r w:rsidRPr="007905B2">
        <w:t>(6), 1470-1478.</w:t>
      </w:r>
      <w:r w:rsidR="004F560D">
        <w:t xml:space="preserve"> d</w:t>
      </w:r>
      <w:r w:rsidR="0044659D">
        <w:t>oi</w:t>
      </w:r>
      <w:r w:rsidR="004F560D">
        <w:t xml:space="preserve">: </w:t>
      </w:r>
      <w:r w:rsidRPr="007905B2">
        <w:t>10.1093/ije/dyn244</w:t>
      </w:r>
    </w:p>
    <w:p w14:paraId="6033B5B9" w14:textId="77777777" w:rsidR="00B8668B" w:rsidRDefault="00B8668B" w:rsidP="00C54448">
      <w:pPr>
        <w:ind w:left="720" w:hanging="720"/>
      </w:pPr>
      <w:r>
        <w:t xml:space="preserve">Luckow, A., Ladd, K. L., Spilka, B., McIntosh, D. N, Paloma, M., Parks, C., </w:t>
      </w:r>
      <w:r w:rsidR="00E05C65">
        <w:t>&amp; LaForett, D.</w:t>
      </w:r>
      <w:r>
        <w:t xml:space="preserve"> (199</w:t>
      </w:r>
      <w:r w:rsidR="00657300">
        <w:t>9</w:t>
      </w:r>
      <w:r>
        <w:t>)</w:t>
      </w:r>
      <w:r w:rsidR="002D57D1">
        <w:t>.</w:t>
      </w:r>
      <w:r>
        <w:t xml:space="preserve"> </w:t>
      </w:r>
      <w:r>
        <w:rPr>
          <w:i/>
        </w:rPr>
        <w:t xml:space="preserve">The structure of prayer: Explorations and confirmations. </w:t>
      </w:r>
      <w:r>
        <w:t xml:space="preserve">Paper presented at the </w:t>
      </w:r>
      <w:r w:rsidR="00657300">
        <w:t xml:space="preserve">1996 </w:t>
      </w:r>
      <w:r>
        <w:t xml:space="preserve">meeting of the American Psychological Association, Toronto, Canada.  In P. </w:t>
      </w:r>
      <w:r w:rsidR="00657300">
        <w:t xml:space="preserve">C.  Hill and </w:t>
      </w:r>
      <w:r>
        <w:t>W. R</w:t>
      </w:r>
      <w:r w:rsidR="00657300">
        <w:t>.</w:t>
      </w:r>
      <w:r>
        <w:t xml:space="preserve"> </w:t>
      </w:r>
      <w:r w:rsidR="00657300">
        <w:t xml:space="preserve">Hood (Eds.), </w:t>
      </w:r>
      <w:r w:rsidRPr="00657300">
        <w:rPr>
          <w:i/>
        </w:rPr>
        <w:t xml:space="preserve">Measures of </w:t>
      </w:r>
      <w:r w:rsidR="00E05C65">
        <w:rPr>
          <w:i/>
        </w:rPr>
        <w:t>R</w:t>
      </w:r>
      <w:r w:rsidRPr="00657300">
        <w:rPr>
          <w:i/>
        </w:rPr>
        <w:t>eligiosity.</w:t>
      </w:r>
      <w:r>
        <w:t xml:space="preserve"> </w:t>
      </w:r>
      <w:r w:rsidR="00657300">
        <w:t xml:space="preserve">(pp. 70-72). </w:t>
      </w:r>
      <w:r>
        <w:t>Birmingham, AL</w:t>
      </w:r>
      <w:r w:rsidR="00657300">
        <w:t>:</w:t>
      </w:r>
      <w:r>
        <w:t xml:space="preserve"> Religious Education Press</w:t>
      </w:r>
      <w:r w:rsidR="00657300">
        <w:t>.</w:t>
      </w:r>
      <w:r>
        <w:t xml:space="preserve"> </w:t>
      </w:r>
    </w:p>
    <w:p w14:paraId="3ACF540C" w14:textId="77777777" w:rsidR="002D57D1" w:rsidRPr="007905B2" w:rsidRDefault="002D57D1" w:rsidP="001A66BF">
      <w:pPr>
        <w:keepNext/>
        <w:keepLines/>
        <w:ind w:left="720" w:hanging="720"/>
      </w:pPr>
      <w:r>
        <w:t xml:space="preserve">Mahoney, A., Pargament, K. I., Tarakeshwar, N., &amp; Swank, A. A. (2001). </w:t>
      </w:r>
      <w:r w:rsidRPr="002D57D1">
        <w:t>Religion in the home in the 1980s and 1990s: A meta-analytic review and conceptual analysis of links between religion, marriage, and parenting.</w:t>
      </w:r>
      <w:r>
        <w:t xml:space="preserve"> </w:t>
      </w:r>
      <w:r w:rsidRPr="002D57D1">
        <w:rPr>
          <w:i/>
        </w:rPr>
        <w:t>Journal of Family Psychology</w:t>
      </w:r>
      <w:r>
        <w:t xml:space="preserve">, </w:t>
      </w:r>
      <w:r w:rsidRPr="00ED3012">
        <w:rPr>
          <w:i/>
        </w:rPr>
        <w:t>15</w:t>
      </w:r>
      <w:r>
        <w:t xml:space="preserve">(4), 559-596. </w:t>
      </w:r>
      <w:r w:rsidR="004F560D">
        <w:t xml:space="preserve">doi: </w:t>
      </w:r>
      <w:r>
        <w:t>10.1037//0893-3200.15.4.559</w:t>
      </w:r>
    </w:p>
    <w:p w14:paraId="3ED82208" w14:textId="77777777" w:rsidR="003F0403" w:rsidRDefault="003F0403" w:rsidP="00C54448">
      <w:pPr>
        <w:ind w:left="720" w:hanging="720"/>
      </w:pPr>
      <w:r w:rsidRPr="007905B2">
        <w:t xml:space="preserve">Mascaro, N., Rosen, D., &amp; Morey, L. (2003). The development, construct validity, and clinical utility of the spiritual meaning scale. </w:t>
      </w:r>
      <w:r w:rsidRPr="007905B2">
        <w:rPr>
          <w:i/>
        </w:rPr>
        <w:t xml:space="preserve">Personality and Individual Differences, </w:t>
      </w:r>
      <w:r w:rsidRPr="00DB1A42">
        <w:rPr>
          <w:i/>
        </w:rPr>
        <w:t>37</w:t>
      </w:r>
      <w:r w:rsidRPr="007905B2">
        <w:t xml:space="preserve">, 845-860. </w:t>
      </w:r>
      <w:r w:rsidR="004F560D">
        <w:t xml:space="preserve">doi: </w:t>
      </w:r>
      <w:r w:rsidRPr="007905B2">
        <w:t>10.1016/jpaid.2003.12.011</w:t>
      </w:r>
    </w:p>
    <w:p w14:paraId="049E664D" w14:textId="77777777" w:rsidR="003F0403" w:rsidRPr="007905B2" w:rsidRDefault="003F0403" w:rsidP="00DB1A42">
      <w:pPr>
        <w:keepNext/>
        <w:ind w:left="720" w:hanging="720"/>
      </w:pPr>
      <w:r w:rsidRPr="007905B2">
        <w:t>McCullough, M. E., &amp; Willoughby, B. L. (2009). Religion, self-regulation, and self-</w:t>
      </w:r>
    </w:p>
    <w:p w14:paraId="4BC73FD6" w14:textId="77777777" w:rsidR="003F0403" w:rsidRPr="007905B2" w:rsidRDefault="003F0403" w:rsidP="00C54448">
      <w:pPr>
        <w:ind w:left="720" w:hanging="720"/>
      </w:pPr>
      <w:r w:rsidRPr="007905B2">
        <w:t xml:space="preserve">            control: associations, explanations, and implications. </w:t>
      </w:r>
      <w:r w:rsidRPr="007905B2">
        <w:rPr>
          <w:i/>
          <w:iCs/>
        </w:rPr>
        <w:t xml:space="preserve">Psychological Bulletin, </w:t>
      </w:r>
      <w:r w:rsidRPr="00ED3012">
        <w:rPr>
          <w:i/>
          <w:iCs/>
        </w:rPr>
        <w:t>135</w:t>
      </w:r>
      <w:r w:rsidRPr="007905B2">
        <w:t xml:space="preserve">(1), 69-93. </w:t>
      </w:r>
      <w:r w:rsidR="004F560D">
        <w:t xml:space="preserve">doi: </w:t>
      </w:r>
      <w:r w:rsidRPr="007905B2">
        <w:t>10.1037/a0014213</w:t>
      </w:r>
    </w:p>
    <w:p w14:paraId="35E8C07F" w14:textId="77777777" w:rsidR="003F0403" w:rsidRPr="007905B2" w:rsidRDefault="003F0403" w:rsidP="00C54448">
      <w:pPr>
        <w:ind w:left="720" w:hanging="720"/>
        <w:rPr>
          <w:b/>
          <w:bCs/>
        </w:rPr>
      </w:pPr>
      <w:r w:rsidRPr="007905B2">
        <w:t xml:space="preserve">Mirgain, S. A., &amp; Cordova, J. V. (2007). Emotion </w:t>
      </w:r>
      <w:r w:rsidR="008D4EBB">
        <w:t xml:space="preserve">skills and marital health: The </w:t>
      </w:r>
      <w:r w:rsidRPr="007905B2">
        <w:t>association between observed and self-reported</w:t>
      </w:r>
      <w:r w:rsidR="008D4EBB">
        <w:t xml:space="preserve"> emotion skills, intimacy, and </w:t>
      </w:r>
      <w:r w:rsidRPr="007905B2">
        <w:t xml:space="preserve">marital satisfaction. </w:t>
      </w:r>
      <w:r w:rsidRPr="007905B2">
        <w:rPr>
          <w:i/>
        </w:rPr>
        <w:t xml:space="preserve">Journal </w:t>
      </w:r>
      <w:r w:rsidR="001057BB">
        <w:rPr>
          <w:i/>
        </w:rPr>
        <w:t>o</w:t>
      </w:r>
      <w:r w:rsidRPr="007905B2">
        <w:rPr>
          <w:i/>
        </w:rPr>
        <w:t>f Social &amp; Clinical Psychology,</w:t>
      </w:r>
      <w:r w:rsidRPr="007905B2">
        <w:t xml:space="preserve"> </w:t>
      </w:r>
      <w:r w:rsidRPr="00DD7E38">
        <w:rPr>
          <w:i/>
        </w:rPr>
        <w:t>26</w:t>
      </w:r>
      <w:r w:rsidRPr="007905B2">
        <w:t>(9), 983-1009.</w:t>
      </w:r>
      <w:r w:rsidRPr="007905B2">
        <w:rPr>
          <w:b/>
          <w:bCs/>
        </w:rPr>
        <w:t> </w:t>
      </w:r>
    </w:p>
    <w:p w14:paraId="3D2D941D" w14:textId="77777777" w:rsidR="003F0403" w:rsidRDefault="003F0403" w:rsidP="00C54448">
      <w:pPr>
        <w:ind w:left="720" w:hanging="720"/>
      </w:pPr>
      <w:r w:rsidRPr="007905B2">
        <w:t xml:space="preserve">Morton, K. R., Lee, J. W., Haviland, M. G., &amp; Fraser, G. E. (2012, March 5). Religious engagement in a risky family model predicting health in older black and white Seventh-day Adventists. </w:t>
      </w:r>
      <w:r w:rsidRPr="007905B2">
        <w:rPr>
          <w:i/>
        </w:rPr>
        <w:t xml:space="preserve">Psychology of Religion and Spirituality. </w:t>
      </w:r>
      <w:r w:rsidRPr="007905B2">
        <w:t xml:space="preserve">Advance online publication. </w:t>
      </w:r>
      <w:r w:rsidR="004F560D">
        <w:t xml:space="preserve">doi: </w:t>
      </w:r>
      <w:r w:rsidRPr="007905B2">
        <w:t>10.1027/a0027553</w:t>
      </w:r>
    </w:p>
    <w:p w14:paraId="1897FD6C" w14:textId="77777777" w:rsidR="003F0403" w:rsidRPr="007905B2" w:rsidRDefault="003F0403" w:rsidP="00C54448">
      <w:pPr>
        <w:ind w:left="720" w:hanging="720"/>
      </w:pPr>
      <w:r w:rsidRPr="007905B2">
        <w:t xml:space="preserve">Paloma, M. M., &amp; Pendleton, B. F. (1991). The effects of prayer and prayer experiences on measures of general well-being. </w:t>
      </w:r>
      <w:r w:rsidRPr="007905B2">
        <w:rPr>
          <w:i/>
        </w:rPr>
        <w:t xml:space="preserve">Journal of Psychology and Theology, </w:t>
      </w:r>
      <w:r w:rsidRPr="00ED3012">
        <w:rPr>
          <w:i/>
        </w:rPr>
        <w:t>19</w:t>
      </w:r>
      <w:r w:rsidRPr="007905B2">
        <w:t>(1), 71-83.</w:t>
      </w:r>
    </w:p>
    <w:p w14:paraId="19E1C665" w14:textId="77777777" w:rsidR="003F0403" w:rsidRDefault="003F0403" w:rsidP="00E702AD">
      <w:pPr>
        <w:ind w:left="720" w:hanging="720"/>
      </w:pPr>
      <w:r w:rsidRPr="007905B2">
        <w:t>Pargament, K. I. (1999). Religious/spiritual coping</w:t>
      </w:r>
      <w:r w:rsidR="00375E79">
        <w:t xml:space="preserve">. </w:t>
      </w:r>
      <w:r w:rsidRPr="007905B2">
        <w:t xml:space="preserve"> </w:t>
      </w:r>
      <w:r w:rsidR="00375E79">
        <w:t>I</w:t>
      </w:r>
      <w:r w:rsidRPr="007905B2">
        <w:t xml:space="preserve">n Fetzer Institute (Ed.), </w:t>
      </w:r>
      <w:r w:rsidRPr="00EE4448">
        <w:rPr>
          <w:i/>
        </w:rPr>
        <w:t>Multidimensional Measurement of Religiousness/Spirituality for Use in Health Research: A Report of the Fetzer Institute/National Institute on Aging Working Group</w:t>
      </w:r>
      <w:r w:rsidR="00375E79">
        <w:rPr>
          <w:i/>
        </w:rPr>
        <w:t>.</w:t>
      </w:r>
      <w:r w:rsidRPr="007905B2">
        <w:t xml:space="preserve"> (pp. 43-56). Kalamazoo, MI: Fetzer Institute/National Institute on Aging.</w:t>
      </w:r>
    </w:p>
    <w:p w14:paraId="0584BFFA" w14:textId="77777777" w:rsidR="006E3F6D" w:rsidRDefault="006E3F6D" w:rsidP="00C54448">
      <w:pPr>
        <w:ind w:left="720" w:hanging="720"/>
      </w:pPr>
      <w:r>
        <w:t xml:space="preserve">Pargament, K. I. (2002). The bitter and the sweet: Evaluation of the costs and benefits of religiousness. </w:t>
      </w:r>
      <w:r w:rsidRPr="006E3F6D">
        <w:rPr>
          <w:i/>
        </w:rPr>
        <w:t>Psychological Inquiry</w:t>
      </w:r>
      <w:r>
        <w:t xml:space="preserve">, </w:t>
      </w:r>
      <w:r w:rsidRPr="00ED3012">
        <w:rPr>
          <w:i/>
        </w:rPr>
        <w:t>13</w:t>
      </w:r>
      <w:r>
        <w:t>(3), 168-181.</w:t>
      </w:r>
      <w:r w:rsidR="008403A1">
        <w:t xml:space="preserve"> </w:t>
      </w:r>
    </w:p>
    <w:p w14:paraId="50C57E89" w14:textId="77777777" w:rsidR="00EF72B0" w:rsidRDefault="00EF72B0" w:rsidP="00C54448">
      <w:pPr>
        <w:ind w:left="720" w:hanging="720"/>
      </w:pPr>
      <w:r>
        <w:t>Pargament, K. I., Tarakeshwar, N., Ellison, E. G., &amp; Wulff, K. M., (2001). Religious coping among the religious: The relationships between religious coping and well-being in a national sample of Presbyterian clergy, elders, and members.</w:t>
      </w:r>
      <w:r w:rsidR="00286DB6">
        <w:t xml:space="preserve"> </w:t>
      </w:r>
      <w:r w:rsidR="00286DB6" w:rsidRPr="00DB1A42">
        <w:rPr>
          <w:i/>
        </w:rPr>
        <w:t>Journal for the Scientific Study of Religion</w:t>
      </w:r>
      <w:r w:rsidR="00286DB6">
        <w:rPr>
          <w:i/>
        </w:rPr>
        <w:t>,</w:t>
      </w:r>
      <w:r w:rsidR="00286DB6" w:rsidRPr="00DB1A42">
        <w:rPr>
          <w:i/>
        </w:rPr>
        <w:t xml:space="preserve"> 40</w:t>
      </w:r>
      <w:r w:rsidR="00286DB6">
        <w:t>(3), 497-513.</w:t>
      </w:r>
    </w:p>
    <w:p w14:paraId="439427C2" w14:textId="77777777" w:rsidR="00666270" w:rsidRDefault="00666270" w:rsidP="00191EE7">
      <w:pPr>
        <w:ind w:left="720" w:hanging="720"/>
        <w:rPr>
          <w:lang w:eastAsia="en-US"/>
        </w:rPr>
      </w:pPr>
      <w:r>
        <w:t xml:space="preserve">Pollard, S. E., Riggs, S. A., &amp; Hook, J. N. (2014). Mutual influences in adult romantic attachment, religious coping, and marital adjustment. </w:t>
      </w:r>
      <w:r w:rsidRPr="002C7420">
        <w:rPr>
          <w:i/>
        </w:rPr>
        <w:t>Journal of Family Psychology</w:t>
      </w:r>
      <w:r>
        <w:rPr>
          <w:i/>
        </w:rPr>
        <w:t xml:space="preserve">. </w:t>
      </w:r>
      <w:r w:rsidR="00967887">
        <w:t xml:space="preserve">Advance online publication. </w:t>
      </w:r>
      <w:r w:rsidR="004F560D">
        <w:t xml:space="preserve">doi: </w:t>
      </w:r>
      <w:r w:rsidR="00967887" w:rsidRPr="002C7420">
        <w:rPr>
          <w:lang w:eastAsia="en-US"/>
        </w:rPr>
        <w:t>10.1037/a0036682</w:t>
      </w:r>
    </w:p>
    <w:p w14:paraId="25C61D16" w14:textId="77777777" w:rsidR="00375E79" w:rsidRDefault="00375E79" w:rsidP="00375E79">
      <w:pPr>
        <w:widowControl w:val="0"/>
        <w:autoSpaceDE w:val="0"/>
        <w:autoSpaceDN w:val="0"/>
        <w:adjustRightInd w:val="0"/>
        <w:ind w:firstLine="0"/>
        <w:rPr>
          <w:lang w:eastAsia="en-US"/>
        </w:rPr>
      </w:pPr>
      <w:r w:rsidRPr="00375E79">
        <w:rPr>
          <w:lang w:eastAsia="en-US"/>
        </w:rPr>
        <w:t>Reis, H. T., &amp; Shaver, P. (1988). Intimacy as an interpersonal process.</w:t>
      </w:r>
      <w:r>
        <w:rPr>
          <w:lang w:eastAsia="en-US"/>
        </w:rPr>
        <w:t xml:space="preserve"> </w:t>
      </w:r>
      <w:r w:rsidRPr="00375E79">
        <w:rPr>
          <w:lang w:eastAsia="en-US"/>
        </w:rPr>
        <w:t>In S. Duck (Ed.)</w:t>
      </w:r>
      <w:r>
        <w:rPr>
          <w:lang w:eastAsia="en-US"/>
        </w:rPr>
        <w:t>.</w:t>
      </w:r>
      <w:r w:rsidRPr="00375E79">
        <w:rPr>
          <w:lang w:eastAsia="en-US"/>
        </w:rPr>
        <w:t xml:space="preserve"> </w:t>
      </w:r>
      <w:r>
        <w:rPr>
          <w:lang w:eastAsia="en-US"/>
        </w:rPr>
        <w:t xml:space="preserve"> </w:t>
      </w:r>
    </w:p>
    <w:p w14:paraId="3C56A624" w14:textId="77777777" w:rsidR="00190B77" w:rsidRPr="00375E79" w:rsidRDefault="00375E79" w:rsidP="00375E79">
      <w:pPr>
        <w:widowControl w:val="0"/>
        <w:autoSpaceDE w:val="0"/>
        <w:autoSpaceDN w:val="0"/>
        <w:adjustRightInd w:val="0"/>
        <w:rPr>
          <w:lang w:eastAsia="en-US"/>
        </w:rPr>
      </w:pPr>
      <w:r w:rsidRPr="00375E79">
        <w:rPr>
          <w:lang w:eastAsia="en-US"/>
        </w:rPr>
        <w:t>Handbook of Personal Relationships</w:t>
      </w:r>
      <w:r>
        <w:rPr>
          <w:lang w:eastAsia="en-US"/>
        </w:rPr>
        <w:t>.</w:t>
      </w:r>
      <w:r w:rsidRPr="00375E79">
        <w:rPr>
          <w:lang w:eastAsia="en-US"/>
        </w:rPr>
        <w:t xml:space="preserve"> (pp. 367-389). Chichester, England: Wiley.</w:t>
      </w:r>
    </w:p>
    <w:p w14:paraId="6330820D" w14:textId="77777777" w:rsidR="003F0403" w:rsidRDefault="003F0403" w:rsidP="00C54448">
      <w:pPr>
        <w:ind w:left="720" w:hanging="720"/>
      </w:pPr>
      <w:r w:rsidRPr="007905B2">
        <w:t>Ryff, C. C., Singer, B. H., &amp; Palmersheim, K. A. (2004)</w:t>
      </w:r>
      <w:r w:rsidR="008F3399">
        <w:t>.</w:t>
      </w:r>
      <w:r w:rsidRPr="007905B2">
        <w:t xml:space="preserve"> Social inequalities in health and well-being: The role of relational and religious protective factors. In O. Grim, C. Ryff, &amp; R. Kessler (Eds.). </w:t>
      </w:r>
      <w:r w:rsidRPr="007905B2">
        <w:rPr>
          <w:i/>
        </w:rPr>
        <w:t xml:space="preserve">How </w:t>
      </w:r>
      <w:r w:rsidR="008F3399">
        <w:rPr>
          <w:i/>
        </w:rPr>
        <w:t>H</w:t>
      </w:r>
      <w:r w:rsidRPr="007905B2">
        <w:rPr>
          <w:i/>
        </w:rPr>
        <w:t xml:space="preserve">ealthy </w:t>
      </w:r>
      <w:r w:rsidR="008F3399">
        <w:rPr>
          <w:i/>
        </w:rPr>
        <w:t>A</w:t>
      </w:r>
      <w:r w:rsidRPr="007905B2">
        <w:rPr>
          <w:i/>
        </w:rPr>
        <w:t xml:space="preserve">re </w:t>
      </w:r>
      <w:r w:rsidR="008F3399">
        <w:rPr>
          <w:i/>
        </w:rPr>
        <w:t>W</w:t>
      </w:r>
      <w:r w:rsidRPr="007905B2">
        <w:rPr>
          <w:i/>
        </w:rPr>
        <w:t xml:space="preserve">e? A </w:t>
      </w:r>
      <w:r w:rsidR="008F3399">
        <w:rPr>
          <w:i/>
        </w:rPr>
        <w:t>N</w:t>
      </w:r>
      <w:r w:rsidRPr="007905B2">
        <w:rPr>
          <w:i/>
        </w:rPr>
        <w:t xml:space="preserve">ational </w:t>
      </w:r>
      <w:r w:rsidR="008F3399">
        <w:rPr>
          <w:i/>
        </w:rPr>
        <w:t>S</w:t>
      </w:r>
      <w:r w:rsidRPr="007905B2">
        <w:rPr>
          <w:i/>
        </w:rPr>
        <w:t xml:space="preserve">tudy of </w:t>
      </w:r>
      <w:r w:rsidR="008F3399">
        <w:rPr>
          <w:i/>
        </w:rPr>
        <w:t>W</w:t>
      </w:r>
      <w:r w:rsidRPr="007905B2">
        <w:rPr>
          <w:i/>
        </w:rPr>
        <w:t xml:space="preserve">ell-being at </w:t>
      </w:r>
      <w:r w:rsidR="008F3399">
        <w:rPr>
          <w:i/>
        </w:rPr>
        <w:t>M</w:t>
      </w:r>
      <w:r w:rsidRPr="007905B2">
        <w:rPr>
          <w:i/>
        </w:rPr>
        <w:t>idlife</w:t>
      </w:r>
      <w:r w:rsidRPr="007905B2">
        <w:t>. (pp. 90-123).</w:t>
      </w:r>
      <w:r w:rsidRPr="007905B2">
        <w:rPr>
          <w:i/>
        </w:rPr>
        <w:t xml:space="preserve"> </w:t>
      </w:r>
      <w:r w:rsidRPr="007905B2">
        <w:t xml:space="preserve">Chicago, IL: University of Chicago Press. </w:t>
      </w:r>
    </w:p>
    <w:p w14:paraId="56FA17CB" w14:textId="77777777" w:rsidR="00E2683C" w:rsidRDefault="00E2683C" w:rsidP="00E2683C">
      <w:pPr>
        <w:ind w:left="720" w:hanging="720"/>
        <w:rPr>
          <w:sz w:val="16"/>
          <w:szCs w:val="16"/>
          <w:lang w:eastAsia="en-US"/>
        </w:rPr>
      </w:pPr>
      <w:r w:rsidRPr="00E2683C">
        <w:rPr>
          <w:lang w:eastAsia="en-US"/>
        </w:rPr>
        <w:t>Siegel, D. J. (2012</w:t>
      </w:r>
      <w:r w:rsidR="00191EE7" w:rsidRPr="00E2683C">
        <w:rPr>
          <w:lang w:eastAsia="en-US"/>
        </w:rPr>
        <w:t xml:space="preserve">). </w:t>
      </w:r>
      <w:r w:rsidR="00191EE7" w:rsidRPr="00E2683C">
        <w:rPr>
          <w:i/>
          <w:lang w:eastAsia="en-US"/>
        </w:rPr>
        <w:t>Pocket guide to interpersonal neurobiology</w:t>
      </w:r>
      <w:r w:rsidR="00191EE7" w:rsidRPr="00E2683C">
        <w:rPr>
          <w:lang w:eastAsia="en-US"/>
        </w:rPr>
        <w:t>. New</w:t>
      </w:r>
      <w:r w:rsidR="00191EE7">
        <w:rPr>
          <w:lang w:eastAsia="en-US"/>
        </w:rPr>
        <w:t xml:space="preserve"> </w:t>
      </w:r>
      <w:r w:rsidR="00191EE7" w:rsidRPr="00E2683C">
        <w:rPr>
          <w:lang w:eastAsia="en-US"/>
        </w:rPr>
        <w:t>York, NY:</w:t>
      </w:r>
      <w:r>
        <w:rPr>
          <w:lang w:eastAsia="en-US"/>
        </w:rPr>
        <w:t xml:space="preserve"> </w:t>
      </w:r>
      <w:r w:rsidR="00191EE7" w:rsidRPr="00E2683C">
        <w:rPr>
          <w:lang w:eastAsia="en-US"/>
        </w:rPr>
        <w:t>Norton</w:t>
      </w:r>
      <w:r w:rsidR="00191EE7">
        <w:rPr>
          <w:sz w:val="16"/>
          <w:szCs w:val="16"/>
          <w:lang w:eastAsia="en-US"/>
        </w:rPr>
        <w:t>.</w:t>
      </w:r>
    </w:p>
    <w:p w14:paraId="536FB63D" w14:textId="77777777" w:rsidR="00265064" w:rsidRDefault="00265064" w:rsidP="00E2683C">
      <w:pPr>
        <w:ind w:left="720" w:hanging="720"/>
      </w:pPr>
      <w:r>
        <w:t xml:space="preserve">Silberman, I. (2003). Spiritual role modeling: The teaching of meaning systems. </w:t>
      </w:r>
      <w:r w:rsidRPr="00265064">
        <w:rPr>
          <w:i/>
        </w:rPr>
        <w:t>The International Journal for the Psychology of Religion, 13</w:t>
      </w:r>
      <w:r>
        <w:t>(3), 174-195.</w:t>
      </w:r>
    </w:p>
    <w:p w14:paraId="7FAF26C9" w14:textId="77777777" w:rsidR="00972AB0" w:rsidRPr="007905B2" w:rsidRDefault="00972AB0" w:rsidP="00C54448">
      <w:pPr>
        <w:ind w:left="720" w:hanging="720"/>
      </w:pPr>
      <w:r>
        <w:t xml:space="preserve">Simpson, D. B., Newman, J. L., </w:t>
      </w:r>
      <w:r w:rsidR="00682596">
        <w:t>&amp;</w:t>
      </w:r>
      <w:r>
        <w:t xml:space="preserve"> Fuqua, D. R. (2008). Understanding the role of relational factors in Christian spirituality. </w:t>
      </w:r>
      <w:r w:rsidRPr="00972AB0">
        <w:rPr>
          <w:i/>
        </w:rPr>
        <w:t>Journal of Psychology and Theology</w:t>
      </w:r>
      <w:r>
        <w:t xml:space="preserve">, </w:t>
      </w:r>
      <w:r w:rsidRPr="00ED3012">
        <w:rPr>
          <w:i/>
        </w:rPr>
        <w:t>36</w:t>
      </w:r>
      <w:r>
        <w:t xml:space="preserve">(2), 124-134. </w:t>
      </w:r>
    </w:p>
    <w:p w14:paraId="7D6FEB0C" w14:textId="77777777" w:rsidR="00D70A3B" w:rsidRDefault="00D70A3B" w:rsidP="00220E78">
      <w:pPr>
        <w:ind w:left="720" w:right="-86" w:hanging="720"/>
      </w:pPr>
      <w:r>
        <w:t xml:space="preserve">Sneed, J., Whitbourne, S., Schwartz, S., &amp; Huang, S. (2011). The relationship between identity, intimacy, and midlife well-being: Findings from the Rochester adult longitudinal study. </w:t>
      </w:r>
      <w:r>
        <w:rPr>
          <w:i/>
        </w:rPr>
        <w:t>Psychology and Aging,</w:t>
      </w:r>
      <w:r>
        <w:t xml:space="preserve"> </w:t>
      </w:r>
      <w:r w:rsidRPr="00ED3012">
        <w:rPr>
          <w:i/>
        </w:rPr>
        <w:t>27</w:t>
      </w:r>
      <w:r>
        <w:t xml:space="preserve">(2), 318-323. </w:t>
      </w:r>
      <w:r w:rsidR="004F560D">
        <w:t xml:space="preserve">doi: </w:t>
      </w:r>
      <w:r w:rsidRPr="00D70A3B">
        <w:t>10.1037/a0026378</w:t>
      </w:r>
    </w:p>
    <w:p w14:paraId="49991947" w14:textId="77777777" w:rsidR="00626E81" w:rsidRPr="00626E81" w:rsidRDefault="00626E81" w:rsidP="00220E78">
      <w:pPr>
        <w:ind w:left="720" w:right="-86" w:hanging="720"/>
      </w:pPr>
      <w:r>
        <w:t>Stafford, L</w:t>
      </w:r>
      <w:r w:rsidR="00394F2F">
        <w:t>.</w:t>
      </w:r>
      <w:r>
        <w:t>, &amp; Davi</w:t>
      </w:r>
      <w:r w:rsidR="00394F2F">
        <w:t>d</w:t>
      </w:r>
      <w:r>
        <w:t>, P</w:t>
      </w:r>
      <w:r w:rsidR="00394F2F">
        <w:t>.</w:t>
      </w:r>
      <w:r>
        <w:t xml:space="preserve">, &amp; </w:t>
      </w:r>
      <w:r w:rsidRPr="00F11D26">
        <w:t>Mc</w:t>
      </w:r>
      <w:r w:rsidR="00F11D26" w:rsidRPr="00F11D26">
        <w:t>P</w:t>
      </w:r>
      <w:r>
        <w:t>herson, S. (2014)</w:t>
      </w:r>
      <w:r w:rsidR="00394F2F">
        <w:t>.</w:t>
      </w:r>
      <w:r>
        <w:t xml:space="preserve"> Sanctity of marriage and marital quality. </w:t>
      </w:r>
      <w:r>
        <w:rPr>
          <w:i/>
        </w:rPr>
        <w:t>Journal of Social and Personal Relationships 31</w:t>
      </w:r>
      <w:r>
        <w:t>(1), 54-70. doi: 10.1177/0265407513486975</w:t>
      </w:r>
    </w:p>
    <w:p w14:paraId="116BA49E" w14:textId="77777777" w:rsidR="0097325F" w:rsidRDefault="0097325F" w:rsidP="00CF290B">
      <w:pPr>
        <w:keepNext/>
        <w:ind w:left="720" w:hanging="720"/>
      </w:pPr>
      <w:r>
        <w:t>Steffan, P. R. (2014)</w:t>
      </w:r>
      <w:r w:rsidR="006B26ED">
        <w:t>.</w:t>
      </w:r>
      <w:r>
        <w:t xml:space="preserve"> Perfectionism and life aspirations in intrinsically and extrinsically religious individuals.  </w:t>
      </w:r>
      <w:r>
        <w:rPr>
          <w:i/>
        </w:rPr>
        <w:t>Journal of Religion and Health,</w:t>
      </w:r>
      <w:r>
        <w:t xml:space="preserve"> </w:t>
      </w:r>
      <w:r w:rsidRPr="00DB1A42">
        <w:rPr>
          <w:i/>
        </w:rPr>
        <w:t>53</w:t>
      </w:r>
      <w:r w:rsidR="00B717AB" w:rsidRPr="00B717AB">
        <w:t>(4)</w:t>
      </w:r>
      <w:r w:rsidRPr="00B717AB">
        <w:t>,</w:t>
      </w:r>
      <w:r>
        <w:t xml:space="preserve"> 945-958. </w:t>
      </w:r>
      <w:r w:rsidR="004F560D">
        <w:t>doi:</w:t>
      </w:r>
      <w:r>
        <w:t>10.1007/</w:t>
      </w:r>
      <w:r w:rsidR="00B717AB">
        <w:t>s</w:t>
      </w:r>
      <w:r>
        <w:t>10943-013-9692-3</w:t>
      </w:r>
    </w:p>
    <w:p w14:paraId="0DABCA96" w14:textId="697D6B85" w:rsidR="00624862" w:rsidRDefault="00624862" w:rsidP="00CF290B">
      <w:pPr>
        <w:keepNext/>
        <w:ind w:left="720" w:hanging="720"/>
      </w:pPr>
      <w:r>
        <w:t>Stroope</w:t>
      </w:r>
      <w:r w:rsidR="00060627">
        <w:t xml:space="preserve">, S., </w:t>
      </w:r>
      <w:r>
        <w:t>McFarland, M. J., &amp; Uecker, J. E. (2014)</w:t>
      </w:r>
      <w:r w:rsidR="00060627">
        <w:t>.</w:t>
      </w:r>
      <w:r>
        <w:t xml:space="preserve"> Marital characteristics and the sexual relationships of older U.S. adults: An analysis of National Social Life, Health, and Aging Project data.</w:t>
      </w:r>
      <w:r w:rsidR="00060627">
        <w:t xml:space="preserve"> </w:t>
      </w:r>
      <w:r w:rsidR="00060627" w:rsidRPr="00FF4AE7">
        <w:rPr>
          <w:i/>
        </w:rPr>
        <w:t>Archives of Sexual Behavior</w:t>
      </w:r>
      <w:r w:rsidR="00060627">
        <w:t xml:space="preserve">.  Online first edition. doi: </w:t>
      </w:r>
      <w:r w:rsidR="00060627" w:rsidRPr="00FF4AE7">
        <w:rPr>
          <w:lang w:eastAsia="en-US"/>
        </w:rPr>
        <w:t>10.1007/s10508-014-0379-y</w:t>
      </w:r>
    </w:p>
    <w:p w14:paraId="6997037C" w14:textId="77777777" w:rsidR="003F0403" w:rsidRPr="007905B2" w:rsidRDefault="003F0403" w:rsidP="00C54448">
      <w:pPr>
        <w:ind w:left="720" w:hanging="720"/>
      </w:pPr>
      <w:r w:rsidRPr="007905B2">
        <w:t xml:space="preserve">Vaaler, M. L., Ellison, C. G., &amp; Powers, D. A. (2009). Religious influences on the risk of marital dissolution. </w:t>
      </w:r>
      <w:r w:rsidRPr="007905B2">
        <w:rPr>
          <w:i/>
        </w:rPr>
        <w:t xml:space="preserve">Journal of </w:t>
      </w:r>
      <w:r w:rsidR="008F3399">
        <w:rPr>
          <w:i/>
        </w:rPr>
        <w:t>M</w:t>
      </w:r>
      <w:r w:rsidRPr="007905B2">
        <w:rPr>
          <w:i/>
        </w:rPr>
        <w:t xml:space="preserve">arriage and </w:t>
      </w:r>
      <w:r w:rsidR="008F3399">
        <w:rPr>
          <w:i/>
        </w:rPr>
        <w:t>F</w:t>
      </w:r>
      <w:r w:rsidRPr="007905B2">
        <w:rPr>
          <w:i/>
        </w:rPr>
        <w:t>amily,</w:t>
      </w:r>
      <w:r w:rsidRPr="007905B2">
        <w:t xml:space="preserve"> </w:t>
      </w:r>
      <w:r w:rsidRPr="00ED3012">
        <w:rPr>
          <w:i/>
        </w:rPr>
        <w:t>71</w:t>
      </w:r>
      <w:r w:rsidRPr="007905B2">
        <w:t>(4), 917-934.</w:t>
      </w:r>
    </w:p>
    <w:p w14:paraId="616D8DD4" w14:textId="77777777" w:rsidR="00EF6BCD" w:rsidRDefault="00EF6BCD" w:rsidP="00C54448">
      <w:pPr>
        <w:ind w:left="720" w:hanging="720"/>
      </w:pPr>
      <w:r>
        <w:t xml:space="preserve">Van Tongeren, D. R., Hook, J. H, &amp; Davis, D. E. (2013). Defensive religion as a source of meaning in life: A dual meditational model. </w:t>
      </w:r>
      <w:r w:rsidRPr="007C0F61">
        <w:rPr>
          <w:i/>
        </w:rPr>
        <w:t>Psychology of Religion and Spirituality</w:t>
      </w:r>
      <w:r>
        <w:t xml:space="preserve">, </w:t>
      </w:r>
      <w:r w:rsidRPr="00ED3012">
        <w:rPr>
          <w:i/>
        </w:rPr>
        <w:t>5</w:t>
      </w:r>
      <w:r>
        <w:t xml:space="preserve">(3), 227-232. </w:t>
      </w:r>
      <w:r w:rsidR="004F560D">
        <w:t xml:space="preserve">doi: </w:t>
      </w:r>
      <w:r>
        <w:t>10.1037/a0032695</w:t>
      </w:r>
    </w:p>
    <w:p w14:paraId="42E6D96E" w14:textId="77777777" w:rsidR="003F0403" w:rsidRPr="007905B2" w:rsidRDefault="003F0403" w:rsidP="00C54448">
      <w:pPr>
        <w:ind w:left="720" w:hanging="720"/>
      </w:pPr>
      <w:r w:rsidRPr="007905B2">
        <w:t xml:space="preserve">Wachs, K., &amp; Cordova, J. (2007). Mindful relating: Exploring mindfulness and emotion repertoires in intimate relationships. </w:t>
      </w:r>
      <w:r w:rsidRPr="007905B2">
        <w:rPr>
          <w:i/>
        </w:rPr>
        <w:t xml:space="preserve">Journal of Marital and Family Therapy, </w:t>
      </w:r>
      <w:r w:rsidRPr="00ED3012">
        <w:rPr>
          <w:i/>
        </w:rPr>
        <w:t>33</w:t>
      </w:r>
      <w:r w:rsidRPr="007905B2">
        <w:t>(4)</w:t>
      </w:r>
      <w:r w:rsidR="00BF3EB8">
        <w:t>,</w:t>
      </w:r>
      <w:r w:rsidRPr="007905B2">
        <w:t xml:space="preserve"> 464-481. </w:t>
      </w:r>
    </w:p>
    <w:p w14:paraId="2D301B84" w14:textId="77777777" w:rsidR="003F0403" w:rsidRPr="007905B2" w:rsidRDefault="003F0403" w:rsidP="00C54448">
      <w:pPr>
        <w:ind w:left="720" w:hanging="720"/>
      </w:pPr>
      <w:r w:rsidRPr="007905B2">
        <w:t xml:space="preserve">Ware, J. E., Kosinski, M., Turner-Bowker, D. M., &amp; Gandek, B. (2002). </w:t>
      </w:r>
      <w:r w:rsidRPr="007905B2">
        <w:rPr>
          <w:i/>
          <w:iCs/>
        </w:rPr>
        <w:t>How to Score Version 2 of the SF-12® Health Survey (With a Supplement Documenting Version 1)</w:t>
      </w:r>
      <w:r w:rsidRPr="007905B2">
        <w:t>. Lincoln, RI: QualityMetric Incorporated.</w:t>
      </w:r>
    </w:p>
    <w:p w14:paraId="299C6687" w14:textId="77777777" w:rsidR="00441C85" w:rsidRPr="00441C85" w:rsidRDefault="00441C85" w:rsidP="00C54448">
      <w:pPr>
        <w:ind w:left="720" w:hanging="720"/>
      </w:pPr>
      <w:r>
        <w:t>Wnuk, N., &amp; Marcinkowski, J. T. (2012). Do existential variables mediate between religious-spiritual facets of functionality and psychological well</w:t>
      </w:r>
      <w:r w:rsidR="00116B14">
        <w:t>-</w:t>
      </w:r>
      <w:r>
        <w:t xml:space="preserve">being. </w:t>
      </w:r>
      <w:r>
        <w:rPr>
          <w:i/>
        </w:rPr>
        <w:t>Journal of Religion and Health.</w:t>
      </w:r>
      <w:r>
        <w:t xml:space="preserve"> </w:t>
      </w:r>
      <w:r w:rsidRPr="00DB1A42">
        <w:rPr>
          <w:i/>
        </w:rPr>
        <w:t>53</w:t>
      </w:r>
      <w:r>
        <w:t>, 56-67. doi: 10.1007/s10943-</w:t>
      </w:r>
      <w:r w:rsidR="00B67920">
        <w:t>2</w:t>
      </w:r>
      <w:r>
        <w:t>012-9597-6</w:t>
      </w:r>
    </w:p>
    <w:p w14:paraId="70161F22" w14:textId="77777777" w:rsidR="008D4EBB" w:rsidRDefault="008D4EBB" w:rsidP="00C54448">
      <w:pPr>
        <w:ind w:left="720" w:hanging="720"/>
        <w:sectPr w:rsidR="008D4EBB" w:rsidSect="00CF290B">
          <w:pgSz w:w="12240" w:h="15840"/>
          <w:pgMar w:top="1440" w:right="1350" w:bottom="1440" w:left="1440" w:header="720" w:footer="720" w:gutter="0"/>
          <w:cols w:space="720"/>
          <w:noEndnote/>
          <w:titlePg/>
        </w:sectPr>
      </w:pPr>
    </w:p>
    <w:tbl>
      <w:tblPr>
        <w:tblW w:w="7859" w:type="dxa"/>
        <w:tblCellMar>
          <w:left w:w="29" w:type="dxa"/>
          <w:right w:w="29" w:type="dxa"/>
        </w:tblCellMar>
        <w:tblLook w:val="0000" w:firstRow="0" w:lastRow="0" w:firstColumn="0" w:lastColumn="0" w:noHBand="0" w:noVBand="0"/>
      </w:tblPr>
      <w:tblGrid>
        <w:gridCol w:w="600"/>
        <w:gridCol w:w="3209"/>
        <w:gridCol w:w="900"/>
        <w:gridCol w:w="810"/>
        <w:gridCol w:w="630"/>
        <w:gridCol w:w="810"/>
        <w:gridCol w:w="900"/>
      </w:tblGrid>
      <w:tr w:rsidR="00D25FA1" w:rsidRPr="005048F2" w14:paraId="55D282AA" w14:textId="77777777" w:rsidTr="00A87996">
        <w:trPr>
          <w:trHeight w:val="667"/>
        </w:trPr>
        <w:tc>
          <w:tcPr>
            <w:tcW w:w="3809" w:type="dxa"/>
            <w:gridSpan w:val="2"/>
            <w:tcBorders>
              <w:top w:val="nil"/>
              <w:left w:val="nil"/>
              <w:bottom w:val="nil"/>
              <w:right w:val="nil"/>
            </w:tcBorders>
            <w:noWrap/>
          </w:tcPr>
          <w:p w14:paraId="1BB5503E" w14:textId="77777777" w:rsidR="00D25FA1" w:rsidRPr="005048F2" w:rsidRDefault="00D25FA1" w:rsidP="00C03AE5">
            <w:pPr>
              <w:pStyle w:val="Table"/>
            </w:pPr>
            <w:r w:rsidRPr="005048F2">
              <w:t>Table 1.</w:t>
            </w:r>
          </w:p>
          <w:p w14:paraId="15D41BCA" w14:textId="77777777" w:rsidR="00D25FA1" w:rsidRPr="005048F2" w:rsidRDefault="00D25FA1" w:rsidP="00D25FA1">
            <w:pPr>
              <w:autoSpaceDE w:val="0"/>
              <w:autoSpaceDN w:val="0"/>
              <w:adjustRightInd w:val="0"/>
              <w:spacing w:line="240" w:lineRule="auto"/>
              <w:ind w:firstLine="0"/>
              <w:rPr>
                <w:rFonts w:cs="Calibri"/>
                <w:i/>
                <w:color w:val="000000"/>
              </w:rPr>
            </w:pPr>
            <w:r w:rsidRPr="005048F2">
              <w:rPr>
                <w:rFonts w:cs="Calibri"/>
                <w:i/>
                <w:color w:val="000000"/>
              </w:rPr>
              <w:t>Sample Demographics</w:t>
            </w:r>
          </w:p>
        </w:tc>
        <w:tc>
          <w:tcPr>
            <w:tcW w:w="900" w:type="dxa"/>
            <w:tcBorders>
              <w:top w:val="nil"/>
              <w:left w:val="nil"/>
              <w:bottom w:val="nil"/>
              <w:right w:val="nil"/>
            </w:tcBorders>
            <w:noWrap/>
          </w:tcPr>
          <w:p w14:paraId="053ACFE1" w14:textId="77777777" w:rsidR="00D25FA1" w:rsidRPr="005048F2" w:rsidRDefault="00D25FA1" w:rsidP="00D25FA1">
            <w:pPr>
              <w:autoSpaceDE w:val="0"/>
              <w:autoSpaceDN w:val="0"/>
              <w:adjustRightInd w:val="0"/>
              <w:spacing w:line="240" w:lineRule="auto"/>
              <w:ind w:firstLine="0"/>
              <w:rPr>
                <w:rFonts w:cs="Calibri"/>
                <w:color w:val="000000"/>
              </w:rPr>
            </w:pPr>
          </w:p>
        </w:tc>
        <w:tc>
          <w:tcPr>
            <w:tcW w:w="810" w:type="dxa"/>
            <w:tcBorders>
              <w:top w:val="nil"/>
              <w:left w:val="nil"/>
              <w:bottom w:val="nil"/>
              <w:right w:val="nil"/>
            </w:tcBorders>
            <w:noWrap/>
          </w:tcPr>
          <w:p w14:paraId="3C45A6C2" w14:textId="77777777" w:rsidR="00D25FA1" w:rsidRPr="005048F2" w:rsidRDefault="00D25FA1" w:rsidP="00D25FA1">
            <w:pPr>
              <w:autoSpaceDE w:val="0"/>
              <w:autoSpaceDN w:val="0"/>
              <w:adjustRightInd w:val="0"/>
              <w:spacing w:line="240" w:lineRule="auto"/>
              <w:ind w:firstLine="0"/>
              <w:rPr>
                <w:rFonts w:cs="Calibri"/>
                <w:color w:val="000000"/>
              </w:rPr>
            </w:pPr>
          </w:p>
        </w:tc>
        <w:tc>
          <w:tcPr>
            <w:tcW w:w="630" w:type="dxa"/>
            <w:tcBorders>
              <w:top w:val="nil"/>
              <w:left w:val="nil"/>
              <w:bottom w:val="nil"/>
              <w:right w:val="nil"/>
            </w:tcBorders>
            <w:noWrap/>
          </w:tcPr>
          <w:p w14:paraId="571B26E8" w14:textId="77777777" w:rsidR="00D25FA1" w:rsidRPr="005048F2" w:rsidRDefault="00D25FA1" w:rsidP="00D25FA1">
            <w:pPr>
              <w:autoSpaceDE w:val="0"/>
              <w:autoSpaceDN w:val="0"/>
              <w:adjustRightInd w:val="0"/>
              <w:spacing w:line="240" w:lineRule="auto"/>
              <w:ind w:firstLine="0"/>
              <w:rPr>
                <w:rFonts w:cs="Calibri"/>
                <w:color w:val="000000"/>
              </w:rPr>
            </w:pPr>
          </w:p>
        </w:tc>
        <w:tc>
          <w:tcPr>
            <w:tcW w:w="810" w:type="dxa"/>
            <w:tcBorders>
              <w:top w:val="nil"/>
              <w:left w:val="nil"/>
              <w:bottom w:val="nil"/>
              <w:right w:val="nil"/>
            </w:tcBorders>
            <w:noWrap/>
          </w:tcPr>
          <w:p w14:paraId="47B08898" w14:textId="77777777" w:rsidR="00D25FA1" w:rsidRPr="005048F2" w:rsidRDefault="00D25FA1" w:rsidP="00D25FA1">
            <w:pPr>
              <w:autoSpaceDE w:val="0"/>
              <w:autoSpaceDN w:val="0"/>
              <w:adjustRightInd w:val="0"/>
              <w:spacing w:line="240" w:lineRule="auto"/>
              <w:ind w:firstLine="0"/>
              <w:rPr>
                <w:rFonts w:cs="Calibri"/>
                <w:color w:val="000000"/>
              </w:rPr>
            </w:pPr>
          </w:p>
        </w:tc>
        <w:tc>
          <w:tcPr>
            <w:tcW w:w="900" w:type="dxa"/>
            <w:tcBorders>
              <w:top w:val="nil"/>
              <w:left w:val="nil"/>
              <w:bottom w:val="nil"/>
              <w:right w:val="nil"/>
            </w:tcBorders>
            <w:noWrap/>
          </w:tcPr>
          <w:p w14:paraId="5A7501CA" w14:textId="77777777" w:rsidR="00D25FA1" w:rsidRPr="005048F2" w:rsidRDefault="00D25FA1" w:rsidP="00D25FA1">
            <w:pPr>
              <w:autoSpaceDE w:val="0"/>
              <w:autoSpaceDN w:val="0"/>
              <w:adjustRightInd w:val="0"/>
              <w:spacing w:line="240" w:lineRule="auto"/>
              <w:ind w:firstLine="0"/>
              <w:rPr>
                <w:rFonts w:cs="Calibri"/>
                <w:color w:val="000000"/>
              </w:rPr>
            </w:pPr>
          </w:p>
        </w:tc>
      </w:tr>
      <w:tr w:rsidR="00D25FA1" w:rsidRPr="005048F2" w14:paraId="3D71DAE1" w14:textId="77777777" w:rsidTr="00A87996">
        <w:trPr>
          <w:trHeight w:val="305"/>
        </w:trPr>
        <w:tc>
          <w:tcPr>
            <w:tcW w:w="600" w:type="dxa"/>
            <w:tcBorders>
              <w:top w:val="single" w:sz="6" w:space="0" w:color="auto"/>
              <w:left w:val="nil"/>
              <w:bottom w:val="nil"/>
              <w:right w:val="nil"/>
            </w:tcBorders>
            <w:noWrap/>
          </w:tcPr>
          <w:p w14:paraId="07EB9D43"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single" w:sz="6" w:space="0" w:color="auto"/>
              <w:left w:val="nil"/>
              <w:bottom w:val="nil"/>
              <w:right w:val="nil"/>
            </w:tcBorders>
            <w:noWrap/>
          </w:tcPr>
          <w:p w14:paraId="74FCBD39" w14:textId="77777777" w:rsidR="00D25FA1" w:rsidRPr="005048F2" w:rsidRDefault="00D25FA1" w:rsidP="00D25FA1">
            <w:pPr>
              <w:autoSpaceDE w:val="0"/>
              <w:autoSpaceDN w:val="0"/>
              <w:adjustRightInd w:val="0"/>
              <w:spacing w:line="240" w:lineRule="auto"/>
              <w:ind w:firstLine="0"/>
              <w:jc w:val="right"/>
              <w:rPr>
                <w:color w:val="000000"/>
              </w:rPr>
            </w:pPr>
          </w:p>
        </w:tc>
        <w:tc>
          <w:tcPr>
            <w:tcW w:w="1710" w:type="dxa"/>
            <w:gridSpan w:val="2"/>
            <w:tcBorders>
              <w:top w:val="single" w:sz="6" w:space="0" w:color="auto"/>
              <w:left w:val="nil"/>
              <w:bottom w:val="single" w:sz="6" w:space="0" w:color="auto"/>
              <w:right w:val="nil"/>
            </w:tcBorders>
            <w:noWrap/>
            <w:vAlign w:val="center"/>
          </w:tcPr>
          <w:p w14:paraId="1EF42227" w14:textId="77777777" w:rsidR="00D25FA1" w:rsidRPr="005048F2" w:rsidRDefault="00D25FA1" w:rsidP="00611F30">
            <w:pPr>
              <w:autoSpaceDE w:val="0"/>
              <w:autoSpaceDN w:val="0"/>
              <w:adjustRightInd w:val="0"/>
              <w:spacing w:line="240" w:lineRule="auto"/>
              <w:ind w:firstLine="0"/>
              <w:jc w:val="center"/>
              <w:rPr>
                <w:color w:val="000000"/>
              </w:rPr>
            </w:pPr>
            <w:r w:rsidRPr="005048F2">
              <w:rPr>
                <w:color w:val="000000"/>
              </w:rPr>
              <w:t>Female</w:t>
            </w:r>
          </w:p>
        </w:tc>
        <w:tc>
          <w:tcPr>
            <w:tcW w:w="630" w:type="dxa"/>
            <w:tcBorders>
              <w:top w:val="single" w:sz="6" w:space="0" w:color="auto"/>
              <w:left w:val="nil"/>
              <w:bottom w:val="nil"/>
              <w:right w:val="nil"/>
            </w:tcBorders>
            <w:noWrap/>
          </w:tcPr>
          <w:p w14:paraId="16CF021F" w14:textId="77777777" w:rsidR="00D25FA1" w:rsidRPr="005048F2" w:rsidRDefault="00D25FA1" w:rsidP="00D25FA1">
            <w:pPr>
              <w:autoSpaceDE w:val="0"/>
              <w:autoSpaceDN w:val="0"/>
              <w:adjustRightInd w:val="0"/>
              <w:spacing w:line="240" w:lineRule="auto"/>
              <w:ind w:firstLine="0"/>
              <w:jc w:val="right"/>
              <w:rPr>
                <w:color w:val="000000"/>
              </w:rPr>
            </w:pPr>
          </w:p>
        </w:tc>
        <w:tc>
          <w:tcPr>
            <w:tcW w:w="1710" w:type="dxa"/>
            <w:gridSpan w:val="2"/>
            <w:tcBorders>
              <w:top w:val="single" w:sz="6" w:space="0" w:color="auto"/>
              <w:left w:val="nil"/>
              <w:bottom w:val="single" w:sz="6" w:space="0" w:color="auto"/>
              <w:right w:val="nil"/>
            </w:tcBorders>
            <w:noWrap/>
            <w:vAlign w:val="center"/>
          </w:tcPr>
          <w:p w14:paraId="1E910B79" w14:textId="77777777" w:rsidR="00D25FA1" w:rsidRPr="005048F2" w:rsidRDefault="00D25FA1" w:rsidP="00611F30">
            <w:pPr>
              <w:autoSpaceDE w:val="0"/>
              <w:autoSpaceDN w:val="0"/>
              <w:adjustRightInd w:val="0"/>
              <w:spacing w:line="240" w:lineRule="auto"/>
              <w:ind w:firstLine="0"/>
              <w:jc w:val="center"/>
              <w:rPr>
                <w:color w:val="000000"/>
              </w:rPr>
            </w:pPr>
            <w:r w:rsidRPr="005048F2">
              <w:rPr>
                <w:color w:val="000000"/>
              </w:rPr>
              <w:t>Male</w:t>
            </w:r>
          </w:p>
        </w:tc>
      </w:tr>
      <w:tr w:rsidR="00D25FA1" w:rsidRPr="005048F2" w14:paraId="18AB38D9" w14:textId="77777777" w:rsidTr="00A87996">
        <w:trPr>
          <w:trHeight w:val="305"/>
        </w:trPr>
        <w:tc>
          <w:tcPr>
            <w:tcW w:w="600" w:type="dxa"/>
            <w:tcBorders>
              <w:top w:val="nil"/>
              <w:left w:val="nil"/>
              <w:bottom w:val="single" w:sz="6" w:space="0" w:color="auto"/>
              <w:right w:val="nil"/>
            </w:tcBorders>
            <w:noWrap/>
          </w:tcPr>
          <w:p w14:paraId="53E6ACE0"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single" w:sz="6" w:space="0" w:color="auto"/>
              <w:right w:val="nil"/>
            </w:tcBorders>
            <w:noWrap/>
          </w:tcPr>
          <w:p w14:paraId="5382DD9F" w14:textId="77777777" w:rsidR="00D25FA1" w:rsidRPr="005048F2" w:rsidRDefault="00D25FA1" w:rsidP="00D25FA1">
            <w:pPr>
              <w:autoSpaceDE w:val="0"/>
              <w:autoSpaceDN w:val="0"/>
              <w:adjustRightInd w:val="0"/>
              <w:spacing w:line="240" w:lineRule="auto"/>
              <w:ind w:firstLine="0"/>
              <w:jc w:val="right"/>
              <w:rPr>
                <w:color w:val="000000"/>
              </w:rPr>
            </w:pPr>
          </w:p>
        </w:tc>
        <w:tc>
          <w:tcPr>
            <w:tcW w:w="900" w:type="dxa"/>
            <w:tcBorders>
              <w:top w:val="nil"/>
              <w:left w:val="nil"/>
              <w:bottom w:val="single" w:sz="6" w:space="0" w:color="auto"/>
              <w:right w:val="nil"/>
            </w:tcBorders>
            <w:noWrap/>
            <w:vAlign w:val="center"/>
          </w:tcPr>
          <w:p w14:paraId="5E7D0B34" w14:textId="77777777" w:rsidR="00D25FA1" w:rsidRPr="005048F2" w:rsidRDefault="00D25FA1" w:rsidP="00611F30">
            <w:pPr>
              <w:autoSpaceDE w:val="0"/>
              <w:autoSpaceDN w:val="0"/>
              <w:adjustRightInd w:val="0"/>
              <w:spacing w:line="240" w:lineRule="auto"/>
              <w:ind w:firstLine="0"/>
              <w:jc w:val="center"/>
              <w:rPr>
                <w:color w:val="000000"/>
              </w:rPr>
            </w:pPr>
            <w:r w:rsidRPr="005048F2">
              <w:rPr>
                <w:color w:val="000000"/>
              </w:rPr>
              <w:t>%</w:t>
            </w:r>
          </w:p>
        </w:tc>
        <w:tc>
          <w:tcPr>
            <w:tcW w:w="810" w:type="dxa"/>
            <w:tcBorders>
              <w:top w:val="nil"/>
              <w:left w:val="nil"/>
              <w:bottom w:val="single" w:sz="6" w:space="0" w:color="auto"/>
              <w:right w:val="nil"/>
            </w:tcBorders>
            <w:noWrap/>
            <w:vAlign w:val="center"/>
          </w:tcPr>
          <w:p w14:paraId="7E23C00D" w14:textId="77777777" w:rsidR="00D25FA1" w:rsidRPr="005048F2" w:rsidRDefault="00D25FA1">
            <w:pPr>
              <w:autoSpaceDE w:val="0"/>
              <w:autoSpaceDN w:val="0"/>
              <w:adjustRightInd w:val="0"/>
              <w:spacing w:line="240" w:lineRule="auto"/>
              <w:ind w:firstLine="0"/>
              <w:jc w:val="center"/>
              <w:rPr>
                <w:i/>
                <w:iCs/>
                <w:color w:val="000000"/>
              </w:rPr>
            </w:pPr>
            <w:r w:rsidRPr="005048F2">
              <w:rPr>
                <w:i/>
                <w:iCs/>
                <w:color w:val="000000"/>
              </w:rPr>
              <w:t>n</w:t>
            </w:r>
          </w:p>
        </w:tc>
        <w:tc>
          <w:tcPr>
            <w:tcW w:w="630" w:type="dxa"/>
            <w:tcBorders>
              <w:top w:val="nil"/>
              <w:left w:val="nil"/>
              <w:bottom w:val="single" w:sz="6" w:space="0" w:color="auto"/>
              <w:right w:val="nil"/>
            </w:tcBorders>
            <w:noWrap/>
          </w:tcPr>
          <w:p w14:paraId="3C8B9DB9" w14:textId="77777777" w:rsidR="00D25FA1" w:rsidRPr="005048F2" w:rsidRDefault="00D25FA1" w:rsidP="00D25FA1">
            <w:pPr>
              <w:autoSpaceDE w:val="0"/>
              <w:autoSpaceDN w:val="0"/>
              <w:adjustRightInd w:val="0"/>
              <w:spacing w:line="240" w:lineRule="auto"/>
              <w:ind w:firstLine="0"/>
              <w:jc w:val="center"/>
              <w:rPr>
                <w:i/>
                <w:iCs/>
                <w:color w:val="000000"/>
              </w:rPr>
            </w:pPr>
          </w:p>
        </w:tc>
        <w:tc>
          <w:tcPr>
            <w:tcW w:w="810" w:type="dxa"/>
            <w:tcBorders>
              <w:top w:val="nil"/>
              <w:left w:val="nil"/>
              <w:bottom w:val="single" w:sz="6" w:space="0" w:color="auto"/>
              <w:right w:val="nil"/>
            </w:tcBorders>
            <w:noWrap/>
            <w:vAlign w:val="center"/>
          </w:tcPr>
          <w:p w14:paraId="532E845E" w14:textId="77777777" w:rsidR="00D25FA1" w:rsidRPr="005048F2" w:rsidRDefault="00D25FA1" w:rsidP="00611F30">
            <w:pPr>
              <w:autoSpaceDE w:val="0"/>
              <w:autoSpaceDN w:val="0"/>
              <w:adjustRightInd w:val="0"/>
              <w:spacing w:line="240" w:lineRule="auto"/>
              <w:ind w:firstLine="0"/>
              <w:jc w:val="center"/>
              <w:rPr>
                <w:color w:val="000000"/>
              </w:rPr>
            </w:pPr>
            <w:r w:rsidRPr="005048F2">
              <w:rPr>
                <w:color w:val="000000"/>
              </w:rPr>
              <w:t>%</w:t>
            </w:r>
          </w:p>
        </w:tc>
        <w:tc>
          <w:tcPr>
            <w:tcW w:w="900" w:type="dxa"/>
            <w:tcBorders>
              <w:top w:val="nil"/>
              <w:left w:val="nil"/>
              <w:bottom w:val="single" w:sz="6" w:space="0" w:color="auto"/>
              <w:right w:val="nil"/>
            </w:tcBorders>
            <w:noWrap/>
            <w:vAlign w:val="center"/>
          </w:tcPr>
          <w:p w14:paraId="3A98F2E6" w14:textId="77777777" w:rsidR="00D25FA1" w:rsidRPr="005048F2" w:rsidRDefault="00A87996">
            <w:pPr>
              <w:autoSpaceDE w:val="0"/>
              <w:autoSpaceDN w:val="0"/>
              <w:adjustRightInd w:val="0"/>
              <w:spacing w:line="240" w:lineRule="auto"/>
              <w:ind w:firstLine="0"/>
              <w:jc w:val="center"/>
              <w:rPr>
                <w:i/>
                <w:iCs/>
                <w:color w:val="000000"/>
              </w:rPr>
            </w:pPr>
            <w:r w:rsidRPr="005048F2">
              <w:rPr>
                <w:i/>
                <w:iCs/>
                <w:color w:val="000000"/>
              </w:rPr>
              <w:t>N</w:t>
            </w:r>
          </w:p>
        </w:tc>
      </w:tr>
      <w:tr w:rsidR="00D25FA1" w:rsidRPr="005048F2" w14:paraId="255C17AD" w14:textId="77777777" w:rsidTr="00A87996">
        <w:trPr>
          <w:trHeight w:val="305"/>
        </w:trPr>
        <w:tc>
          <w:tcPr>
            <w:tcW w:w="3809" w:type="dxa"/>
            <w:gridSpan w:val="2"/>
            <w:tcBorders>
              <w:top w:val="nil"/>
              <w:left w:val="nil"/>
              <w:bottom w:val="nil"/>
              <w:right w:val="nil"/>
            </w:tcBorders>
            <w:noWrap/>
          </w:tcPr>
          <w:p w14:paraId="7BB0A7C2"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Age Range (years)</w:t>
            </w:r>
          </w:p>
        </w:tc>
        <w:tc>
          <w:tcPr>
            <w:tcW w:w="900" w:type="dxa"/>
            <w:tcBorders>
              <w:top w:val="nil"/>
              <w:left w:val="nil"/>
              <w:bottom w:val="nil"/>
              <w:right w:val="nil"/>
            </w:tcBorders>
            <w:noWrap/>
          </w:tcPr>
          <w:p w14:paraId="4320AFE4"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5808A5C1" w14:textId="77777777" w:rsidR="00D25FA1" w:rsidRPr="005048F2" w:rsidRDefault="00D25FA1" w:rsidP="00D25FA1">
            <w:pPr>
              <w:autoSpaceDE w:val="0"/>
              <w:autoSpaceDN w:val="0"/>
              <w:adjustRightInd w:val="0"/>
              <w:spacing w:line="240" w:lineRule="auto"/>
              <w:ind w:firstLine="0"/>
              <w:jc w:val="center"/>
              <w:rPr>
                <w:color w:val="000000"/>
              </w:rPr>
            </w:pPr>
          </w:p>
        </w:tc>
        <w:tc>
          <w:tcPr>
            <w:tcW w:w="630" w:type="dxa"/>
            <w:tcBorders>
              <w:top w:val="nil"/>
              <w:left w:val="nil"/>
              <w:bottom w:val="nil"/>
              <w:right w:val="nil"/>
            </w:tcBorders>
            <w:noWrap/>
          </w:tcPr>
          <w:p w14:paraId="5ECBB47A"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47D7A494" w14:textId="77777777" w:rsidR="00D25FA1" w:rsidRPr="005048F2" w:rsidRDefault="00D25FA1" w:rsidP="00973C4E">
            <w:pPr>
              <w:autoSpaceDE w:val="0"/>
              <w:autoSpaceDN w:val="0"/>
              <w:adjustRightInd w:val="0"/>
              <w:spacing w:line="240" w:lineRule="auto"/>
              <w:ind w:firstLine="0"/>
              <w:jc w:val="right"/>
              <w:rPr>
                <w:color w:val="000000"/>
              </w:rPr>
            </w:pPr>
          </w:p>
        </w:tc>
        <w:tc>
          <w:tcPr>
            <w:tcW w:w="900" w:type="dxa"/>
            <w:tcBorders>
              <w:top w:val="nil"/>
              <w:left w:val="nil"/>
              <w:bottom w:val="nil"/>
              <w:right w:val="nil"/>
            </w:tcBorders>
            <w:noWrap/>
          </w:tcPr>
          <w:p w14:paraId="36D1B010" w14:textId="77777777" w:rsidR="00D25FA1" w:rsidRPr="005048F2" w:rsidRDefault="00D25FA1" w:rsidP="00973C4E">
            <w:pPr>
              <w:autoSpaceDE w:val="0"/>
              <w:autoSpaceDN w:val="0"/>
              <w:adjustRightInd w:val="0"/>
              <w:spacing w:line="240" w:lineRule="auto"/>
              <w:ind w:firstLine="0"/>
              <w:jc w:val="right"/>
              <w:rPr>
                <w:color w:val="000000"/>
              </w:rPr>
            </w:pPr>
          </w:p>
        </w:tc>
      </w:tr>
      <w:tr w:rsidR="00D25FA1" w:rsidRPr="005048F2" w14:paraId="0B2C4505" w14:textId="77777777" w:rsidTr="00A87996">
        <w:trPr>
          <w:trHeight w:val="288"/>
        </w:trPr>
        <w:tc>
          <w:tcPr>
            <w:tcW w:w="600" w:type="dxa"/>
            <w:tcBorders>
              <w:top w:val="nil"/>
              <w:left w:val="nil"/>
              <w:bottom w:val="nil"/>
              <w:right w:val="nil"/>
            </w:tcBorders>
            <w:noWrap/>
          </w:tcPr>
          <w:p w14:paraId="590514B9"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32F8E4FC"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44 and below</w:t>
            </w:r>
          </w:p>
        </w:tc>
        <w:tc>
          <w:tcPr>
            <w:tcW w:w="900" w:type="dxa"/>
            <w:tcBorders>
              <w:top w:val="nil"/>
              <w:left w:val="nil"/>
              <w:bottom w:val="nil"/>
              <w:right w:val="nil"/>
            </w:tcBorders>
            <w:noWrap/>
          </w:tcPr>
          <w:p w14:paraId="117560FB" w14:textId="77777777" w:rsidR="00D25FA1" w:rsidRPr="005048F2" w:rsidRDefault="007F516C" w:rsidP="00A87996">
            <w:pPr>
              <w:autoSpaceDE w:val="0"/>
              <w:autoSpaceDN w:val="0"/>
              <w:adjustRightInd w:val="0"/>
              <w:spacing w:line="240" w:lineRule="auto"/>
              <w:ind w:firstLine="0"/>
              <w:jc w:val="right"/>
              <w:rPr>
                <w:color w:val="000000"/>
                <w:vertAlign w:val="subscript"/>
              </w:rPr>
            </w:pPr>
            <w:r>
              <w:rPr>
                <w:color w:val="000000"/>
              </w:rPr>
              <w:t>16.6</w:t>
            </w:r>
            <w:r w:rsidR="00D25FA1" w:rsidRPr="005048F2">
              <w:rPr>
                <w:color w:val="000000"/>
              </w:rPr>
              <w:t>%</w:t>
            </w:r>
          </w:p>
        </w:tc>
        <w:tc>
          <w:tcPr>
            <w:tcW w:w="810" w:type="dxa"/>
            <w:tcBorders>
              <w:top w:val="nil"/>
              <w:left w:val="nil"/>
              <w:bottom w:val="nil"/>
              <w:right w:val="nil"/>
            </w:tcBorders>
            <w:noWrap/>
          </w:tcPr>
          <w:p w14:paraId="5F1630F5" w14:textId="77777777" w:rsidR="00D25FA1" w:rsidRPr="005048F2" w:rsidRDefault="007F516C" w:rsidP="00A87996">
            <w:pPr>
              <w:autoSpaceDE w:val="0"/>
              <w:autoSpaceDN w:val="0"/>
              <w:adjustRightInd w:val="0"/>
              <w:spacing w:line="240" w:lineRule="auto"/>
              <w:ind w:firstLine="0"/>
              <w:jc w:val="right"/>
              <w:rPr>
                <w:color w:val="000000"/>
              </w:rPr>
            </w:pPr>
            <w:r>
              <w:rPr>
                <w:color w:val="000000"/>
              </w:rPr>
              <w:t>562</w:t>
            </w:r>
            <w:r w:rsidR="007F776F" w:rsidRPr="005048F2">
              <w:rPr>
                <w:color w:val="000000"/>
                <w:vertAlign w:val="subscript"/>
              </w:rPr>
              <w:t>a</w:t>
            </w:r>
          </w:p>
        </w:tc>
        <w:tc>
          <w:tcPr>
            <w:tcW w:w="630" w:type="dxa"/>
            <w:tcBorders>
              <w:top w:val="nil"/>
              <w:left w:val="nil"/>
              <w:bottom w:val="nil"/>
              <w:right w:val="nil"/>
            </w:tcBorders>
            <w:noWrap/>
          </w:tcPr>
          <w:p w14:paraId="7161148C"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345E2E21"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11.4</w:t>
            </w:r>
            <w:r w:rsidR="00D25FA1" w:rsidRPr="005048F2">
              <w:rPr>
                <w:color w:val="000000"/>
              </w:rPr>
              <w:t>%</w:t>
            </w:r>
          </w:p>
        </w:tc>
        <w:tc>
          <w:tcPr>
            <w:tcW w:w="900" w:type="dxa"/>
            <w:tcBorders>
              <w:top w:val="nil"/>
              <w:left w:val="nil"/>
              <w:bottom w:val="nil"/>
              <w:right w:val="nil"/>
            </w:tcBorders>
            <w:noWrap/>
          </w:tcPr>
          <w:p w14:paraId="1C1C77CA" w14:textId="77777777" w:rsidR="00D25FA1" w:rsidRPr="005048F2" w:rsidRDefault="007F776F" w:rsidP="007F516C">
            <w:pPr>
              <w:autoSpaceDE w:val="0"/>
              <w:autoSpaceDN w:val="0"/>
              <w:adjustRightInd w:val="0"/>
              <w:spacing w:line="240" w:lineRule="auto"/>
              <w:ind w:firstLine="0"/>
              <w:jc w:val="right"/>
              <w:rPr>
                <w:color w:val="000000"/>
              </w:rPr>
            </w:pPr>
            <w:r w:rsidRPr="005048F2">
              <w:rPr>
                <w:color w:val="000000"/>
              </w:rPr>
              <w:t>2</w:t>
            </w:r>
            <w:r w:rsidR="007F516C">
              <w:rPr>
                <w:color w:val="000000"/>
              </w:rPr>
              <w:t>67</w:t>
            </w:r>
            <w:r w:rsidRPr="005048F2">
              <w:rPr>
                <w:color w:val="000000"/>
                <w:vertAlign w:val="subscript"/>
              </w:rPr>
              <w:t>b</w:t>
            </w:r>
          </w:p>
        </w:tc>
      </w:tr>
      <w:tr w:rsidR="00D25FA1" w:rsidRPr="005048F2" w14:paraId="2574FB61" w14:textId="77777777" w:rsidTr="00A87996">
        <w:trPr>
          <w:trHeight w:val="305"/>
        </w:trPr>
        <w:tc>
          <w:tcPr>
            <w:tcW w:w="600" w:type="dxa"/>
            <w:tcBorders>
              <w:top w:val="nil"/>
              <w:left w:val="nil"/>
              <w:bottom w:val="nil"/>
              <w:right w:val="nil"/>
            </w:tcBorders>
            <w:noWrap/>
          </w:tcPr>
          <w:p w14:paraId="3C6092FB"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5FF36992"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45-54</w:t>
            </w:r>
          </w:p>
        </w:tc>
        <w:tc>
          <w:tcPr>
            <w:tcW w:w="900" w:type="dxa"/>
            <w:tcBorders>
              <w:top w:val="nil"/>
              <w:left w:val="nil"/>
              <w:bottom w:val="nil"/>
              <w:right w:val="nil"/>
            </w:tcBorders>
            <w:noWrap/>
          </w:tcPr>
          <w:p w14:paraId="1825DD55"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26.9</w:t>
            </w:r>
            <w:r w:rsidR="00D25FA1" w:rsidRPr="005048F2">
              <w:rPr>
                <w:color w:val="000000"/>
              </w:rPr>
              <w:t>%</w:t>
            </w:r>
          </w:p>
        </w:tc>
        <w:tc>
          <w:tcPr>
            <w:tcW w:w="810" w:type="dxa"/>
            <w:tcBorders>
              <w:top w:val="nil"/>
              <w:left w:val="nil"/>
              <w:bottom w:val="nil"/>
              <w:right w:val="nil"/>
            </w:tcBorders>
            <w:noWrap/>
          </w:tcPr>
          <w:p w14:paraId="7FA8D0CE"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909</w:t>
            </w:r>
            <w:r w:rsidR="007F776F" w:rsidRPr="005048F2">
              <w:rPr>
                <w:color w:val="000000"/>
                <w:vertAlign w:val="subscript"/>
              </w:rPr>
              <w:t>a</w:t>
            </w:r>
          </w:p>
        </w:tc>
        <w:tc>
          <w:tcPr>
            <w:tcW w:w="630" w:type="dxa"/>
            <w:tcBorders>
              <w:top w:val="nil"/>
              <w:left w:val="nil"/>
              <w:bottom w:val="nil"/>
              <w:right w:val="nil"/>
            </w:tcBorders>
            <w:noWrap/>
          </w:tcPr>
          <w:p w14:paraId="0A5F6141"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0822BC2E"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21.3</w:t>
            </w:r>
            <w:r w:rsidR="00D25FA1" w:rsidRPr="005048F2">
              <w:rPr>
                <w:color w:val="000000"/>
              </w:rPr>
              <w:t>%</w:t>
            </w:r>
          </w:p>
        </w:tc>
        <w:tc>
          <w:tcPr>
            <w:tcW w:w="900" w:type="dxa"/>
            <w:tcBorders>
              <w:top w:val="nil"/>
              <w:left w:val="nil"/>
              <w:bottom w:val="nil"/>
              <w:right w:val="nil"/>
            </w:tcBorders>
            <w:noWrap/>
          </w:tcPr>
          <w:p w14:paraId="3799E1B7"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499</w:t>
            </w:r>
            <w:r w:rsidR="007F776F" w:rsidRPr="005048F2">
              <w:rPr>
                <w:color w:val="000000"/>
                <w:vertAlign w:val="subscript"/>
              </w:rPr>
              <w:t>b</w:t>
            </w:r>
          </w:p>
        </w:tc>
      </w:tr>
      <w:tr w:rsidR="00D25FA1" w:rsidRPr="005048F2" w14:paraId="3679E46E" w14:textId="77777777" w:rsidTr="00A87996">
        <w:trPr>
          <w:trHeight w:val="305"/>
        </w:trPr>
        <w:tc>
          <w:tcPr>
            <w:tcW w:w="600" w:type="dxa"/>
            <w:tcBorders>
              <w:top w:val="nil"/>
              <w:left w:val="nil"/>
              <w:bottom w:val="nil"/>
              <w:right w:val="nil"/>
            </w:tcBorders>
            <w:noWrap/>
          </w:tcPr>
          <w:p w14:paraId="13DC802C"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0D2DD9DA"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55-64</w:t>
            </w:r>
          </w:p>
        </w:tc>
        <w:tc>
          <w:tcPr>
            <w:tcW w:w="900" w:type="dxa"/>
            <w:tcBorders>
              <w:top w:val="nil"/>
              <w:left w:val="nil"/>
              <w:bottom w:val="nil"/>
              <w:right w:val="nil"/>
            </w:tcBorders>
            <w:noWrap/>
          </w:tcPr>
          <w:p w14:paraId="330B26B6"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27.6</w:t>
            </w:r>
            <w:r w:rsidR="00D25FA1" w:rsidRPr="005048F2">
              <w:rPr>
                <w:color w:val="000000"/>
              </w:rPr>
              <w:t>%</w:t>
            </w:r>
          </w:p>
        </w:tc>
        <w:tc>
          <w:tcPr>
            <w:tcW w:w="810" w:type="dxa"/>
            <w:tcBorders>
              <w:top w:val="nil"/>
              <w:left w:val="nil"/>
              <w:bottom w:val="nil"/>
              <w:right w:val="nil"/>
            </w:tcBorders>
            <w:noWrap/>
          </w:tcPr>
          <w:p w14:paraId="4DD8D587" w14:textId="77777777" w:rsidR="00D25FA1" w:rsidRPr="005048F2" w:rsidRDefault="007F516C" w:rsidP="007F516C">
            <w:pPr>
              <w:autoSpaceDE w:val="0"/>
              <w:autoSpaceDN w:val="0"/>
              <w:adjustRightInd w:val="0"/>
              <w:spacing w:line="240" w:lineRule="auto"/>
              <w:ind w:firstLine="0"/>
              <w:jc w:val="right"/>
              <w:rPr>
                <w:color w:val="000000"/>
              </w:rPr>
            </w:pPr>
            <w:r>
              <w:rPr>
                <w:color w:val="000000"/>
              </w:rPr>
              <w:t>934</w:t>
            </w:r>
            <w:r w:rsidR="007F776F" w:rsidRPr="005048F2">
              <w:rPr>
                <w:color w:val="000000"/>
                <w:vertAlign w:val="subscript"/>
              </w:rPr>
              <w:t>a</w:t>
            </w:r>
          </w:p>
        </w:tc>
        <w:tc>
          <w:tcPr>
            <w:tcW w:w="630" w:type="dxa"/>
            <w:tcBorders>
              <w:top w:val="nil"/>
              <w:left w:val="nil"/>
              <w:bottom w:val="nil"/>
              <w:right w:val="nil"/>
            </w:tcBorders>
            <w:noWrap/>
          </w:tcPr>
          <w:p w14:paraId="12848BD7"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01F56AE3"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27.1</w:t>
            </w:r>
            <w:r w:rsidR="00D25FA1" w:rsidRPr="005048F2">
              <w:rPr>
                <w:color w:val="000000"/>
              </w:rPr>
              <w:t>%</w:t>
            </w:r>
          </w:p>
        </w:tc>
        <w:tc>
          <w:tcPr>
            <w:tcW w:w="900" w:type="dxa"/>
            <w:tcBorders>
              <w:top w:val="nil"/>
              <w:left w:val="nil"/>
              <w:bottom w:val="nil"/>
              <w:right w:val="nil"/>
            </w:tcBorders>
            <w:noWrap/>
          </w:tcPr>
          <w:p w14:paraId="3F122749"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634</w:t>
            </w:r>
            <w:r w:rsidR="007F776F" w:rsidRPr="005048F2">
              <w:rPr>
                <w:color w:val="000000"/>
                <w:vertAlign w:val="subscript"/>
              </w:rPr>
              <w:t>a</w:t>
            </w:r>
          </w:p>
        </w:tc>
      </w:tr>
      <w:tr w:rsidR="00D25FA1" w:rsidRPr="005048F2" w14:paraId="1B55BA2F" w14:textId="77777777" w:rsidTr="00A87996">
        <w:trPr>
          <w:trHeight w:val="305"/>
        </w:trPr>
        <w:tc>
          <w:tcPr>
            <w:tcW w:w="600" w:type="dxa"/>
            <w:tcBorders>
              <w:top w:val="nil"/>
              <w:left w:val="nil"/>
              <w:bottom w:val="nil"/>
              <w:right w:val="nil"/>
            </w:tcBorders>
            <w:noWrap/>
          </w:tcPr>
          <w:p w14:paraId="7D3D1052"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2AA81B1E"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65-75</w:t>
            </w:r>
          </w:p>
        </w:tc>
        <w:tc>
          <w:tcPr>
            <w:tcW w:w="900" w:type="dxa"/>
            <w:tcBorders>
              <w:top w:val="nil"/>
              <w:left w:val="nil"/>
              <w:bottom w:val="nil"/>
              <w:right w:val="nil"/>
            </w:tcBorders>
            <w:noWrap/>
          </w:tcPr>
          <w:p w14:paraId="0E251529"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18.8</w:t>
            </w:r>
            <w:r w:rsidR="00D25FA1" w:rsidRPr="005048F2">
              <w:rPr>
                <w:color w:val="000000"/>
              </w:rPr>
              <w:t>%</w:t>
            </w:r>
          </w:p>
        </w:tc>
        <w:tc>
          <w:tcPr>
            <w:tcW w:w="810" w:type="dxa"/>
            <w:tcBorders>
              <w:top w:val="nil"/>
              <w:left w:val="nil"/>
              <w:bottom w:val="nil"/>
              <w:right w:val="nil"/>
            </w:tcBorders>
            <w:noWrap/>
          </w:tcPr>
          <w:p w14:paraId="3FA96F68"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637</w:t>
            </w:r>
            <w:r w:rsidR="007F776F" w:rsidRPr="005048F2">
              <w:rPr>
                <w:color w:val="000000"/>
                <w:vertAlign w:val="subscript"/>
              </w:rPr>
              <w:t>a</w:t>
            </w:r>
          </w:p>
        </w:tc>
        <w:tc>
          <w:tcPr>
            <w:tcW w:w="630" w:type="dxa"/>
            <w:tcBorders>
              <w:top w:val="nil"/>
              <w:left w:val="nil"/>
              <w:bottom w:val="nil"/>
              <w:right w:val="nil"/>
            </w:tcBorders>
            <w:noWrap/>
          </w:tcPr>
          <w:p w14:paraId="6223B462"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0ECBF802"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22.8</w:t>
            </w:r>
            <w:r w:rsidR="00D25FA1" w:rsidRPr="005048F2">
              <w:rPr>
                <w:color w:val="000000"/>
              </w:rPr>
              <w:t>%</w:t>
            </w:r>
          </w:p>
        </w:tc>
        <w:tc>
          <w:tcPr>
            <w:tcW w:w="900" w:type="dxa"/>
            <w:tcBorders>
              <w:top w:val="nil"/>
              <w:left w:val="nil"/>
              <w:bottom w:val="nil"/>
              <w:right w:val="nil"/>
            </w:tcBorders>
            <w:noWrap/>
          </w:tcPr>
          <w:p w14:paraId="41F6277D"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532</w:t>
            </w:r>
            <w:r w:rsidR="007F776F" w:rsidRPr="005048F2">
              <w:rPr>
                <w:color w:val="000000"/>
                <w:vertAlign w:val="subscript"/>
              </w:rPr>
              <w:t>b</w:t>
            </w:r>
          </w:p>
        </w:tc>
      </w:tr>
      <w:tr w:rsidR="00D25FA1" w:rsidRPr="005048F2" w14:paraId="5BC3334F" w14:textId="77777777" w:rsidTr="00A87996">
        <w:trPr>
          <w:trHeight w:val="305"/>
        </w:trPr>
        <w:tc>
          <w:tcPr>
            <w:tcW w:w="600" w:type="dxa"/>
            <w:tcBorders>
              <w:top w:val="nil"/>
              <w:left w:val="nil"/>
              <w:bottom w:val="nil"/>
              <w:right w:val="nil"/>
            </w:tcBorders>
            <w:noWrap/>
          </w:tcPr>
          <w:p w14:paraId="42D45366"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66903DFA"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75-84</w:t>
            </w:r>
          </w:p>
        </w:tc>
        <w:tc>
          <w:tcPr>
            <w:tcW w:w="900" w:type="dxa"/>
            <w:tcBorders>
              <w:top w:val="nil"/>
              <w:left w:val="nil"/>
              <w:bottom w:val="nil"/>
              <w:right w:val="nil"/>
            </w:tcBorders>
            <w:noWrap/>
          </w:tcPr>
          <w:p w14:paraId="46A69C6D"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9.1</w:t>
            </w:r>
            <w:r w:rsidR="00D25FA1" w:rsidRPr="005048F2">
              <w:rPr>
                <w:color w:val="000000"/>
              </w:rPr>
              <w:t>%</w:t>
            </w:r>
          </w:p>
        </w:tc>
        <w:tc>
          <w:tcPr>
            <w:tcW w:w="810" w:type="dxa"/>
            <w:tcBorders>
              <w:top w:val="nil"/>
              <w:left w:val="nil"/>
              <w:bottom w:val="nil"/>
              <w:right w:val="nil"/>
            </w:tcBorders>
            <w:noWrap/>
          </w:tcPr>
          <w:p w14:paraId="00CBDE10"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309</w:t>
            </w:r>
            <w:r w:rsidR="007F776F" w:rsidRPr="005048F2">
              <w:rPr>
                <w:color w:val="000000"/>
                <w:vertAlign w:val="subscript"/>
              </w:rPr>
              <w:t>a</w:t>
            </w:r>
          </w:p>
        </w:tc>
        <w:tc>
          <w:tcPr>
            <w:tcW w:w="630" w:type="dxa"/>
            <w:tcBorders>
              <w:top w:val="nil"/>
              <w:left w:val="nil"/>
              <w:bottom w:val="nil"/>
              <w:right w:val="nil"/>
            </w:tcBorders>
            <w:noWrap/>
          </w:tcPr>
          <w:p w14:paraId="2812C4D6"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731601FC" w14:textId="77777777" w:rsidR="00D25FA1" w:rsidRPr="005048F2" w:rsidRDefault="007F776F" w:rsidP="007F516C">
            <w:pPr>
              <w:autoSpaceDE w:val="0"/>
              <w:autoSpaceDN w:val="0"/>
              <w:adjustRightInd w:val="0"/>
              <w:spacing w:line="240" w:lineRule="auto"/>
              <w:ind w:firstLine="0"/>
              <w:jc w:val="right"/>
              <w:rPr>
                <w:color w:val="000000"/>
              </w:rPr>
            </w:pPr>
            <w:r>
              <w:rPr>
                <w:color w:val="000000"/>
              </w:rPr>
              <w:t>14.</w:t>
            </w:r>
            <w:r w:rsidR="007F516C">
              <w:rPr>
                <w:color w:val="000000"/>
              </w:rPr>
              <w:t>2</w:t>
            </w:r>
            <w:r w:rsidR="00D25FA1" w:rsidRPr="005048F2">
              <w:rPr>
                <w:color w:val="000000"/>
              </w:rPr>
              <w:t>%</w:t>
            </w:r>
          </w:p>
        </w:tc>
        <w:tc>
          <w:tcPr>
            <w:tcW w:w="900" w:type="dxa"/>
            <w:tcBorders>
              <w:top w:val="nil"/>
              <w:left w:val="nil"/>
              <w:bottom w:val="nil"/>
              <w:right w:val="nil"/>
            </w:tcBorders>
            <w:noWrap/>
          </w:tcPr>
          <w:p w14:paraId="2E570763"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331</w:t>
            </w:r>
            <w:r w:rsidR="007F776F" w:rsidRPr="005048F2">
              <w:rPr>
                <w:color w:val="000000"/>
                <w:vertAlign w:val="subscript"/>
              </w:rPr>
              <w:t>b</w:t>
            </w:r>
          </w:p>
        </w:tc>
      </w:tr>
      <w:tr w:rsidR="00D25FA1" w:rsidRPr="005048F2" w14:paraId="40111C66" w14:textId="77777777" w:rsidTr="00A87996">
        <w:trPr>
          <w:trHeight w:val="305"/>
        </w:trPr>
        <w:tc>
          <w:tcPr>
            <w:tcW w:w="600" w:type="dxa"/>
            <w:tcBorders>
              <w:top w:val="nil"/>
              <w:left w:val="nil"/>
              <w:bottom w:val="nil"/>
              <w:right w:val="nil"/>
            </w:tcBorders>
            <w:noWrap/>
          </w:tcPr>
          <w:p w14:paraId="6A944F70"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56B8718C"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85 and above</w:t>
            </w:r>
          </w:p>
        </w:tc>
        <w:tc>
          <w:tcPr>
            <w:tcW w:w="900" w:type="dxa"/>
            <w:tcBorders>
              <w:top w:val="nil"/>
              <w:left w:val="nil"/>
              <w:bottom w:val="nil"/>
              <w:right w:val="nil"/>
            </w:tcBorders>
            <w:noWrap/>
          </w:tcPr>
          <w:p w14:paraId="7CE8FD58"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0.9</w:t>
            </w:r>
            <w:r w:rsidR="00D25FA1" w:rsidRPr="005048F2">
              <w:rPr>
                <w:color w:val="000000"/>
              </w:rPr>
              <w:t>%</w:t>
            </w:r>
          </w:p>
        </w:tc>
        <w:tc>
          <w:tcPr>
            <w:tcW w:w="810" w:type="dxa"/>
            <w:tcBorders>
              <w:top w:val="nil"/>
              <w:left w:val="nil"/>
              <w:bottom w:val="nil"/>
              <w:right w:val="nil"/>
            </w:tcBorders>
            <w:noWrap/>
          </w:tcPr>
          <w:p w14:paraId="114C11FB"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31</w:t>
            </w:r>
            <w:r w:rsidR="007F776F" w:rsidRPr="005048F2">
              <w:rPr>
                <w:color w:val="000000"/>
                <w:vertAlign w:val="subscript"/>
              </w:rPr>
              <w:t>a</w:t>
            </w:r>
          </w:p>
        </w:tc>
        <w:tc>
          <w:tcPr>
            <w:tcW w:w="630" w:type="dxa"/>
            <w:tcBorders>
              <w:top w:val="nil"/>
              <w:left w:val="nil"/>
              <w:bottom w:val="nil"/>
              <w:right w:val="nil"/>
            </w:tcBorders>
            <w:noWrap/>
          </w:tcPr>
          <w:p w14:paraId="2E5A8B26"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6298F6C9"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3.2</w:t>
            </w:r>
            <w:r w:rsidR="00D25FA1" w:rsidRPr="005048F2">
              <w:rPr>
                <w:color w:val="000000"/>
              </w:rPr>
              <w:t>%</w:t>
            </w:r>
          </w:p>
        </w:tc>
        <w:tc>
          <w:tcPr>
            <w:tcW w:w="900" w:type="dxa"/>
            <w:tcBorders>
              <w:top w:val="nil"/>
              <w:left w:val="nil"/>
              <w:bottom w:val="nil"/>
              <w:right w:val="nil"/>
            </w:tcBorders>
            <w:noWrap/>
          </w:tcPr>
          <w:p w14:paraId="21406FE3"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75</w:t>
            </w:r>
            <w:r w:rsidR="007F776F" w:rsidRPr="005048F2">
              <w:rPr>
                <w:color w:val="000000"/>
                <w:vertAlign w:val="subscript"/>
              </w:rPr>
              <w:t>b</w:t>
            </w:r>
          </w:p>
        </w:tc>
      </w:tr>
      <w:tr w:rsidR="00D25FA1" w:rsidRPr="005048F2" w14:paraId="5108D433" w14:textId="77777777" w:rsidTr="00A87996">
        <w:trPr>
          <w:trHeight w:val="305"/>
        </w:trPr>
        <w:tc>
          <w:tcPr>
            <w:tcW w:w="3809" w:type="dxa"/>
            <w:gridSpan w:val="2"/>
            <w:tcBorders>
              <w:top w:val="nil"/>
              <w:left w:val="nil"/>
              <w:bottom w:val="nil"/>
              <w:right w:val="nil"/>
            </w:tcBorders>
            <w:noWrap/>
          </w:tcPr>
          <w:p w14:paraId="6B7B5316"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Length of Relationship</w:t>
            </w:r>
          </w:p>
        </w:tc>
        <w:tc>
          <w:tcPr>
            <w:tcW w:w="900" w:type="dxa"/>
            <w:tcBorders>
              <w:top w:val="nil"/>
              <w:left w:val="nil"/>
              <w:bottom w:val="nil"/>
              <w:right w:val="nil"/>
            </w:tcBorders>
            <w:noWrap/>
          </w:tcPr>
          <w:p w14:paraId="752F719E" w14:textId="77777777" w:rsidR="00D25FA1" w:rsidRPr="005048F2" w:rsidRDefault="00D25FA1" w:rsidP="00973C4E">
            <w:pPr>
              <w:autoSpaceDE w:val="0"/>
              <w:autoSpaceDN w:val="0"/>
              <w:adjustRightInd w:val="0"/>
              <w:spacing w:line="240" w:lineRule="auto"/>
              <w:ind w:firstLine="0"/>
              <w:jc w:val="right"/>
              <w:rPr>
                <w:color w:val="000000"/>
              </w:rPr>
            </w:pPr>
          </w:p>
        </w:tc>
        <w:tc>
          <w:tcPr>
            <w:tcW w:w="810" w:type="dxa"/>
            <w:tcBorders>
              <w:top w:val="nil"/>
              <w:left w:val="nil"/>
              <w:bottom w:val="nil"/>
              <w:right w:val="nil"/>
            </w:tcBorders>
            <w:noWrap/>
          </w:tcPr>
          <w:p w14:paraId="3826B9B4" w14:textId="77777777" w:rsidR="00D25FA1" w:rsidRPr="005048F2" w:rsidRDefault="00D25FA1" w:rsidP="00973C4E">
            <w:pPr>
              <w:autoSpaceDE w:val="0"/>
              <w:autoSpaceDN w:val="0"/>
              <w:adjustRightInd w:val="0"/>
              <w:spacing w:line="240" w:lineRule="auto"/>
              <w:ind w:firstLine="0"/>
              <w:jc w:val="right"/>
              <w:rPr>
                <w:color w:val="000000"/>
              </w:rPr>
            </w:pPr>
          </w:p>
        </w:tc>
        <w:tc>
          <w:tcPr>
            <w:tcW w:w="630" w:type="dxa"/>
            <w:tcBorders>
              <w:top w:val="nil"/>
              <w:left w:val="nil"/>
              <w:bottom w:val="nil"/>
              <w:right w:val="nil"/>
            </w:tcBorders>
            <w:noWrap/>
          </w:tcPr>
          <w:p w14:paraId="40AEF93F"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139CAAF9" w14:textId="77777777" w:rsidR="00D25FA1" w:rsidRPr="005048F2" w:rsidRDefault="00D25FA1" w:rsidP="00973C4E">
            <w:pPr>
              <w:autoSpaceDE w:val="0"/>
              <w:autoSpaceDN w:val="0"/>
              <w:adjustRightInd w:val="0"/>
              <w:spacing w:line="240" w:lineRule="auto"/>
              <w:ind w:firstLine="0"/>
              <w:jc w:val="right"/>
              <w:rPr>
                <w:color w:val="000000"/>
              </w:rPr>
            </w:pPr>
          </w:p>
        </w:tc>
        <w:tc>
          <w:tcPr>
            <w:tcW w:w="900" w:type="dxa"/>
            <w:tcBorders>
              <w:top w:val="nil"/>
              <w:left w:val="nil"/>
              <w:bottom w:val="nil"/>
              <w:right w:val="nil"/>
            </w:tcBorders>
            <w:noWrap/>
          </w:tcPr>
          <w:p w14:paraId="7C57D810" w14:textId="77777777" w:rsidR="00D25FA1" w:rsidRPr="005048F2" w:rsidRDefault="00D25FA1" w:rsidP="00973C4E">
            <w:pPr>
              <w:autoSpaceDE w:val="0"/>
              <w:autoSpaceDN w:val="0"/>
              <w:adjustRightInd w:val="0"/>
              <w:spacing w:line="240" w:lineRule="auto"/>
              <w:ind w:firstLine="0"/>
              <w:jc w:val="right"/>
              <w:rPr>
                <w:color w:val="000000"/>
              </w:rPr>
            </w:pPr>
          </w:p>
        </w:tc>
      </w:tr>
      <w:tr w:rsidR="00D25FA1" w:rsidRPr="005048F2" w14:paraId="13CC2D6D" w14:textId="77777777" w:rsidTr="00A87996">
        <w:trPr>
          <w:trHeight w:val="305"/>
        </w:trPr>
        <w:tc>
          <w:tcPr>
            <w:tcW w:w="600" w:type="dxa"/>
            <w:tcBorders>
              <w:top w:val="nil"/>
              <w:left w:val="nil"/>
              <w:bottom w:val="nil"/>
              <w:right w:val="nil"/>
            </w:tcBorders>
            <w:noWrap/>
          </w:tcPr>
          <w:p w14:paraId="5AC18211"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4CA7A256"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married 10 years or less</w:t>
            </w:r>
          </w:p>
        </w:tc>
        <w:tc>
          <w:tcPr>
            <w:tcW w:w="900" w:type="dxa"/>
            <w:tcBorders>
              <w:top w:val="nil"/>
              <w:left w:val="nil"/>
              <w:bottom w:val="nil"/>
              <w:right w:val="nil"/>
            </w:tcBorders>
            <w:noWrap/>
          </w:tcPr>
          <w:p w14:paraId="560BA71D"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13.8</w:t>
            </w:r>
            <w:r w:rsidR="00D25FA1" w:rsidRPr="005048F2">
              <w:rPr>
                <w:color w:val="000000"/>
              </w:rPr>
              <w:t>%</w:t>
            </w:r>
          </w:p>
        </w:tc>
        <w:tc>
          <w:tcPr>
            <w:tcW w:w="810" w:type="dxa"/>
            <w:tcBorders>
              <w:top w:val="nil"/>
              <w:left w:val="nil"/>
              <w:bottom w:val="nil"/>
              <w:right w:val="nil"/>
            </w:tcBorders>
            <w:noWrap/>
          </w:tcPr>
          <w:p w14:paraId="1816F6A1" w14:textId="77777777" w:rsidR="00D25FA1" w:rsidRPr="005048F2" w:rsidRDefault="007F776F" w:rsidP="007F516C">
            <w:pPr>
              <w:autoSpaceDE w:val="0"/>
              <w:autoSpaceDN w:val="0"/>
              <w:adjustRightInd w:val="0"/>
              <w:spacing w:line="240" w:lineRule="auto"/>
              <w:ind w:firstLine="0"/>
              <w:jc w:val="right"/>
              <w:rPr>
                <w:color w:val="000000"/>
              </w:rPr>
            </w:pPr>
            <w:r>
              <w:rPr>
                <w:color w:val="000000"/>
              </w:rPr>
              <w:t>4</w:t>
            </w:r>
            <w:r w:rsidR="007F516C">
              <w:rPr>
                <w:color w:val="000000"/>
              </w:rPr>
              <w:t>67</w:t>
            </w:r>
            <w:r w:rsidRPr="005048F2">
              <w:rPr>
                <w:color w:val="000000"/>
                <w:vertAlign w:val="subscript"/>
              </w:rPr>
              <w:t>a</w:t>
            </w:r>
          </w:p>
        </w:tc>
        <w:tc>
          <w:tcPr>
            <w:tcW w:w="630" w:type="dxa"/>
            <w:tcBorders>
              <w:top w:val="nil"/>
              <w:left w:val="nil"/>
              <w:bottom w:val="nil"/>
              <w:right w:val="nil"/>
            </w:tcBorders>
            <w:noWrap/>
          </w:tcPr>
          <w:p w14:paraId="440031F7"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5689A267" w14:textId="77777777" w:rsidR="00D25FA1" w:rsidRPr="005048F2" w:rsidRDefault="007F776F" w:rsidP="007F516C">
            <w:pPr>
              <w:autoSpaceDE w:val="0"/>
              <w:autoSpaceDN w:val="0"/>
              <w:adjustRightInd w:val="0"/>
              <w:spacing w:line="240" w:lineRule="auto"/>
              <w:ind w:firstLine="0"/>
              <w:jc w:val="right"/>
              <w:rPr>
                <w:color w:val="000000"/>
              </w:rPr>
            </w:pPr>
            <w:r>
              <w:rPr>
                <w:color w:val="000000"/>
              </w:rPr>
              <w:t>14.</w:t>
            </w:r>
            <w:r w:rsidR="007F516C">
              <w:rPr>
                <w:color w:val="000000"/>
              </w:rPr>
              <w:t>2</w:t>
            </w:r>
            <w:r w:rsidR="00D25FA1" w:rsidRPr="005048F2">
              <w:rPr>
                <w:color w:val="000000"/>
              </w:rPr>
              <w:t>%</w:t>
            </w:r>
          </w:p>
        </w:tc>
        <w:tc>
          <w:tcPr>
            <w:tcW w:w="900" w:type="dxa"/>
            <w:tcBorders>
              <w:top w:val="nil"/>
              <w:left w:val="nil"/>
              <w:bottom w:val="nil"/>
              <w:right w:val="nil"/>
            </w:tcBorders>
            <w:noWrap/>
          </w:tcPr>
          <w:p w14:paraId="792822CE"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332</w:t>
            </w:r>
            <w:r w:rsidR="00973C4E" w:rsidRPr="005048F2">
              <w:rPr>
                <w:color w:val="000000"/>
                <w:vertAlign w:val="subscript"/>
              </w:rPr>
              <w:t>a</w:t>
            </w:r>
          </w:p>
        </w:tc>
      </w:tr>
      <w:tr w:rsidR="00D25FA1" w:rsidRPr="005048F2" w14:paraId="7BD5F10C" w14:textId="77777777" w:rsidTr="00A87996">
        <w:trPr>
          <w:trHeight w:val="305"/>
        </w:trPr>
        <w:tc>
          <w:tcPr>
            <w:tcW w:w="600" w:type="dxa"/>
            <w:tcBorders>
              <w:top w:val="nil"/>
              <w:left w:val="nil"/>
              <w:bottom w:val="nil"/>
              <w:right w:val="nil"/>
            </w:tcBorders>
            <w:noWrap/>
          </w:tcPr>
          <w:p w14:paraId="1AF77A5A"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231D9AAD"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married 11-20 years</w:t>
            </w:r>
          </w:p>
        </w:tc>
        <w:tc>
          <w:tcPr>
            <w:tcW w:w="900" w:type="dxa"/>
            <w:tcBorders>
              <w:top w:val="nil"/>
              <w:left w:val="nil"/>
              <w:bottom w:val="nil"/>
              <w:right w:val="nil"/>
            </w:tcBorders>
            <w:noWrap/>
          </w:tcPr>
          <w:p w14:paraId="41C3995E" w14:textId="77777777" w:rsidR="00D25FA1" w:rsidRPr="005048F2" w:rsidRDefault="007F776F" w:rsidP="007F516C">
            <w:pPr>
              <w:autoSpaceDE w:val="0"/>
              <w:autoSpaceDN w:val="0"/>
              <w:adjustRightInd w:val="0"/>
              <w:spacing w:line="240" w:lineRule="auto"/>
              <w:ind w:firstLine="0"/>
              <w:jc w:val="right"/>
              <w:rPr>
                <w:color w:val="000000"/>
              </w:rPr>
            </w:pPr>
            <w:r>
              <w:rPr>
                <w:color w:val="000000"/>
              </w:rPr>
              <w:t>20.</w:t>
            </w:r>
            <w:r w:rsidR="007F516C">
              <w:rPr>
                <w:color w:val="000000"/>
              </w:rPr>
              <w:t>8</w:t>
            </w:r>
            <w:r w:rsidR="00D25FA1" w:rsidRPr="005048F2">
              <w:rPr>
                <w:color w:val="000000"/>
              </w:rPr>
              <w:t>%</w:t>
            </w:r>
          </w:p>
        </w:tc>
        <w:tc>
          <w:tcPr>
            <w:tcW w:w="810" w:type="dxa"/>
            <w:tcBorders>
              <w:top w:val="nil"/>
              <w:left w:val="nil"/>
              <w:bottom w:val="nil"/>
              <w:right w:val="nil"/>
            </w:tcBorders>
            <w:noWrap/>
          </w:tcPr>
          <w:p w14:paraId="07DF7FAC"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704</w:t>
            </w:r>
            <w:r w:rsidR="007F776F" w:rsidRPr="005048F2">
              <w:rPr>
                <w:color w:val="000000"/>
                <w:vertAlign w:val="subscript"/>
              </w:rPr>
              <w:t>a</w:t>
            </w:r>
          </w:p>
        </w:tc>
        <w:tc>
          <w:tcPr>
            <w:tcW w:w="630" w:type="dxa"/>
            <w:tcBorders>
              <w:top w:val="nil"/>
              <w:left w:val="nil"/>
              <w:bottom w:val="nil"/>
              <w:right w:val="nil"/>
            </w:tcBorders>
            <w:noWrap/>
          </w:tcPr>
          <w:p w14:paraId="243198C4"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1DBE6249"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19.7</w:t>
            </w:r>
            <w:r w:rsidR="00D25FA1" w:rsidRPr="005048F2">
              <w:rPr>
                <w:color w:val="000000"/>
              </w:rPr>
              <w:t>%</w:t>
            </w:r>
          </w:p>
        </w:tc>
        <w:tc>
          <w:tcPr>
            <w:tcW w:w="900" w:type="dxa"/>
            <w:tcBorders>
              <w:top w:val="nil"/>
              <w:left w:val="nil"/>
              <w:bottom w:val="nil"/>
              <w:right w:val="nil"/>
            </w:tcBorders>
            <w:noWrap/>
          </w:tcPr>
          <w:p w14:paraId="2BCD3E26"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461</w:t>
            </w:r>
            <w:r w:rsidR="00973C4E" w:rsidRPr="005048F2">
              <w:rPr>
                <w:color w:val="000000"/>
                <w:vertAlign w:val="subscript"/>
              </w:rPr>
              <w:t>a</w:t>
            </w:r>
          </w:p>
        </w:tc>
      </w:tr>
      <w:tr w:rsidR="00D25FA1" w:rsidRPr="005048F2" w14:paraId="21265B4C" w14:textId="77777777" w:rsidTr="00A87996">
        <w:trPr>
          <w:trHeight w:val="305"/>
        </w:trPr>
        <w:tc>
          <w:tcPr>
            <w:tcW w:w="600" w:type="dxa"/>
            <w:tcBorders>
              <w:top w:val="nil"/>
              <w:left w:val="nil"/>
              <w:bottom w:val="nil"/>
              <w:right w:val="nil"/>
            </w:tcBorders>
            <w:noWrap/>
          </w:tcPr>
          <w:p w14:paraId="598D50DE"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1D644A10"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married 21-30 years</w:t>
            </w:r>
          </w:p>
        </w:tc>
        <w:tc>
          <w:tcPr>
            <w:tcW w:w="900" w:type="dxa"/>
            <w:tcBorders>
              <w:top w:val="nil"/>
              <w:left w:val="nil"/>
              <w:bottom w:val="nil"/>
              <w:right w:val="nil"/>
            </w:tcBorders>
            <w:noWrap/>
          </w:tcPr>
          <w:p w14:paraId="2B7A137E" w14:textId="77777777" w:rsidR="00D25FA1" w:rsidRPr="005048F2" w:rsidRDefault="007F776F" w:rsidP="007F516C">
            <w:pPr>
              <w:autoSpaceDE w:val="0"/>
              <w:autoSpaceDN w:val="0"/>
              <w:adjustRightInd w:val="0"/>
              <w:spacing w:line="240" w:lineRule="auto"/>
              <w:ind w:firstLine="0"/>
              <w:jc w:val="right"/>
              <w:rPr>
                <w:color w:val="000000"/>
              </w:rPr>
            </w:pPr>
            <w:r>
              <w:rPr>
                <w:color w:val="000000"/>
              </w:rPr>
              <w:t>2</w:t>
            </w:r>
            <w:r w:rsidR="007F516C">
              <w:rPr>
                <w:color w:val="000000"/>
              </w:rPr>
              <w:t>2</w:t>
            </w:r>
            <w:r>
              <w:rPr>
                <w:color w:val="000000"/>
              </w:rPr>
              <w:t>.3</w:t>
            </w:r>
            <w:r w:rsidR="00D25FA1" w:rsidRPr="005048F2">
              <w:rPr>
                <w:color w:val="000000"/>
              </w:rPr>
              <w:t>%</w:t>
            </w:r>
          </w:p>
        </w:tc>
        <w:tc>
          <w:tcPr>
            <w:tcW w:w="810" w:type="dxa"/>
            <w:tcBorders>
              <w:top w:val="nil"/>
              <w:left w:val="nil"/>
              <w:bottom w:val="nil"/>
              <w:right w:val="nil"/>
            </w:tcBorders>
            <w:noWrap/>
          </w:tcPr>
          <w:p w14:paraId="054A8DC9"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753</w:t>
            </w:r>
            <w:r w:rsidR="007F776F" w:rsidRPr="005048F2">
              <w:rPr>
                <w:color w:val="000000"/>
                <w:vertAlign w:val="subscript"/>
              </w:rPr>
              <w:t>a</w:t>
            </w:r>
          </w:p>
        </w:tc>
        <w:tc>
          <w:tcPr>
            <w:tcW w:w="630" w:type="dxa"/>
            <w:tcBorders>
              <w:top w:val="nil"/>
              <w:left w:val="nil"/>
              <w:bottom w:val="nil"/>
              <w:right w:val="nil"/>
            </w:tcBorders>
            <w:noWrap/>
          </w:tcPr>
          <w:p w14:paraId="182E16AA"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3B28258A" w14:textId="77777777" w:rsidR="00D25FA1" w:rsidRPr="005048F2" w:rsidRDefault="00973C4E" w:rsidP="007F516C">
            <w:pPr>
              <w:autoSpaceDE w:val="0"/>
              <w:autoSpaceDN w:val="0"/>
              <w:adjustRightInd w:val="0"/>
              <w:spacing w:line="240" w:lineRule="auto"/>
              <w:ind w:firstLine="0"/>
              <w:jc w:val="right"/>
              <w:rPr>
                <w:color w:val="000000"/>
              </w:rPr>
            </w:pPr>
            <w:r>
              <w:rPr>
                <w:color w:val="000000"/>
              </w:rPr>
              <w:t>18.</w:t>
            </w:r>
            <w:r w:rsidR="007F516C">
              <w:rPr>
                <w:color w:val="000000"/>
              </w:rPr>
              <w:t>6</w:t>
            </w:r>
            <w:r w:rsidR="00D25FA1" w:rsidRPr="005048F2">
              <w:rPr>
                <w:color w:val="000000"/>
              </w:rPr>
              <w:t>%</w:t>
            </w:r>
          </w:p>
        </w:tc>
        <w:tc>
          <w:tcPr>
            <w:tcW w:w="900" w:type="dxa"/>
            <w:tcBorders>
              <w:top w:val="nil"/>
              <w:left w:val="nil"/>
              <w:bottom w:val="nil"/>
              <w:right w:val="nil"/>
            </w:tcBorders>
            <w:noWrap/>
          </w:tcPr>
          <w:p w14:paraId="0E34F84D"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435</w:t>
            </w:r>
            <w:r w:rsidR="00973C4E">
              <w:rPr>
                <w:color w:val="000000"/>
                <w:vertAlign w:val="subscript"/>
              </w:rPr>
              <w:t>a</w:t>
            </w:r>
          </w:p>
        </w:tc>
      </w:tr>
      <w:tr w:rsidR="00D25FA1" w:rsidRPr="005048F2" w14:paraId="2D888DFB" w14:textId="77777777" w:rsidTr="00A87996">
        <w:trPr>
          <w:trHeight w:val="305"/>
        </w:trPr>
        <w:tc>
          <w:tcPr>
            <w:tcW w:w="600" w:type="dxa"/>
            <w:tcBorders>
              <w:top w:val="nil"/>
              <w:left w:val="nil"/>
              <w:bottom w:val="nil"/>
              <w:right w:val="nil"/>
            </w:tcBorders>
            <w:noWrap/>
          </w:tcPr>
          <w:p w14:paraId="5789245C"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4344CEA3"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married 31-40 years</w:t>
            </w:r>
          </w:p>
        </w:tc>
        <w:tc>
          <w:tcPr>
            <w:tcW w:w="900" w:type="dxa"/>
            <w:tcBorders>
              <w:top w:val="nil"/>
              <w:left w:val="nil"/>
              <w:bottom w:val="nil"/>
              <w:right w:val="nil"/>
            </w:tcBorders>
            <w:noWrap/>
          </w:tcPr>
          <w:p w14:paraId="41B82EAA"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19.9</w:t>
            </w:r>
            <w:r w:rsidR="00D25FA1" w:rsidRPr="005048F2">
              <w:rPr>
                <w:color w:val="000000"/>
              </w:rPr>
              <w:t>%</w:t>
            </w:r>
          </w:p>
        </w:tc>
        <w:tc>
          <w:tcPr>
            <w:tcW w:w="810" w:type="dxa"/>
            <w:tcBorders>
              <w:top w:val="nil"/>
              <w:left w:val="nil"/>
              <w:bottom w:val="nil"/>
              <w:right w:val="nil"/>
            </w:tcBorders>
            <w:noWrap/>
          </w:tcPr>
          <w:p w14:paraId="51E2F55E"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672</w:t>
            </w:r>
            <w:r w:rsidR="007F776F" w:rsidRPr="005048F2">
              <w:rPr>
                <w:color w:val="000000"/>
                <w:vertAlign w:val="subscript"/>
              </w:rPr>
              <w:t>a</w:t>
            </w:r>
          </w:p>
        </w:tc>
        <w:tc>
          <w:tcPr>
            <w:tcW w:w="630" w:type="dxa"/>
            <w:tcBorders>
              <w:top w:val="nil"/>
              <w:left w:val="nil"/>
              <w:bottom w:val="nil"/>
              <w:right w:val="nil"/>
            </w:tcBorders>
            <w:noWrap/>
          </w:tcPr>
          <w:p w14:paraId="0AEBE72D"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17105C87" w14:textId="77777777" w:rsidR="00D25FA1" w:rsidRPr="005048F2" w:rsidRDefault="00973C4E" w:rsidP="00973C4E">
            <w:pPr>
              <w:autoSpaceDE w:val="0"/>
              <w:autoSpaceDN w:val="0"/>
              <w:adjustRightInd w:val="0"/>
              <w:spacing w:line="240" w:lineRule="auto"/>
              <w:ind w:firstLine="0"/>
              <w:jc w:val="right"/>
              <w:rPr>
                <w:color w:val="000000"/>
              </w:rPr>
            </w:pPr>
            <w:r>
              <w:rPr>
                <w:color w:val="000000"/>
              </w:rPr>
              <w:t>19.3</w:t>
            </w:r>
            <w:r w:rsidR="00D25FA1" w:rsidRPr="005048F2">
              <w:rPr>
                <w:color w:val="000000"/>
              </w:rPr>
              <w:t>%</w:t>
            </w:r>
          </w:p>
        </w:tc>
        <w:tc>
          <w:tcPr>
            <w:tcW w:w="900" w:type="dxa"/>
            <w:tcBorders>
              <w:top w:val="nil"/>
              <w:left w:val="nil"/>
              <w:bottom w:val="nil"/>
              <w:right w:val="nil"/>
            </w:tcBorders>
            <w:noWrap/>
          </w:tcPr>
          <w:p w14:paraId="69BA5CD7"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452</w:t>
            </w:r>
            <w:r w:rsidR="00973C4E" w:rsidRPr="005048F2">
              <w:rPr>
                <w:color w:val="000000"/>
                <w:vertAlign w:val="subscript"/>
              </w:rPr>
              <w:t>a</w:t>
            </w:r>
          </w:p>
        </w:tc>
      </w:tr>
      <w:tr w:rsidR="00D25FA1" w:rsidRPr="005048F2" w14:paraId="2FF0425B" w14:textId="77777777" w:rsidTr="00A87996">
        <w:trPr>
          <w:trHeight w:val="305"/>
        </w:trPr>
        <w:tc>
          <w:tcPr>
            <w:tcW w:w="600" w:type="dxa"/>
            <w:tcBorders>
              <w:top w:val="nil"/>
              <w:left w:val="nil"/>
              <w:bottom w:val="nil"/>
              <w:right w:val="nil"/>
            </w:tcBorders>
            <w:noWrap/>
          </w:tcPr>
          <w:p w14:paraId="6ABBA2E8"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3B659E7C"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married 41-50 years</w:t>
            </w:r>
          </w:p>
        </w:tc>
        <w:tc>
          <w:tcPr>
            <w:tcW w:w="900" w:type="dxa"/>
            <w:tcBorders>
              <w:top w:val="nil"/>
              <w:left w:val="nil"/>
              <w:bottom w:val="nil"/>
              <w:right w:val="nil"/>
            </w:tcBorders>
            <w:noWrap/>
          </w:tcPr>
          <w:p w14:paraId="447DCCB8" w14:textId="77777777" w:rsidR="00D25FA1" w:rsidRPr="005048F2" w:rsidRDefault="007F776F" w:rsidP="007F516C">
            <w:pPr>
              <w:autoSpaceDE w:val="0"/>
              <w:autoSpaceDN w:val="0"/>
              <w:adjustRightInd w:val="0"/>
              <w:spacing w:line="240" w:lineRule="auto"/>
              <w:ind w:firstLine="0"/>
              <w:jc w:val="right"/>
              <w:rPr>
                <w:color w:val="000000"/>
              </w:rPr>
            </w:pPr>
            <w:r>
              <w:rPr>
                <w:color w:val="000000"/>
              </w:rPr>
              <w:t>12.</w:t>
            </w:r>
            <w:r w:rsidR="007F516C">
              <w:rPr>
                <w:color w:val="000000"/>
              </w:rPr>
              <w:t>4</w:t>
            </w:r>
            <w:r w:rsidR="00D25FA1" w:rsidRPr="005048F2">
              <w:rPr>
                <w:color w:val="000000"/>
              </w:rPr>
              <w:t>%</w:t>
            </w:r>
          </w:p>
        </w:tc>
        <w:tc>
          <w:tcPr>
            <w:tcW w:w="810" w:type="dxa"/>
            <w:tcBorders>
              <w:top w:val="nil"/>
              <w:left w:val="nil"/>
              <w:bottom w:val="nil"/>
              <w:right w:val="nil"/>
            </w:tcBorders>
            <w:noWrap/>
          </w:tcPr>
          <w:p w14:paraId="2923883C"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420</w:t>
            </w:r>
            <w:r w:rsidR="007F776F" w:rsidRPr="005048F2">
              <w:rPr>
                <w:color w:val="000000"/>
                <w:vertAlign w:val="subscript"/>
              </w:rPr>
              <w:t>a</w:t>
            </w:r>
          </w:p>
        </w:tc>
        <w:tc>
          <w:tcPr>
            <w:tcW w:w="630" w:type="dxa"/>
            <w:tcBorders>
              <w:top w:val="nil"/>
              <w:left w:val="nil"/>
              <w:bottom w:val="nil"/>
              <w:right w:val="nil"/>
            </w:tcBorders>
            <w:noWrap/>
          </w:tcPr>
          <w:p w14:paraId="532E3405"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2E8E95EF" w14:textId="77777777" w:rsidR="00D25FA1" w:rsidRPr="005048F2" w:rsidRDefault="00973C4E" w:rsidP="007F516C">
            <w:pPr>
              <w:autoSpaceDE w:val="0"/>
              <w:autoSpaceDN w:val="0"/>
              <w:adjustRightInd w:val="0"/>
              <w:spacing w:line="240" w:lineRule="auto"/>
              <w:ind w:firstLine="0"/>
              <w:jc w:val="right"/>
              <w:rPr>
                <w:color w:val="000000"/>
              </w:rPr>
            </w:pPr>
            <w:r>
              <w:rPr>
                <w:color w:val="000000"/>
              </w:rPr>
              <w:t>15.</w:t>
            </w:r>
            <w:r w:rsidR="007F516C">
              <w:rPr>
                <w:color w:val="000000"/>
              </w:rPr>
              <w:t>0</w:t>
            </w:r>
            <w:r w:rsidR="00D25FA1" w:rsidRPr="005048F2">
              <w:rPr>
                <w:color w:val="000000"/>
              </w:rPr>
              <w:t>%</w:t>
            </w:r>
          </w:p>
        </w:tc>
        <w:tc>
          <w:tcPr>
            <w:tcW w:w="900" w:type="dxa"/>
            <w:tcBorders>
              <w:top w:val="nil"/>
              <w:left w:val="nil"/>
              <w:bottom w:val="nil"/>
              <w:right w:val="nil"/>
            </w:tcBorders>
            <w:noWrap/>
          </w:tcPr>
          <w:p w14:paraId="2F1ABDCE"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350</w:t>
            </w:r>
            <w:r w:rsidR="00973C4E" w:rsidRPr="005048F2">
              <w:rPr>
                <w:color w:val="000000"/>
                <w:vertAlign w:val="subscript"/>
              </w:rPr>
              <w:t>b</w:t>
            </w:r>
          </w:p>
        </w:tc>
      </w:tr>
      <w:tr w:rsidR="00D25FA1" w:rsidRPr="005048F2" w14:paraId="0717F2BD" w14:textId="77777777" w:rsidTr="00A87996">
        <w:trPr>
          <w:trHeight w:val="305"/>
        </w:trPr>
        <w:tc>
          <w:tcPr>
            <w:tcW w:w="600" w:type="dxa"/>
            <w:tcBorders>
              <w:top w:val="nil"/>
              <w:left w:val="nil"/>
              <w:bottom w:val="nil"/>
              <w:right w:val="nil"/>
            </w:tcBorders>
            <w:noWrap/>
          </w:tcPr>
          <w:p w14:paraId="2F2E7194"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23C81069"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married &gt;50 years</w:t>
            </w:r>
          </w:p>
        </w:tc>
        <w:tc>
          <w:tcPr>
            <w:tcW w:w="900" w:type="dxa"/>
            <w:tcBorders>
              <w:top w:val="nil"/>
              <w:left w:val="nil"/>
              <w:bottom w:val="nil"/>
              <w:right w:val="nil"/>
            </w:tcBorders>
            <w:noWrap/>
          </w:tcPr>
          <w:p w14:paraId="4D2A5739" w14:textId="77777777" w:rsidR="00D25FA1" w:rsidRPr="005048F2" w:rsidRDefault="007F776F" w:rsidP="007F516C">
            <w:pPr>
              <w:autoSpaceDE w:val="0"/>
              <w:autoSpaceDN w:val="0"/>
              <w:adjustRightInd w:val="0"/>
              <w:spacing w:line="240" w:lineRule="auto"/>
              <w:ind w:firstLine="0"/>
              <w:jc w:val="right"/>
              <w:rPr>
                <w:color w:val="000000"/>
              </w:rPr>
            </w:pPr>
            <w:r>
              <w:rPr>
                <w:color w:val="000000"/>
              </w:rPr>
              <w:t>10.</w:t>
            </w:r>
            <w:r w:rsidR="007F516C">
              <w:rPr>
                <w:color w:val="000000"/>
              </w:rPr>
              <w:t>8</w:t>
            </w:r>
            <w:r w:rsidR="00D25FA1" w:rsidRPr="005048F2">
              <w:rPr>
                <w:color w:val="000000"/>
              </w:rPr>
              <w:t>%</w:t>
            </w:r>
          </w:p>
        </w:tc>
        <w:tc>
          <w:tcPr>
            <w:tcW w:w="810" w:type="dxa"/>
            <w:tcBorders>
              <w:top w:val="nil"/>
              <w:left w:val="nil"/>
              <w:bottom w:val="nil"/>
              <w:right w:val="nil"/>
            </w:tcBorders>
            <w:noWrap/>
          </w:tcPr>
          <w:p w14:paraId="6C60FFB2"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366</w:t>
            </w:r>
            <w:r w:rsidR="007F776F" w:rsidRPr="005048F2">
              <w:rPr>
                <w:color w:val="000000"/>
                <w:vertAlign w:val="subscript"/>
              </w:rPr>
              <w:t>a</w:t>
            </w:r>
          </w:p>
        </w:tc>
        <w:tc>
          <w:tcPr>
            <w:tcW w:w="630" w:type="dxa"/>
            <w:tcBorders>
              <w:top w:val="nil"/>
              <w:left w:val="nil"/>
              <w:bottom w:val="nil"/>
              <w:right w:val="nil"/>
            </w:tcBorders>
            <w:noWrap/>
          </w:tcPr>
          <w:p w14:paraId="603E2F45"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4CA86194"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13.2</w:t>
            </w:r>
            <w:r w:rsidR="00D25FA1" w:rsidRPr="005048F2">
              <w:rPr>
                <w:color w:val="000000"/>
              </w:rPr>
              <w:t>%</w:t>
            </w:r>
          </w:p>
        </w:tc>
        <w:tc>
          <w:tcPr>
            <w:tcW w:w="900" w:type="dxa"/>
            <w:tcBorders>
              <w:top w:val="nil"/>
              <w:left w:val="nil"/>
              <w:bottom w:val="nil"/>
              <w:right w:val="nil"/>
            </w:tcBorders>
            <w:noWrap/>
          </w:tcPr>
          <w:p w14:paraId="72B439BD" w14:textId="77777777" w:rsidR="00D25FA1" w:rsidRPr="005048F2" w:rsidRDefault="007F516C" w:rsidP="00973C4E">
            <w:pPr>
              <w:autoSpaceDE w:val="0"/>
              <w:autoSpaceDN w:val="0"/>
              <w:adjustRightInd w:val="0"/>
              <w:spacing w:line="240" w:lineRule="auto"/>
              <w:ind w:firstLine="0"/>
              <w:jc w:val="right"/>
              <w:rPr>
                <w:color w:val="000000"/>
              </w:rPr>
            </w:pPr>
            <w:r>
              <w:rPr>
                <w:color w:val="000000"/>
              </w:rPr>
              <w:t>308</w:t>
            </w:r>
            <w:r w:rsidR="00973C4E" w:rsidRPr="005048F2">
              <w:rPr>
                <w:color w:val="000000"/>
                <w:vertAlign w:val="subscript"/>
              </w:rPr>
              <w:t>b</w:t>
            </w:r>
          </w:p>
        </w:tc>
      </w:tr>
      <w:tr w:rsidR="00D25FA1" w:rsidRPr="005048F2" w14:paraId="78A9293E" w14:textId="77777777" w:rsidTr="00A87996">
        <w:trPr>
          <w:trHeight w:val="305"/>
        </w:trPr>
        <w:tc>
          <w:tcPr>
            <w:tcW w:w="3809" w:type="dxa"/>
            <w:gridSpan w:val="2"/>
            <w:tcBorders>
              <w:top w:val="nil"/>
              <w:left w:val="nil"/>
              <w:bottom w:val="nil"/>
              <w:right w:val="nil"/>
            </w:tcBorders>
            <w:noWrap/>
          </w:tcPr>
          <w:p w14:paraId="3CC7DF81"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 xml:space="preserve">Ethnicity </w:t>
            </w:r>
          </w:p>
        </w:tc>
        <w:tc>
          <w:tcPr>
            <w:tcW w:w="900" w:type="dxa"/>
            <w:tcBorders>
              <w:top w:val="nil"/>
              <w:left w:val="nil"/>
              <w:bottom w:val="nil"/>
              <w:right w:val="nil"/>
            </w:tcBorders>
            <w:noWrap/>
          </w:tcPr>
          <w:p w14:paraId="5AD61D19" w14:textId="77777777" w:rsidR="00D25FA1" w:rsidRPr="005048F2" w:rsidRDefault="00D25FA1" w:rsidP="00973C4E">
            <w:pPr>
              <w:autoSpaceDE w:val="0"/>
              <w:autoSpaceDN w:val="0"/>
              <w:adjustRightInd w:val="0"/>
              <w:spacing w:line="240" w:lineRule="auto"/>
              <w:ind w:firstLine="0"/>
              <w:jc w:val="right"/>
              <w:rPr>
                <w:color w:val="000000"/>
              </w:rPr>
            </w:pPr>
          </w:p>
        </w:tc>
        <w:tc>
          <w:tcPr>
            <w:tcW w:w="810" w:type="dxa"/>
            <w:tcBorders>
              <w:top w:val="nil"/>
              <w:left w:val="nil"/>
              <w:bottom w:val="nil"/>
              <w:right w:val="nil"/>
            </w:tcBorders>
            <w:noWrap/>
          </w:tcPr>
          <w:p w14:paraId="63271BA0" w14:textId="77777777" w:rsidR="00D25FA1" w:rsidRPr="005048F2" w:rsidRDefault="00D25FA1" w:rsidP="00973C4E">
            <w:pPr>
              <w:autoSpaceDE w:val="0"/>
              <w:autoSpaceDN w:val="0"/>
              <w:adjustRightInd w:val="0"/>
              <w:spacing w:line="240" w:lineRule="auto"/>
              <w:ind w:firstLine="0"/>
              <w:jc w:val="right"/>
              <w:rPr>
                <w:color w:val="000000"/>
              </w:rPr>
            </w:pPr>
          </w:p>
        </w:tc>
        <w:tc>
          <w:tcPr>
            <w:tcW w:w="630" w:type="dxa"/>
            <w:tcBorders>
              <w:top w:val="nil"/>
              <w:left w:val="nil"/>
              <w:bottom w:val="nil"/>
              <w:right w:val="nil"/>
            </w:tcBorders>
            <w:noWrap/>
          </w:tcPr>
          <w:p w14:paraId="6E5BB744"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4F92AC5B" w14:textId="77777777" w:rsidR="00D25FA1" w:rsidRPr="005048F2" w:rsidRDefault="00D25FA1" w:rsidP="00973C4E">
            <w:pPr>
              <w:autoSpaceDE w:val="0"/>
              <w:autoSpaceDN w:val="0"/>
              <w:adjustRightInd w:val="0"/>
              <w:spacing w:line="240" w:lineRule="auto"/>
              <w:ind w:firstLine="0"/>
              <w:jc w:val="right"/>
              <w:rPr>
                <w:color w:val="000000"/>
              </w:rPr>
            </w:pPr>
          </w:p>
        </w:tc>
        <w:tc>
          <w:tcPr>
            <w:tcW w:w="900" w:type="dxa"/>
            <w:tcBorders>
              <w:top w:val="nil"/>
              <w:left w:val="nil"/>
              <w:bottom w:val="nil"/>
              <w:right w:val="nil"/>
            </w:tcBorders>
            <w:noWrap/>
          </w:tcPr>
          <w:p w14:paraId="48EAF440" w14:textId="77777777" w:rsidR="00D25FA1" w:rsidRPr="005048F2" w:rsidRDefault="00D25FA1" w:rsidP="00973C4E">
            <w:pPr>
              <w:autoSpaceDE w:val="0"/>
              <w:autoSpaceDN w:val="0"/>
              <w:adjustRightInd w:val="0"/>
              <w:spacing w:line="240" w:lineRule="auto"/>
              <w:ind w:firstLine="0"/>
              <w:jc w:val="right"/>
              <w:rPr>
                <w:color w:val="000000"/>
              </w:rPr>
            </w:pPr>
          </w:p>
        </w:tc>
      </w:tr>
      <w:tr w:rsidR="00D25FA1" w:rsidRPr="005048F2" w14:paraId="3A1F61DD" w14:textId="77777777" w:rsidTr="00A87996">
        <w:trPr>
          <w:trHeight w:val="305"/>
        </w:trPr>
        <w:tc>
          <w:tcPr>
            <w:tcW w:w="600" w:type="dxa"/>
            <w:tcBorders>
              <w:top w:val="nil"/>
              <w:left w:val="nil"/>
              <w:bottom w:val="nil"/>
              <w:right w:val="nil"/>
            </w:tcBorders>
            <w:noWrap/>
          </w:tcPr>
          <w:p w14:paraId="0CA0223E"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764E5B98"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White</w:t>
            </w:r>
          </w:p>
        </w:tc>
        <w:tc>
          <w:tcPr>
            <w:tcW w:w="900" w:type="dxa"/>
            <w:tcBorders>
              <w:top w:val="nil"/>
              <w:left w:val="nil"/>
              <w:bottom w:val="nil"/>
              <w:right w:val="nil"/>
            </w:tcBorders>
            <w:noWrap/>
          </w:tcPr>
          <w:p w14:paraId="371CC377"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65.3</w:t>
            </w:r>
            <w:r w:rsidR="00D25FA1" w:rsidRPr="005048F2">
              <w:rPr>
                <w:color w:val="000000"/>
              </w:rPr>
              <w:t>%</w:t>
            </w:r>
          </w:p>
        </w:tc>
        <w:tc>
          <w:tcPr>
            <w:tcW w:w="810" w:type="dxa"/>
            <w:tcBorders>
              <w:top w:val="nil"/>
              <w:left w:val="nil"/>
              <w:bottom w:val="nil"/>
              <w:right w:val="nil"/>
            </w:tcBorders>
            <w:noWrap/>
          </w:tcPr>
          <w:p w14:paraId="65837FC6"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2208</w:t>
            </w:r>
            <w:r w:rsidR="00973C4E" w:rsidRPr="005048F2">
              <w:rPr>
                <w:color w:val="000000"/>
                <w:vertAlign w:val="subscript"/>
              </w:rPr>
              <w:t>a</w:t>
            </w:r>
          </w:p>
        </w:tc>
        <w:tc>
          <w:tcPr>
            <w:tcW w:w="630" w:type="dxa"/>
            <w:tcBorders>
              <w:top w:val="nil"/>
              <w:left w:val="nil"/>
              <w:bottom w:val="nil"/>
              <w:right w:val="nil"/>
            </w:tcBorders>
            <w:noWrap/>
          </w:tcPr>
          <w:p w14:paraId="00C9BD14"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56675C31"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68.9</w:t>
            </w:r>
            <w:r w:rsidR="00D25FA1" w:rsidRPr="005048F2">
              <w:rPr>
                <w:color w:val="000000"/>
              </w:rPr>
              <w:t>%</w:t>
            </w:r>
          </w:p>
        </w:tc>
        <w:tc>
          <w:tcPr>
            <w:tcW w:w="900" w:type="dxa"/>
            <w:tcBorders>
              <w:top w:val="nil"/>
              <w:left w:val="nil"/>
              <w:bottom w:val="nil"/>
              <w:right w:val="nil"/>
            </w:tcBorders>
            <w:noWrap/>
          </w:tcPr>
          <w:p w14:paraId="564898EB" w14:textId="77777777" w:rsidR="00D25FA1" w:rsidRPr="005048F2" w:rsidRDefault="00FD6881" w:rsidP="00FD6881">
            <w:pPr>
              <w:autoSpaceDE w:val="0"/>
              <w:autoSpaceDN w:val="0"/>
              <w:adjustRightInd w:val="0"/>
              <w:spacing w:line="240" w:lineRule="auto"/>
              <w:ind w:firstLine="0"/>
              <w:jc w:val="right"/>
              <w:rPr>
                <w:color w:val="000000"/>
              </w:rPr>
            </w:pPr>
            <w:r>
              <w:rPr>
                <w:color w:val="000000"/>
              </w:rPr>
              <w:t>1610</w:t>
            </w:r>
            <w:r w:rsidR="00973C4E" w:rsidRPr="005048F2">
              <w:rPr>
                <w:color w:val="000000"/>
                <w:vertAlign w:val="subscript"/>
              </w:rPr>
              <w:t>b</w:t>
            </w:r>
          </w:p>
        </w:tc>
      </w:tr>
      <w:tr w:rsidR="00D25FA1" w:rsidRPr="005048F2" w14:paraId="3700C66D" w14:textId="77777777" w:rsidTr="00A87996">
        <w:trPr>
          <w:trHeight w:val="305"/>
        </w:trPr>
        <w:tc>
          <w:tcPr>
            <w:tcW w:w="600" w:type="dxa"/>
            <w:tcBorders>
              <w:top w:val="nil"/>
              <w:left w:val="nil"/>
              <w:bottom w:val="nil"/>
              <w:right w:val="nil"/>
            </w:tcBorders>
            <w:noWrap/>
          </w:tcPr>
          <w:p w14:paraId="60FA23BD"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7739FC4C"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Black</w:t>
            </w:r>
          </w:p>
        </w:tc>
        <w:tc>
          <w:tcPr>
            <w:tcW w:w="900" w:type="dxa"/>
            <w:tcBorders>
              <w:top w:val="nil"/>
              <w:left w:val="nil"/>
              <w:bottom w:val="nil"/>
              <w:right w:val="nil"/>
            </w:tcBorders>
            <w:noWrap/>
          </w:tcPr>
          <w:p w14:paraId="0690EC5E"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28.0</w:t>
            </w:r>
            <w:r w:rsidR="00D25FA1" w:rsidRPr="005048F2">
              <w:rPr>
                <w:color w:val="000000"/>
              </w:rPr>
              <w:t>%</w:t>
            </w:r>
          </w:p>
        </w:tc>
        <w:tc>
          <w:tcPr>
            <w:tcW w:w="810" w:type="dxa"/>
            <w:tcBorders>
              <w:top w:val="nil"/>
              <w:left w:val="nil"/>
              <w:bottom w:val="nil"/>
              <w:right w:val="nil"/>
            </w:tcBorders>
            <w:noWrap/>
          </w:tcPr>
          <w:p w14:paraId="00C89643"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948</w:t>
            </w:r>
            <w:r w:rsidR="00973C4E" w:rsidRPr="005048F2">
              <w:rPr>
                <w:color w:val="000000"/>
                <w:vertAlign w:val="subscript"/>
              </w:rPr>
              <w:t>a</w:t>
            </w:r>
          </w:p>
        </w:tc>
        <w:tc>
          <w:tcPr>
            <w:tcW w:w="630" w:type="dxa"/>
            <w:tcBorders>
              <w:top w:val="nil"/>
              <w:left w:val="nil"/>
              <w:bottom w:val="nil"/>
              <w:right w:val="nil"/>
            </w:tcBorders>
            <w:noWrap/>
          </w:tcPr>
          <w:p w14:paraId="2A394017"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715C6B39"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25.4</w:t>
            </w:r>
            <w:r w:rsidR="00D25FA1" w:rsidRPr="005048F2">
              <w:rPr>
                <w:color w:val="000000"/>
              </w:rPr>
              <w:t>%</w:t>
            </w:r>
          </w:p>
        </w:tc>
        <w:tc>
          <w:tcPr>
            <w:tcW w:w="900" w:type="dxa"/>
            <w:tcBorders>
              <w:top w:val="nil"/>
              <w:left w:val="nil"/>
              <w:bottom w:val="nil"/>
              <w:right w:val="nil"/>
            </w:tcBorders>
            <w:noWrap/>
          </w:tcPr>
          <w:p w14:paraId="018A703F"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594</w:t>
            </w:r>
            <w:r w:rsidR="00973C4E" w:rsidRPr="005048F2">
              <w:rPr>
                <w:color w:val="000000"/>
                <w:vertAlign w:val="subscript"/>
              </w:rPr>
              <w:t>b</w:t>
            </w:r>
          </w:p>
        </w:tc>
      </w:tr>
      <w:tr w:rsidR="00D25FA1" w:rsidRPr="005048F2" w14:paraId="2BFBAC26" w14:textId="77777777" w:rsidTr="00A87996">
        <w:trPr>
          <w:trHeight w:val="305"/>
        </w:trPr>
        <w:tc>
          <w:tcPr>
            <w:tcW w:w="600" w:type="dxa"/>
            <w:tcBorders>
              <w:top w:val="nil"/>
              <w:left w:val="nil"/>
              <w:bottom w:val="nil"/>
              <w:right w:val="nil"/>
            </w:tcBorders>
            <w:noWrap/>
          </w:tcPr>
          <w:p w14:paraId="33C91D84"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457E0EB2"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Other</w:t>
            </w:r>
          </w:p>
        </w:tc>
        <w:tc>
          <w:tcPr>
            <w:tcW w:w="900" w:type="dxa"/>
            <w:tcBorders>
              <w:top w:val="nil"/>
              <w:left w:val="nil"/>
              <w:bottom w:val="nil"/>
              <w:right w:val="nil"/>
            </w:tcBorders>
            <w:noWrap/>
          </w:tcPr>
          <w:p w14:paraId="10068FEB"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6.7</w:t>
            </w:r>
            <w:r w:rsidR="00D25FA1" w:rsidRPr="005048F2">
              <w:rPr>
                <w:color w:val="000000"/>
              </w:rPr>
              <w:t>%</w:t>
            </w:r>
          </w:p>
        </w:tc>
        <w:tc>
          <w:tcPr>
            <w:tcW w:w="810" w:type="dxa"/>
            <w:tcBorders>
              <w:top w:val="nil"/>
              <w:left w:val="nil"/>
              <w:bottom w:val="nil"/>
              <w:right w:val="nil"/>
            </w:tcBorders>
            <w:noWrap/>
          </w:tcPr>
          <w:p w14:paraId="66CBE843"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226</w:t>
            </w:r>
            <w:r w:rsidR="00973C4E" w:rsidRPr="005048F2">
              <w:rPr>
                <w:color w:val="000000"/>
                <w:vertAlign w:val="subscript"/>
              </w:rPr>
              <w:t>a</w:t>
            </w:r>
          </w:p>
        </w:tc>
        <w:tc>
          <w:tcPr>
            <w:tcW w:w="630" w:type="dxa"/>
            <w:tcBorders>
              <w:top w:val="nil"/>
              <w:left w:val="nil"/>
              <w:bottom w:val="nil"/>
              <w:right w:val="nil"/>
            </w:tcBorders>
            <w:noWrap/>
          </w:tcPr>
          <w:p w14:paraId="379A2D87"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30D1700E"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5.7</w:t>
            </w:r>
            <w:r w:rsidR="00D25FA1" w:rsidRPr="005048F2">
              <w:rPr>
                <w:color w:val="000000"/>
              </w:rPr>
              <w:t>%</w:t>
            </w:r>
          </w:p>
        </w:tc>
        <w:tc>
          <w:tcPr>
            <w:tcW w:w="900" w:type="dxa"/>
            <w:tcBorders>
              <w:top w:val="nil"/>
              <w:left w:val="nil"/>
              <w:bottom w:val="nil"/>
              <w:right w:val="nil"/>
            </w:tcBorders>
            <w:noWrap/>
          </w:tcPr>
          <w:p w14:paraId="6DC4A505"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134</w:t>
            </w:r>
            <w:r w:rsidR="00973C4E">
              <w:rPr>
                <w:color w:val="000000"/>
                <w:vertAlign w:val="subscript"/>
              </w:rPr>
              <w:t>b</w:t>
            </w:r>
          </w:p>
        </w:tc>
      </w:tr>
      <w:tr w:rsidR="00D25FA1" w:rsidRPr="005048F2" w14:paraId="41B358A5" w14:textId="77777777" w:rsidTr="00A87996">
        <w:trPr>
          <w:trHeight w:val="305"/>
        </w:trPr>
        <w:tc>
          <w:tcPr>
            <w:tcW w:w="3809" w:type="dxa"/>
            <w:gridSpan w:val="2"/>
            <w:tcBorders>
              <w:top w:val="nil"/>
              <w:left w:val="nil"/>
              <w:bottom w:val="nil"/>
              <w:right w:val="nil"/>
            </w:tcBorders>
            <w:noWrap/>
          </w:tcPr>
          <w:p w14:paraId="7108070B"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 xml:space="preserve">Highest education </w:t>
            </w:r>
          </w:p>
        </w:tc>
        <w:tc>
          <w:tcPr>
            <w:tcW w:w="900" w:type="dxa"/>
            <w:tcBorders>
              <w:top w:val="nil"/>
              <w:left w:val="nil"/>
              <w:bottom w:val="nil"/>
              <w:right w:val="nil"/>
            </w:tcBorders>
            <w:noWrap/>
          </w:tcPr>
          <w:p w14:paraId="5C0317A5" w14:textId="77777777" w:rsidR="00D25FA1" w:rsidRPr="005048F2" w:rsidRDefault="00D25FA1" w:rsidP="00973C4E">
            <w:pPr>
              <w:autoSpaceDE w:val="0"/>
              <w:autoSpaceDN w:val="0"/>
              <w:adjustRightInd w:val="0"/>
              <w:spacing w:line="240" w:lineRule="auto"/>
              <w:ind w:firstLine="0"/>
              <w:jc w:val="right"/>
              <w:rPr>
                <w:color w:val="000000"/>
              </w:rPr>
            </w:pPr>
          </w:p>
        </w:tc>
        <w:tc>
          <w:tcPr>
            <w:tcW w:w="810" w:type="dxa"/>
            <w:tcBorders>
              <w:top w:val="nil"/>
              <w:left w:val="nil"/>
              <w:bottom w:val="nil"/>
              <w:right w:val="nil"/>
            </w:tcBorders>
            <w:noWrap/>
          </w:tcPr>
          <w:p w14:paraId="7DAF0F72" w14:textId="77777777" w:rsidR="00D25FA1" w:rsidRPr="005048F2" w:rsidRDefault="00D25FA1" w:rsidP="00973C4E">
            <w:pPr>
              <w:autoSpaceDE w:val="0"/>
              <w:autoSpaceDN w:val="0"/>
              <w:adjustRightInd w:val="0"/>
              <w:spacing w:line="240" w:lineRule="auto"/>
              <w:ind w:firstLine="0"/>
              <w:jc w:val="right"/>
              <w:rPr>
                <w:color w:val="000000"/>
              </w:rPr>
            </w:pPr>
          </w:p>
        </w:tc>
        <w:tc>
          <w:tcPr>
            <w:tcW w:w="630" w:type="dxa"/>
            <w:tcBorders>
              <w:top w:val="nil"/>
              <w:left w:val="nil"/>
              <w:bottom w:val="nil"/>
              <w:right w:val="nil"/>
            </w:tcBorders>
            <w:noWrap/>
          </w:tcPr>
          <w:p w14:paraId="3FF087F1"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099C0863" w14:textId="77777777" w:rsidR="00D25FA1" w:rsidRPr="005048F2" w:rsidRDefault="00D25FA1" w:rsidP="00973C4E">
            <w:pPr>
              <w:autoSpaceDE w:val="0"/>
              <w:autoSpaceDN w:val="0"/>
              <w:adjustRightInd w:val="0"/>
              <w:spacing w:line="240" w:lineRule="auto"/>
              <w:ind w:firstLine="0"/>
              <w:jc w:val="right"/>
              <w:rPr>
                <w:color w:val="000000"/>
              </w:rPr>
            </w:pPr>
          </w:p>
        </w:tc>
        <w:tc>
          <w:tcPr>
            <w:tcW w:w="900" w:type="dxa"/>
            <w:tcBorders>
              <w:top w:val="nil"/>
              <w:left w:val="nil"/>
              <w:bottom w:val="nil"/>
              <w:right w:val="nil"/>
            </w:tcBorders>
            <w:noWrap/>
          </w:tcPr>
          <w:p w14:paraId="41FA7DA7" w14:textId="77777777" w:rsidR="00D25FA1" w:rsidRPr="005048F2" w:rsidRDefault="00D25FA1" w:rsidP="00973C4E">
            <w:pPr>
              <w:autoSpaceDE w:val="0"/>
              <w:autoSpaceDN w:val="0"/>
              <w:adjustRightInd w:val="0"/>
              <w:spacing w:line="240" w:lineRule="auto"/>
              <w:ind w:firstLine="0"/>
              <w:jc w:val="right"/>
              <w:rPr>
                <w:color w:val="000000"/>
              </w:rPr>
            </w:pPr>
          </w:p>
        </w:tc>
      </w:tr>
      <w:tr w:rsidR="00D25FA1" w:rsidRPr="005048F2" w14:paraId="0E9D528D" w14:textId="77777777" w:rsidTr="00A87996">
        <w:trPr>
          <w:trHeight w:val="305"/>
        </w:trPr>
        <w:tc>
          <w:tcPr>
            <w:tcW w:w="600" w:type="dxa"/>
            <w:tcBorders>
              <w:top w:val="nil"/>
              <w:left w:val="nil"/>
              <w:bottom w:val="nil"/>
              <w:right w:val="nil"/>
            </w:tcBorders>
            <w:noWrap/>
          </w:tcPr>
          <w:p w14:paraId="185C77C7"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2E6BCBDC"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Grade School</w:t>
            </w:r>
          </w:p>
        </w:tc>
        <w:tc>
          <w:tcPr>
            <w:tcW w:w="900" w:type="dxa"/>
            <w:tcBorders>
              <w:top w:val="nil"/>
              <w:left w:val="nil"/>
              <w:bottom w:val="nil"/>
              <w:right w:val="nil"/>
            </w:tcBorders>
            <w:noWrap/>
          </w:tcPr>
          <w:p w14:paraId="78788418" w14:textId="77777777" w:rsidR="00D25FA1" w:rsidRPr="005048F2" w:rsidRDefault="00973C4E" w:rsidP="00973C4E">
            <w:pPr>
              <w:autoSpaceDE w:val="0"/>
              <w:autoSpaceDN w:val="0"/>
              <w:adjustRightInd w:val="0"/>
              <w:spacing w:line="240" w:lineRule="auto"/>
              <w:ind w:firstLine="0"/>
              <w:jc w:val="right"/>
              <w:rPr>
                <w:color w:val="000000"/>
              </w:rPr>
            </w:pPr>
            <w:r>
              <w:rPr>
                <w:color w:val="000000"/>
              </w:rPr>
              <w:t>0.7</w:t>
            </w:r>
            <w:r w:rsidR="00D25FA1" w:rsidRPr="005048F2">
              <w:rPr>
                <w:color w:val="000000"/>
              </w:rPr>
              <w:t>%</w:t>
            </w:r>
          </w:p>
        </w:tc>
        <w:tc>
          <w:tcPr>
            <w:tcW w:w="810" w:type="dxa"/>
            <w:tcBorders>
              <w:top w:val="nil"/>
              <w:left w:val="nil"/>
              <w:bottom w:val="nil"/>
              <w:right w:val="nil"/>
            </w:tcBorders>
            <w:noWrap/>
          </w:tcPr>
          <w:p w14:paraId="4270905E"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22</w:t>
            </w:r>
            <w:r w:rsidR="00973C4E" w:rsidRPr="005048F2">
              <w:rPr>
                <w:color w:val="000000"/>
                <w:vertAlign w:val="subscript"/>
              </w:rPr>
              <w:t>a</w:t>
            </w:r>
          </w:p>
        </w:tc>
        <w:tc>
          <w:tcPr>
            <w:tcW w:w="630" w:type="dxa"/>
            <w:tcBorders>
              <w:top w:val="nil"/>
              <w:left w:val="nil"/>
              <w:bottom w:val="nil"/>
              <w:right w:val="nil"/>
            </w:tcBorders>
            <w:noWrap/>
          </w:tcPr>
          <w:p w14:paraId="735F4588"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28FB5503" w14:textId="77777777" w:rsidR="00D25FA1" w:rsidRPr="005048F2" w:rsidRDefault="003E2AAD" w:rsidP="00FD6881">
            <w:pPr>
              <w:autoSpaceDE w:val="0"/>
              <w:autoSpaceDN w:val="0"/>
              <w:adjustRightInd w:val="0"/>
              <w:spacing w:line="240" w:lineRule="auto"/>
              <w:ind w:firstLine="0"/>
              <w:jc w:val="right"/>
              <w:rPr>
                <w:color w:val="000000"/>
              </w:rPr>
            </w:pPr>
            <w:r>
              <w:rPr>
                <w:color w:val="000000"/>
              </w:rPr>
              <w:t>1.</w:t>
            </w:r>
            <w:r w:rsidR="00FD6881">
              <w:rPr>
                <w:color w:val="000000"/>
              </w:rPr>
              <w:t>5</w:t>
            </w:r>
            <w:r w:rsidR="00D25FA1" w:rsidRPr="005048F2">
              <w:rPr>
                <w:color w:val="000000"/>
              </w:rPr>
              <w:t>%</w:t>
            </w:r>
          </w:p>
        </w:tc>
        <w:tc>
          <w:tcPr>
            <w:tcW w:w="900" w:type="dxa"/>
            <w:tcBorders>
              <w:top w:val="nil"/>
              <w:left w:val="nil"/>
              <w:bottom w:val="nil"/>
              <w:right w:val="nil"/>
            </w:tcBorders>
            <w:noWrap/>
          </w:tcPr>
          <w:p w14:paraId="4CF92F6D"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34</w:t>
            </w:r>
            <w:r w:rsidR="003E2AAD" w:rsidRPr="005048F2">
              <w:rPr>
                <w:color w:val="000000"/>
                <w:vertAlign w:val="subscript"/>
              </w:rPr>
              <w:t>b</w:t>
            </w:r>
          </w:p>
        </w:tc>
      </w:tr>
      <w:tr w:rsidR="00D25FA1" w:rsidRPr="005048F2" w14:paraId="5C3B7549" w14:textId="77777777" w:rsidTr="00A87996">
        <w:trPr>
          <w:trHeight w:val="305"/>
        </w:trPr>
        <w:tc>
          <w:tcPr>
            <w:tcW w:w="600" w:type="dxa"/>
            <w:tcBorders>
              <w:top w:val="nil"/>
              <w:left w:val="nil"/>
              <w:bottom w:val="nil"/>
              <w:right w:val="nil"/>
            </w:tcBorders>
            <w:noWrap/>
          </w:tcPr>
          <w:p w14:paraId="4474988E"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480D554E"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Some High School</w:t>
            </w:r>
          </w:p>
        </w:tc>
        <w:tc>
          <w:tcPr>
            <w:tcW w:w="900" w:type="dxa"/>
            <w:tcBorders>
              <w:top w:val="nil"/>
              <w:left w:val="nil"/>
              <w:bottom w:val="nil"/>
              <w:right w:val="nil"/>
            </w:tcBorders>
            <w:noWrap/>
          </w:tcPr>
          <w:p w14:paraId="428E6362" w14:textId="77777777" w:rsidR="00D25FA1" w:rsidRPr="005048F2" w:rsidRDefault="00973C4E" w:rsidP="00FD6881">
            <w:pPr>
              <w:autoSpaceDE w:val="0"/>
              <w:autoSpaceDN w:val="0"/>
              <w:adjustRightInd w:val="0"/>
              <w:spacing w:line="240" w:lineRule="auto"/>
              <w:ind w:firstLine="0"/>
              <w:jc w:val="right"/>
              <w:rPr>
                <w:color w:val="000000"/>
              </w:rPr>
            </w:pPr>
            <w:r>
              <w:rPr>
                <w:color w:val="000000"/>
              </w:rPr>
              <w:t>2.</w:t>
            </w:r>
            <w:r w:rsidR="00FD6881">
              <w:rPr>
                <w:color w:val="000000"/>
              </w:rPr>
              <w:t>7</w:t>
            </w:r>
            <w:r w:rsidR="00D25FA1" w:rsidRPr="005048F2">
              <w:rPr>
                <w:color w:val="000000"/>
              </w:rPr>
              <w:t>%</w:t>
            </w:r>
          </w:p>
        </w:tc>
        <w:tc>
          <w:tcPr>
            <w:tcW w:w="810" w:type="dxa"/>
            <w:tcBorders>
              <w:top w:val="nil"/>
              <w:left w:val="nil"/>
              <w:bottom w:val="nil"/>
              <w:right w:val="nil"/>
            </w:tcBorders>
            <w:noWrap/>
          </w:tcPr>
          <w:p w14:paraId="6B877C78" w14:textId="77777777" w:rsidR="00D25FA1" w:rsidRPr="005048F2" w:rsidRDefault="00973C4E" w:rsidP="00973C4E">
            <w:pPr>
              <w:autoSpaceDE w:val="0"/>
              <w:autoSpaceDN w:val="0"/>
              <w:adjustRightInd w:val="0"/>
              <w:spacing w:line="240" w:lineRule="auto"/>
              <w:ind w:firstLine="0"/>
              <w:jc w:val="right"/>
              <w:rPr>
                <w:color w:val="000000"/>
              </w:rPr>
            </w:pPr>
            <w:r>
              <w:rPr>
                <w:color w:val="000000"/>
              </w:rPr>
              <w:t>59</w:t>
            </w:r>
            <w:r w:rsidRPr="005048F2">
              <w:rPr>
                <w:color w:val="000000"/>
                <w:vertAlign w:val="subscript"/>
              </w:rPr>
              <w:t>a</w:t>
            </w:r>
          </w:p>
        </w:tc>
        <w:tc>
          <w:tcPr>
            <w:tcW w:w="630" w:type="dxa"/>
            <w:tcBorders>
              <w:top w:val="nil"/>
              <w:left w:val="nil"/>
              <w:bottom w:val="nil"/>
              <w:right w:val="nil"/>
            </w:tcBorders>
            <w:noWrap/>
          </w:tcPr>
          <w:p w14:paraId="47BEE794"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01C6E678"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2.6</w:t>
            </w:r>
            <w:r w:rsidR="00D25FA1" w:rsidRPr="005048F2">
              <w:rPr>
                <w:color w:val="000000"/>
              </w:rPr>
              <w:t>%</w:t>
            </w:r>
          </w:p>
        </w:tc>
        <w:tc>
          <w:tcPr>
            <w:tcW w:w="900" w:type="dxa"/>
            <w:tcBorders>
              <w:top w:val="nil"/>
              <w:left w:val="nil"/>
              <w:bottom w:val="nil"/>
              <w:right w:val="nil"/>
            </w:tcBorders>
            <w:noWrap/>
          </w:tcPr>
          <w:p w14:paraId="46844AEE"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60</w:t>
            </w:r>
            <w:r w:rsidR="003E2AAD" w:rsidRPr="005048F2">
              <w:rPr>
                <w:color w:val="000000"/>
                <w:vertAlign w:val="subscript"/>
              </w:rPr>
              <w:t>a</w:t>
            </w:r>
          </w:p>
        </w:tc>
      </w:tr>
      <w:tr w:rsidR="00D25FA1" w:rsidRPr="005048F2" w14:paraId="7DDBF9E1" w14:textId="77777777" w:rsidTr="00A87996">
        <w:trPr>
          <w:trHeight w:val="305"/>
        </w:trPr>
        <w:tc>
          <w:tcPr>
            <w:tcW w:w="600" w:type="dxa"/>
            <w:tcBorders>
              <w:top w:val="nil"/>
              <w:left w:val="nil"/>
              <w:bottom w:val="nil"/>
              <w:right w:val="nil"/>
            </w:tcBorders>
            <w:noWrap/>
          </w:tcPr>
          <w:p w14:paraId="700F66C8"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19E6EAC3"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High School diploma</w:t>
            </w:r>
          </w:p>
        </w:tc>
        <w:tc>
          <w:tcPr>
            <w:tcW w:w="900" w:type="dxa"/>
            <w:tcBorders>
              <w:top w:val="nil"/>
              <w:left w:val="nil"/>
              <w:bottom w:val="nil"/>
              <w:right w:val="nil"/>
            </w:tcBorders>
            <w:noWrap/>
          </w:tcPr>
          <w:p w14:paraId="4AC90817" w14:textId="77777777" w:rsidR="00D25FA1" w:rsidRPr="005048F2" w:rsidRDefault="00973C4E" w:rsidP="00973C4E">
            <w:pPr>
              <w:autoSpaceDE w:val="0"/>
              <w:autoSpaceDN w:val="0"/>
              <w:adjustRightInd w:val="0"/>
              <w:spacing w:line="240" w:lineRule="auto"/>
              <w:ind w:firstLine="0"/>
              <w:jc w:val="right"/>
              <w:rPr>
                <w:color w:val="000000"/>
              </w:rPr>
            </w:pPr>
            <w:r>
              <w:rPr>
                <w:color w:val="000000"/>
              </w:rPr>
              <w:t>11.6</w:t>
            </w:r>
            <w:r w:rsidR="00D25FA1" w:rsidRPr="005048F2">
              <w:rPr>
                <w:color w:val="000000"/>
              </w:rPr>
              <w:t>%</w:t>
            </w:r>
          </w:p>
        </w:tc>
        <w:tc>
          <w:tcPr>
            <w:tcW w:w="810" w:type="dxa"/>
            <w:tcBorders>
              <w:top w:val="nil"/>
              <w:left w:val="nil"/>
              <w:bottom w:val="nil"/>
              <w:right w:val="nil"/>
            </w:tcBorders>
            <w:noWrap/>
          </w:tcPr>
          <w:p w14:paraId="1D483E9D" w14:textId="77777777" w:rsidR="00D25FA1" w:rsidRPr="005048F2" w:rsidRDefault="00973C4E" w:rsidP="00FD6881">
            <w:pPr>
              <w:autoSpaceDE w:val="0"/>
              <w:autoSpaceDN w:val="0"/>
              <w:adjustRightInd w:val="0"/>
              <w:spacing w:line="240" w:lineRule="auto"/>
              <w:ind w:firstLine="0"/>
              <w:jc w:val="right"/>
              <w:rPr>
                <w:color w:val="000000"/>
              </w:rPr>
            </w:pPr>
            <w:r>
              <w:rPr>
                <w:color w:val="000000"/>
              </w:rPr>
              <w:t>3</w:t>
            </w:r>
            <w:r w:rsidR="00FD6881">
              <w:rPr>
                <w:color w:val="000000"/>
              </w:rPr>
              <w:t>93</w:t>
            </w:r>
            <w:r w:rsidRPr="005048F2">
              <w:rPr>
                <w:color w:val="000000"/>
                <w:vertAlign w:val="subscript"/>
              </w:rPr>
              <w:t>a</w:t>
            </w:r>
          </w:p>
        </w:tc>
        <w:tc>
          <w:tcPr>
            <w:tcW w:w="630" w:type="dxa"/>
            <w:tcBorders>
              <w:top w:val="nil"/>
              <w:left w:val="nil"/>
              <w:bottom w:val="nil"/>
              <w:right w:val="nil"/>
            </w:tcBorders>
            <w:noWrap/>
          </w:tcPr>
          <w:p w14:paraId="7796C1DB"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6D97F0EE"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8.6</w:t>
            </w:r>
            <w:r w:rsidR="00D25FA1" w:rsidRPr="005048F2">
              <w:rPr>
                <w:color w:val="000000"/>
              </w:rPr>
              <w:t>%</w:t>
            </w:r>
          </w:p>
        </w:tc>
        <w:tc>
          <w:tcPr>
            <w:tcW w:w="900" w:type="dxa"/>
            <w:tcBorders>
              <w:top w:val="nil"/>
              <w:left w:val="nil"/>
              <w:bottom w:val="nil"/>
              <w:right w:val="nil"/>
            </w:tcBorders>
            <w:noWrap/>
          </w:tcPr>
          <w:p w14:paraId="7902DCC2"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201</w:t>
            </w:r>
            <w:r w:rsidR="003E2AAD" w:rsidRPr="005048F2">
              <w:rPr>
                <w:color w:val="000000"/>
                <w:vertAlign w:val="subscript"/>
              </w:rPr>
              <w:t>b</w:t>
            </w:r>
          </w:p>
        </w:tc>
      </w:tr>
      <w:tr w:rsidR="00D25FA1" w:rsidRPr="005048F2" w14:paraId="4EB8D425" w14:textId="77777777" w:rsidTr="00A87996">
        <w:trPr>
          <w:trHeight w:val="305"/>
        </w:trPr>
        <w:tc>
          <w:tcPr>
            <w:tcW w:w="600" w:type="dxa"/>
            <w:tcBorders>
              <w:top w:val="nil"/>
              <w:left w:val="nil"/>
              <w:bottom w:val="nil"/>
              <w:right w:val="nil"/>
            </w:tcBorders>
            <w:noWrap/>
          </w:tcPr>
          <w:p w14:paraId="7B0E333B"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6AD0606F"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Trade school diploma</w:t>
            </w:r>
          </w:p>
        </w:tc>
        <w:tc>
          <w:tcPr>
            <w:tcW w:w="900" w:type="dxa"/>
            <w:tcBorders>
              <w:top w:val="nil"/>
              <w:left w:val="nil"/>
              <w:bottom w:val="nil"/>
              <w:right w:val="nil"/>
            </w:tcBorders>
            <w:noWrap/>
          </w:tcPr>
          <w:p w14:paraId="571061DB" w14:textId="77777777" w:rsidR="00D25FA1" w:rsidRPr="005048F2" w:rsidRDefault="00973C4E" w:rsidP="00FD6881">
            <w:pPr>
              <w:autoSpaceDE w:val="0"/>
              <w:autoSpaceDN w:val="0"/>
              <w:adjustRightInd w:val="0"/>
              <w:spacing w:line="240" w:lineRule="auto"/>
              <w:ind w:firstLine="0"/>
              <w:jc w:val="right"/>
              <w:rPr>
                <w:color w:val="000000"/>
              </w:rPr>
            </w:pPr>
            <w:r>
              <w:rPr>
                <w:color w:val="000000"/>
              </w:rPr>
              <w:t>4.</w:t>
            </w:r>
            <w:r w:rsidR="00FD6881">
              <w:rPr>
                <w:color w:val="000000"/>
              </w:rPr>
              <w:t>6</w:t>
            </w:r>
            <w:r w:rsidR="00D25FA1" w:rsidRPr="005048F2">
              <w:rPr>
                <w:color w:val="000000"/>
              </w:rPr>
              <w:t>%</w:t>
            </w:r>
          </w:p>
        </w:tc>
        <w:tc>
          <w:tcPr>
            <w:tcW w:w="810" w:type="dxa"/>
            <w:tcBorders>
              <w:top w:val="nil"/>
              <w:left w:val="nil"/>
              <w:bottom w:val="nil"/>
              <w:right w:val="nil"/>
            </w:tcBorders>
            <w:noWrap/>
          </w:tcPr>
          <w:p w14:paraId="2A86FF2D" w14:textId="77777777" w:rsidR="00D25FA1" w:rsidRPr="005048F2" w:rsidRDefault="00973C4E" w:rsidP="00FD6881">
            <w:pPr>
              <w:autoSpaceDE w:val="0"/>
              <w:autoSpaceDN w:val="0"/>
              <w:adjustRightInd w:val="0"/>
              <w:spacing w:line="240" w:lineRule="auto"/>
              <w:ind w:firstLine="0"/>
              <w:jc w:val="right"/>
              <w:rPr>
                <w:color w:val="000000"/>
              </w:rPr>
            </w:pPr>
            <w:r>
              <w:rPr>
                <w:color w:val="000000"/>
              </w:rPr>
              <w:t>1</w:t>
            </w:r>
            <w:r w:rsidR="00FD6881">
              <w:rPr>
                <w:color w:val="000000"/>
              </w:rPr>
              <w:t>56</w:t>
            </w:r>
            <w:r w:rsidRPr="005048F2">
              <w:rPr>
                <w:color w:val="000000"/>
                <w:vertAlign w:val="subscript"/>
              </w:rPr>
              <w:t>a</w:t>
            </w:r>
          </w:p>
        </w:tc>
        <w:tc>
          <w:tcPr>
            <w:tcW w:w="630" w:type="dxa"/>
            <w:tcBorders>
              <w:top w:val="nil"/>
              <w:left w:val="nil"/>
              <w:bottom w:val="nil"/>
              <w:right w:val="nil"/>
            </w:tcBorders>
            <w:noWrap/>
          </w:tcPr>
          <w:p w14:paraId="17F83B6A"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290C11B9" w14:textId="77777777" w:rsidR="00D25FA1" w:rsidRPr="005048F2" w:rsidRDefault="003E2AAD" w:rsidP="00FD6881">
            <w:pPr>
              <w:autoSpaceDE w:val="0"/>
              <w:autoSpaceDN w:val="0"/>
              <w:adjustRightInd w:val="0"/>
              <w:spacing w:line="240" w:lineRule="auto"/>
              <w:ind w:firstLine="0"/>
              <w:jc w:val="right"/>
              <w:rPr>
                <w:color w:val="000000"/>
              </w:rPr>
            </w:pPr>
            <w:r>
              <w:rPr>
                <w:color w:val="000000"/>
              </w:rPr>
              <w:t>4.</w:t>
            </w:r>
            <w:r w:rsidR="00FD6881">
              <w:rPr>
                <w:color w:val="000000"/>
              </w:rPr>
              <w:t>1</w:t>
            </w:r>
            <w:r w:rsidR="00D25FA1" w:rsidRPr="005048F2">
              <w:rPr>
                <w:color w:val="000000"/>
              </w:rPr>
              <w:t>%</w:t>
            </w:r>
          </w:p>
        </w:tc>
        <w:tc>
          <w:tcPr>
            <w:tcW w:w="900" w:type="dxa"/>
            <w:tcBorders>
              <w:top w:val="nil"/>
              <w:left w:val="nil"/>
              <w:bottom w:val="nil"/>
              <w:right w:val="nil"/>
            </w:tcBorders>
            <w:noWrap/>
          </w:tcPr>
          <w:p w14:paraId="4F10B33C"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97</w:t>
            </w:r>
            <w:r w:rsidR="003E2AAD" w:rsidRPr="005048F2">
              <w:rPr>
                <w:color w:val="000000"/>
                <w:vertAlign w:val="subscript"/>
              </w:rPr>
              <w:t>a</w:t>
            </w:r>
          </w:p>
        </w:tc>
      </w:tr>
      <w:tr w:rsidR="00D25FA1" w:rsidRPr="005048F2" w14:paraId="3D05A53E" w14:textId="77777777" w:rsidTr="00A87996">
        <w:trPr>
          <w:trHeight w:val="305"/>
        </w:trPr>
        <w:tc>
          <w:tcPr>
            <w:tcW w:w="600" w:type="dxa"/>
            <w:tcBorders>
              <w:top w:val="nil"/>
              <w:left w:val="nil"/>
              <w:bottom w:val="nil"/>
              <w:right w:val="nil"/>
            </w:tcBorders>
            <w:noWrap/>
          </w:tcPr>
          <w:p w14:paraId="23AF76FF"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1D74C92A"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Some college</w:t>
            </w:r>
          </w:p>
        </w:tc>
        <w:tc>
          <w:tcPr>
            <w:tcW w:w="900" w:type="dxa"/>
            <w:tcBorders>
              <w:top w:val="nil"/>
              <w:left w:val="nil"/>
              <w:bottom w:val="nil"/>
              <w:right w:val="nil"/>
            </w:tcBorders>
            <w:noWrap/>
          </w:tcPr>
          <w:p w14:paraId="24561066" w14:textId="77777777" w:rsidR="00D25FA1" w:rsidRPr="005048F2" w:rsidRDefault="00973C4E" w:rsidP="00FD6881">
            <w:pPr>
              <w:autoSpaceDE w:val="0"/>
              <w:autoSpaceDN w:val="0"/>
              <w:adjustRightInd w:val="0"/>
              <w:spacing w:line="240" w:lineRule="auto"/>
              <w:ind w:firstLine="0"/>
              <w:jc w:val="right"/>
              <w:rPr>
                <w:color w:val="000000"/>
              </w:rPr>
            </w:pPr>
            <w:r>
              <w:rPr>
                <w:color w:val="000000"/>
              </w:rPr>
              <w:t>21.</w:t>
            </w:r>
            <w:r w:rsidR="00FD6881">
              <w:rPr>
                <w:color w:val="000000"/>
              </w:rPr>
              <w:t>6</w:t>
            </w:r>
            <w:r w:rsidR="00D25FA1" w:rsidRPr="005048F2">
              <w:rPr>
                <w:color w:val="000000"/>
              </w:rPr>
              <w:t>%</w:t>
            </w:r>
          </w:p>
        </w:tc>
        <w:tc>
          <w:tcPr>
            <w:tcW w:w="810" w:type="dxa"/>
            <w:tcBorders>
              <w:top w:val="nil"/>
              <w:left w:val="nil"/>
              <w:bottom w:val="nil"/>
              <w:right w:val="nil"/>
            </w:tcBorders>
            <w:noWrap/>
          </w:tcPr>
          <w:p w14:paraId="14BFDF1E"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729</w:t>
            </w:r>
            <w:r w:rsidR="003E2AAD" w:rsidRPr="005048F2">
              <w:rPr>
                <w:color w:val="000000"/>
                <w:vertAlign w:val="subscript"/>
              </w:rPr>
              <w:t>a</w:t>
            </w:r>
          </w:p>
        </w:tc>
        <w:tc>
          <w:tcPr>
            <w:tcW w:w="630" w:type="dxa"/>
            <w:tcBorders>
              <w:top w:val="nil"/>
              <w:left w:val="nil"/>
              <w:bottom w:val="nil"/>
              <w:right w:val="nil"/>
            </w:tcBorders>
            <w:noWrap/>
          </w:tcPr>
          <w:p w14:paraId="1FDF2F02"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501B208A" w14:textId="77777777" w:rsidR="00D25FA1" w:rsidRPr="005048F2" w:rsidRDefault="003E2AAD" w:rsidP="00FD6881">
            <w:pPr>
              <w:autoSpaceDE w:val="0"/>
              <w:autoSpaceDN w:val="0"/>
              <w:adjustRightInd w:val="0"/>
              <w:spacing w:line="240" w:lineRule="auto"/>
              <w:ind w:firstLine="0"/>
              <w:jc w:val="right"/>
              <w:rPr>
                <w:color w:val="000000"/>
              </w:rPr>
            </w:pPr>
            <w:r>
              <w:rPr>
                <w:color w:val="000000"/>
              </w:rPr>
              <w:t>16.</w:t>
            </w:r>
            <w:r w:rsidR="00FD6881">
              <w:rPr>
                <w:color w:val="000000"/>
              </w:rPr>
              <w:t>9</w:t>
            </w:r>
            <w:r w:rsidR="00D25FA1" w:rsidRPr="005048F2">
              <w:rPr>
                <w:color w:val="000000"/>
              </w:rPr>
              <w:t>%</w:t>
            </w:r>
          </w:p>
        </w:tc>
        <w:tc>
          <w:tcPr>
            <w:tcW w:w="900" w:type="dxa"/>
            <w:tcBorders>
              <w:top w:val="nil"/>
              <w:left w:val="nil"/>
              <w:bottom w:val="nil"/>
              <w:right w:val="nil"/>
            </w:tcBorders>
            <w:noWrap/>
          </w:tcPr>
          <w:p w14:paraId="3BBC2C8B"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395</w:t>
            </w:r>
            <w:r w:rsidR="003E2AAD" w:rsidRPr="005048F2">
              <w:rPr>
                <w:color w:val="000000"/>
                <w:vertAlign w:val="subscript"/>
              </w:rPr>
              <w:t>b</w:t>
            </w:r>
          </w:p>
        </w:tc>
      </w:tr>
      <w:tr w:rsidR="00D25FA1" w:rsidRPr="005048F2" w14:paraId="15E81D6C" w14:textId="77777777" w:rsidTr="00A87996">
        <w:trPr>
          <w:trHeight w:val="305"/>
        </w:trPr>
        <w:tc>
          <w:tcPr>
            <w:tcW w:w="600" w:type="dxa"/>
            <w:tcBorders>
              <w:top w:val="nil"/>
              <w:left w:val="nil"/>
              <w:bottom w:val="nil"/>
              <w:right w:val="nil"/>
            </w:tcBorders>
            <w:noWrap/>
          </w:tcPr>
          <w:p w14:paraId="1CA0FFB6"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677EA7D5"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Associate degree</w:t>
            </w:r>
          </w:p>
        </w:tc>
        <w:tc>
          <w:tcPr>
            <w:tcW w:w="900" w:type="dxa"/>
            <w:tcBorders>
              <w:top w:val="nil"/>
              <w:left w:val="nil"/>
              <w:bottom w:val="nil"/>
              <w:right w:val="nil"/>
            </w:tcBorders>
            <w:noWrap/>
          </w:tcPr>
          <w:p w14:paraId="00F9717F" w14:textId="77777777" w:rsidR="00D25FA1" w:rsidRPr="005048F2" w:rsidRDefault="00973C4E" w:rsidP="00FD6881">
            <w:pPr>
              <w:autoSpaceDE w:val="0"/>
              <w:autoSpaceDN w:val="0"/>
              <w:adjustRightInd w:val="0"/>
              <w:spacing w:line="240" w:lineRule="auto"/>
              <w:ind w:firstLine="0"/>
              <w:jc w:val="right"/>
              <w:rPr>
                <w:color w:val="000000"/>
              </w:rPr>
            </w:pPr>
            <w:r>
              <w:rPr>
                <w:color w:val="000000"/>
              </w:rPr>
              <w:t>14.</w:t>
            </w:r>
            <w:r w:rsidR="00FD6881">
              <w:rPr>
                <w:color w:val="000000"/>
              </w:rPr>
              <w:t>7</w:t>
            </w:r>
            <w:r w:rsidR="00D25FA1" w:rsidRPr="005048F2">
              <w:rPr>
                <w:color w:val="000000"/>
              </w:rPr>
              <w:t>%</w:t>
            </w:r>
          </w:p>
        </w:tc>
        <w:tc>
          <w:tcPr>
            <w:tcW w:w="810" w:type="dxa"/>
            <w:tcBorders>
              <w:top w:val="nil"/>
              <w:left w:val="nil"/>
              <w:bottom w:val="nil"/>
              <w:right w:val="nil"/>
            </w:tcBorders>
            <w:noWrap/>
          </w:tcPr>
          <w:p w14:paraId="7C83C3D0"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496</w:t>
            </w:r>
            <w:r w:rsidR="003E2AAD" w:rsidRPr="005048F2">
              <w:rPr>
                <w:color w:val="000000"/>
                <w:vertAlign w:val="subscript"/>
              </w:rPr>
              <w:t>a</w:t>
            </w:r>
          </w:p>
        </w:tc>
        <w:tc>
          <w:tcPr>
            <w:tcW w:w="630" w:type="dxa"/>
            <w:tcBorders>
              <w:top w:val="nil"/>
              <w:left w:val="nil"/>
              <w:bottom w:val="nil"/>
              <w:right w:val="nil"/>
            </w:tcBorders>
            <w:noWrap/>
          </w:tcPr>
          <w:p w14:paraId="65FC08FC"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10F18BAF"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8.3</w:t>
            </w:r>
            <w:r w:rsidR="00D25FA1" w:rsidRPr="005048F2">
              <w:rPr>
                <w:color w:val="000000"/>
              </w:rPr>
              <w:t>%</w:t>
            </w:r>
          </w:p>
        </w:tc>
        <w:tc>
          <w:tcPr>
            <w:tcW w:w="900" w:type="dxa"/>
            <w:tcBorders>
              <w:top w:val="nil"/>
              <w:left w:val="nil"/>
              <w:bottom w:val="nil"/>
              <w:right w:val="nil"/>
            </w:tcBorders>
            <w:noWrap/>
          </w:tcPr>
          <w:p w14:paraId="1D886DC7"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193</w:t>
            </w:r>
            <w:r w:rsidR="003E2AAD" w:rsidRPr="005048F2">
              <w:rPr>
                <w:color w:val="000000"/>
                <w:vertAlign w:val="subscript"/>
              </w:rPr>
              <w:t>b</w:t>
            </w:r>
          </w:p>
        </w:tc>
      </w:tr>
      <w:tr w:rsidR="00D25FA1" w:rsidRPr="005048F2" w14:paraId="7684ECA3" w14:textId="77777777" w:rsidTr="00A87996">
        <w:trPr>
          <w:trHeight w:val="305"/>
        </w:trPr>
        <w:tc>
          <w:tcPr>
            <w:tcW w:w="600" w:type="dxa"/>
            <w:tcBorders>
              <w:top w:val="nil"/>
              <w:left w:val="nil"/>
              <w:bottom w:val="nil"/>
              <w:right w:val="nil"/>
            </w:tcBorders>
            <w:noWrap/>
          </w:tcPr>
          <w:p w14:paraId="04BD7F92"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74D3B484"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Bachelors degree</w:t>
            </w:r>
          </w:p>
        </w:tc>
        <w:tc>
          <w:tcPr>
            <w:tcW w:w="900" w:type="dxa"/>
            <w:tcBorders>
              <w:top w:val="nil"/>
              <w:left w:val="nil"/>
              <w:bottom w:val="nil"/>
              <w:right w:val="nil"/>
            </w:tcBorders>
            <w:noWrap/>
          </w:tcPr>
          <w:p w14:paraId="78C119CB"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27.0</w:t>
            </w:r>
            <w:r w:rsidR="00D25FA1" w:rsidRPr="005048F2">
              <w:rPr>
                <w:color w:val="000000"/>
              </w:rPr>
              <w:t>%</w:t>
            </w:r>
          </w:p>
        </w:tc>
        <w:tc>
          <w:tcPr>
            <w:tcW w:w="810" w:type="dxa"/>
            <w:tcBorders>
              <w:top w:val="nil"/>
              <w:left w:val="nil"/>
              <w:bottom w:val="nil"/>
              <w:right w:val="nil"/>
            </w:tcBorders>
            <w:noWrap/>
          </w:tcPr>
          <w:p w14:paraId="23078C0A"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912</w:t>
            </w:r>
            <w:r w:rsidR="003E2AAD" w:rsidRPr="005048F2">
              <w:rPr>
                <w:color w:val="000000"/>
                <w:vertAlign w:val="subscript"/>
              </w:rPr>
              <w:t>a</w:t>
            </w:r>
          </w:p>
        </w:tc>
        <w:tc>
          <w:tcPr>
            <w:tcW w:w="630" w:type="dxa"/>
            <w:tcBorders>
              <w:top w:val="nil"/>
              <w:left w:val="nil"/>
              <w:bottom w:val="nil"/>
              <w:right w:val="nil"/>
            </w:tcBorders>
            <w:noWrap/>
          </w:tcPr>
          <w:p w14:paraId="739428E2"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15F14A5C" w14:textId="77777777" w:rsidR="00D25FA1" w:rsidRPr="005048F2" w:rsidRDefault="003E2AAD" w:rsidP="00FD6881">
            <w:pPr>
              <w:autoSpaceDE w:val="0"/>
              <w:autoSpaceDN w:val="0"/>
              <w:adjustRightInd w:val="0"/>
              <w:spacing w:line="240" w:lineRule="auto"/>
              <w:ind w:firstLine="0"/>
              <w:jc w:val="right"/>
              <w:rPr>
                <w:color w:val="000000"/>
              </w:rPr>
            </w:pPr>
            <w:r>
              <w:rPr>
                <w:color w:val="000000"/>
              </w:rPr>
              <w:t>23.</w:t>
            </w:r>
            <w:r w:rsidR="00FD6881">
              <w:rPr>
                <w:color w:val="000000"/>
              </w:rPr>
              <w:t>6</w:t>
            </w:r>
            <w:r w:rsidR="00D25FA1" w:rsidRPr="005048F2">
              <w:rPr>
                <w:color w:val="000000"/>
              </w:rPr>
              <w:t>%</w:t>
            </w:r>
          </w:p>
        </w:tc>
        <w:tc>
          <w:tcPr>
            <w:tcW w:w="900" w:type="dxa"/>
            <w:tcBorders>
              <w:top w:val="nil"/>
              <w:left w:val="nil"/>
              <w:bottom w:val="nil"/>
              <w:right w:val="nil"/>
            </w:tcBorders>
            <w:noWrap/>
          </w:tcPr>
          <w:p w14:paraId="64BE6065"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551</w:t>
            </w:r>
            <w:r w:rsidR="003E2AAD" w:rsidRPr="005048F2">
              <w:rPr>
                <w:color w:val="000000"/>
                <w:vertAlign w:val="subscript"/>
              </w:rPr>
              <w:t>b</w:t>
            </w:r>
          </w:p>
        </w:tc>
      </w:tr>
      <w:tr w:rsidR="00D25FA1" w:rsidRPr="005048F2" w14:paraId="029AC86E" w14:textId="77777777" w:rsidTr="00A87996">
        <w:trPr>
          <w:trHeight w:val="305"/>
        </w:trPr>
        <w:tc>
          <w:tcPr>
            <w:tcW w:w="600" w:type="dxa"/>
            <w:tcBorders>
              <w:top w:val="nil"/>
              <w:left w:val="nil"/>
              <w:bottom w:val="nil"/>
              <w:right w:val="nil"/>
            </w:tcBorders>
            <w:noWrap/>
          </w:tcPr>
          <w:p w14:paraId="64772345" w14:textId="77777777" w:rsidR="00D25FA1" w:rsidRPr="005048F2" w:rsidRDefault="00D25FA1" w:rsidP="00D25FA1">
            <w:pPr>
              <w:autoSpaceDE w:val="0"/>
              <w:autoSpaceDN w:val="0"/>
              <w:adjustRightInd w:val="0"/>
              <w:spacing w:line="240" w:lineRule="auto"/>
              <w:ind w:firstLine="0"/>
              <w:jc w:val="right"/>
              <w:rPr>
                <w:color w:val="000000"/>
              </w:rPr>
            </w:pPr>
          </w:p>
        </w:tc>
        <w:tc>
          <w:tcPr>
            <w:tcW w:w="3209" w:type="dxa"/>
            <w:tcBorders>
              <w:top w:val="nil"/>
              <w:left w:val="nil"/>
              <w:bottom w:val="nil"/>
              <w:right w:val="nil"/>
            </w:tcBorders>
            <w:noWrap/>
          </w:tcPr>
          <w:p w14:paraId="49910A39"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Masters degree</w:t>
            </w:r>
          </w:p>
        </w:tc>
        <w:tc>
          <w:tcPr>
            <w:tcW w:w="900" w:type="dxa"/>
            <w:tcBorders>
              <w:top w:val="nil"/>
              <w:left w:val="nil"/>
              <w:bottom w:val="nil"/>
              <w:right w:val="nil"/>
            </w:tcBorders>
            <w:noWrap/>
          </w:tcPr>
          <w:p w14:paraId="5C4205B8" w14:textId="77777777" w:rsidR="00D25FA1" w:rsidRPr="005048F2" w:rsidRDefault="00973C4E" w:rsidP="00FD6881">
            <w:pPr>
              <w:autoSpaceDE w:val="0"/>
              <w:autoSpaceDN w:val="0"/>
              <w:adjustRightInd w:val="0"/>
              <w:spacing w:line="240" w:lineRule="auto"/>
              <w:ind w:firstLine="0"/>
              <w:jc w:val="right"/>
              <w:rPr>
                <w:color w:val="000000"/>
              </w:rPr>
            </w:pPr>
            <w:r>
              <w:rPr>
                <w:color w:val="000000"/>
              </w:rPr>
              <w:t>14.</w:t>
            </w:r>
            <w:r w:rsidR="00FD6881">
              <w:rPr>
                <w:color w:val="000000"/>
              </w:rPr>
              <w:t>1</w:t>
            </w:r>
            <w:r w:rsidR="00D25FA1" w:rsidRPr="005048F2">
              <w:rPr>
                <w:color w:val="000000"/>
              </w:rPr>
              <w:t>%</w:t>
            </w:r>
          </w:p>
        </w:tc>
        <w:tc>
          <w:tcPr>
            <w:tcW w:w="810" w:type="dxa"/>
            <w:tcBorders>
              <w:top w:val="nil"/>
              <w:left w:val="nil"/>
              <w:bottom w:val="nil"/>
              <w:right w:val="nil"/>
            </w:tcBorders>
            <w:noWrap/>
          </w:tcPr>
          <w:p w14:paraId="6BE25BF4"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476</w:t>
            </w:r>
            <w:r w:rsidR="003E2AAD" w:rsidRPr="005048F2">
              <w:rPr>
                <w:color w:val="000000"/>
                <w:vertAlign w:val="subscript"/>
              </w:rPr>
              <w:t>a</w:t>
            </w:r>
          </w:p>
        </w:tc>
        <w:tc>
          <w:tcPr>
            <w:tcW w:w="630" w:type="dxa"/>
            <w:tcBorders>
              <w:top w:val="nil"/>
              <w:left w:val="nil"/>
              <w:bottom w:val="nil"/>
              <w:right w:val="nil"/>
            </w:tcBorders>
            <w:noWrap/>
          </w:tcPr>
          <w:p w14:paraId="65EE7FFF"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09B14A42"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18.9</w:t>
            </w:r>
            <w:r w:rsidR="00D25FA1" w:rsidRPr="005048F2">
              <w:rPr>
                <w:color w:val="000000"/>
              </w:rPr>
              <w:t>%</w:t>
            </w:r>
          </w:p>
        </w:tc>
        <w:tc>
          <w:tcPr>
            <w:tcW w:w="900" w:type="dxa"/>
            <w:tcBorders>
              <w:top w:val="nil"/>
              <w:left w:val="nil"/>
              <w:bottom w:val="nil"/>
              <w:right w:val="nil"/>
            </w:tcBorders>
            <w:noWrap/>
          </w:tcPr>
          <w:p w14:paraId="717A79AD"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442</w:t>
            </w:r>
            <w:r w:rsidR="003E2AAD" w:rsidRPr="005048F2">
              <w:rPr>
                <w:color w:val="000000"/>
                <w:vertAlign w:val="subscript"/>
              </w:rPr>
              <w:t>b</w:t>
            </w:r>
          </w:p>
        </w:tc>
      </w:tr>
      <w:tr w:rsidR="00D25FA1" w:rsidRPr="005048F2" w14:paraId="2FC397B0" w14:textId="77777777" w:rsidTr="00A87996">
        <w:trPr>
          <w:trHeight w:val="305"/>
        </w:trPr>
        <w:tc>
          <w:tcPr>
            <w:tcW w:w="600" w:type="dxa"/>
            <w:tcBorders>
              <w:top w:val="nil"/>
              <w:left w:val="nil"/>
              <w:bottom w:val="nil"/>
              <w:right w:val="nil"/>
            </w:tcBorders>
            <w:noWrap/>
          </w:tcPr>
          <w:p w14:paraId="0707CAB4" w14:textId="77777777" w:rsidR="00D25FA1" w:rsidRPr="005048F2" w:rsidRDefault="00D25FA1" w:rsidP="00D25FA1">
            <w:pPr>
              <w:autoSpaceDE w:val="0"/>
              <w:autoSpaceDN w:val="0"/>
              <w:adjustRightInd w:val="0"/>
              <w:spacing w:line="240" w:lineRule="auto"/>
              <w:ind w:firstLine="0"/>
              <w:jc w:val="right"/>
              <w:rPr>
                <w:rFonts w:cs="Calibri"/>
                <w:color w:val="000000"/>
              </w:rPr>
            </w:pPr>
          </w:p>
        </w:tc>
        <w:tc>
          <w:tcPr>
            <w:tcW w:w="3209" w:type="dxa"/>
            <w:tcBorders>
              <w:top w:val="nil"/>
              <w:left w:val="nil"/>
              <w:bottom w:val="nil"/>
              <w:right w:val="nil"/>
            </w:tcBorders>
            <w:noWrap/>
          </w:tcPr>
          <w:p w14:paraId="50F80B59" w14:textId="77777777" w:rsidR="00D25FA1" w:rsidRPr="005048F2" w:rsidRDefault="00D25FA1" w:rsidP="00D25FA1">
            <w:pPr>
              <w:autoSpaceDE w:val="0"/>
              <w:autoSpaceDN w:val="0"/>
              <w:adjustRightInd w:val="0"/>
              <w:spacing w:line="240" w:lineRule="auto"/>
              <w:ind w:firstLine="0"/>
              <w:rPr>
                <w:color w:val="000000"/>
              </w:rPr>
            </w:pPr>
            <w:r w:rsidRPr="005048F2">
              <w:rPr>
                <w:color w:val="000000"/>
              </w:rPr>
              <w:t>Doctoral degree</w:t>
            </w:r>
          </w:p>
        </w:tc>
        <w:tc>
          <w:tcPr>
            <w:tcW w:w="900" w:type="dxa"/>
            <w:tcBorders>
              <w:top w:val="nil"/>
              <w:left w:val="nil"/>
              <w:bottom w:val="nil"/>
              <w:right w:val="nil"/>
            </w:tcBorders>
            <w:noWrap/>
          </w:tcPr>
          <w:p w14:paraId="56D82964" w14:textId="77777777" w:rsidR="00D25FA1" w:rsidRPr="005048F2" w:rsidRDefault="00973C4E" w:rsidP="00FD6881">
            <w:pPr>
              <w:autoSpaceDE w:val="0"/>
              <w:autoSpaceDN w:val="0"/>
              <w:adjustRightInd w:val="0"/>
              <w:spacing w:line="240" w:lineRule="auto"/>
              <w:ind w:firstLine="0"/>
              <w:jc w:val="right"/>
              <w:rPr>
                <w:color w:val="000000"/>
              </w:rPr>
            </w:pPr>
            <w:r>
              <w:rPr>
                <w:color w:val="000000"/>
              </w:rPr>
              <w:t>3.</w:t>
            </w:r>
            <w:r w:rsidR="00FD6881">
              <w:rPr>
                <w:color w:val="000000"/>
              </w:rPr>
              <w:t>2</w:t>
            </w:r>
            <w:r w:rsidR="00D25FA1" w:rsidRPr="005048F2">
              <w:rPr>
                <w:color w:val="000000"/>
              </w:rPr>
              <w:t>%</w:t>
            </w:r>
          </w:p>
        </w:tc>
        <w:tc>
          <w:tcPr>
            <w:tcW w:w="810" w:type="dxa"/>
            <w:tcBorders>
              <w:top w:val="nil"/>
              <w:left w:val="nil"/>
              <w:bottom w:val="nil"/>
              <w:right w:val="nil"/>
            </w:tcBorders>
            <w:noWrap/>
          </w:tcPr>
          <w:p w14:paraId="3DB8CA9A"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108</w:t>
            </w:r>
            <w:r w:rsidR="003E2AAD" w:rsidRPr="005048F2">
              <w:rPr>
                <w:color w:val="000000"/>
                <w:vertAlign w:val="subscript"/>
              </w:rPr>
              <w:t>a</w:t>
            </w:r>
          </w:p>
        </w:tc>
        <w:tc>
          <w:tcPr>
            <w:tcW w:w="630" w:type="dxa"/>
            <w:tcBorders>
              <w:top w:val="nil"/>
              <w:left w:val="nil"/>
              <w:bottom w:val="nil"/>
              <w:right w:val="nil"/>
            </w:tcBorders>
            <w:noWrap/>
          </w:tcPr>
          <w:p w14:paraId="754157A6" w14:textId="77777777" w:rsidR="00D25FA1" w:rsidRPr="005048F2" w:rsidRDefault="00D25FA1" w:rsidP="00D25FA1">
            <w:pPr>
              <w:autoSpaceDE w:val="0"/>
              <w:autoSpaceDN w:val="0"/>
              <w:adjustRightInd w:val="0"/>
              <w:spacing w:line="240" w:lineRule="auto"/>
              <w:ind w:firstLine="0"/>
              <w:jc w:val="center"/>
              <w:rPr>
                <w:color w:val="000000"/>
              </w:rPr>
            </w:pPr>
          </w:p>
        </w:tc>
        <w:tc>
          <w:tcPr>
            <w:tcW w:w="810" w:type="dxa"/>
            <w:tcBorders>
              <w:top w:val="nil"/>
              <w:left w:val="nil"/>
              <w:bottom w:val="nil"/>
              <w:right w:val="nil"/>
            </w:tcBorders>
            <w:noWrap/>
          </w:tcPr>
          <w:p w14:paraId="66CC761C"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15.6</w:t>
            </w:r>
            <w:r w:rsidR="00D25FA1" w:rsidRPr="005048F2">
              <w:rPr>
                <w:color w:val="000000"/>
              </w:rPr>
              <w:t>%</w:t>
            </w:r>
          </w:p>
        </w:tc>
        <w:tc>
          <w:tcPr>
            <w:tcW w:w="900" w:type="dxa"/>
            <w:tcBorders>
              <w:top w:val="nil"/>
              <w:left w:val="nil"/>
              <w:bottom w:val="nil"/>
              <w:right w:val="nil"/>
            </w:tcBorders>
            <w:noWrap/>
          </w:tcPr>
          <w:p w14:paraId="4CDC0549" w14:textId="77777777" w:rsidR="00D25FA1" w:rsidRPr="005048F2" w:rsidRDefault="00FD6881" w:rsidP="00973C4E">
            <w:pPr>
              <w:autoSpaceDE w:val="0"/>
              <w:autoSpaceDN w:val="0"/>
              <w:adjustRightInd w:val="0"/>
              <w:spacing w:line="240" w:lineRule="auto"/>
              <w:ind w:firstLine="0"/>
              <w:jc w:val="right"/>
              <w:rPr>
                <w:color w:val="000000"/>
              </w:rPr>
            </w:pPr>
            <w:r>
              <w:rPr>
                <w:color w:val="000000"/>
              </w:rPr>
              <w:t>365</w:t>
            </w:r>
            <w:r w:rsidR="003E2AAD" w:rsidRPr="005048F2">
              <w:rPr>
                <w:color w:val="000000"/>
                <w:vertAlign w:val="subscript"/>
              </w:rPr>
              <w:t>b</w:t>
            </w:r>
          </w:p>
        </w:tc>
      </w:tr>
      <w:tr w:rsidR="00D25FA1" w:rsidRPr="005048F2" w14:paraId="547F8AC3" w14:textId="77777777" w:rsidTr="00A87996">
        <w:trPr>
          <w:trHeight w:val="377"/>
        </w:trPr>
        <w:tc>
          <w:tcPr>
            <w:tcW w:w="3809" w:type="dxa"/>
            <w:gridSpan w:val="2"/>
            <w:tcBorders>
              <w:top w:val="nil"/>
              <w:left w:val="nil"/>
              <w:bottom w:val="single" w:sz="6" w:space="0" w:color="auto"/>
              <w:right w:val="nil"/>
            </w:tcBorders>
            <w:noWrap/>
            <w:vAlign w:val="center"/>
          </w:tcPr>
          <w:p w14:paraId="7D9F106D" w14:textId="77777777" w:rsidR="00D25FA1" w:rsidRPr="005048F2" w:rsidRDefault="00D25FA1" w:rsidP="00611F30">
            <w:pPr>
              <w:autoSpaceDE w:val="0"/>
              <w:autoSpaceDN w:val="0"/>
              <w:adjustRightInd w:val="0"/>
              <w:spacing w:line="240" w:lineRule="auto"/>
              <w:ind w:firstLine="0"/>
              <w:rPr>
                <w:rFonts w:cs="Calibri"/>
                <w:color w:val="000000"/>
              </w:rPr>
            </w:pPr>
            <w:r w:rsidRPr="005048F2">
              <w:rPr>
                <w:rFonts w:cs="Calibri"/>
                <w:color w:val="000000"/>
              </w:rPr>
              <w:t>Total</w:t>
            </w:r>
            <w:r w:rsidRPr="005048F2">
              <w:rPr>
                <w:rFonts w:cs="Calibri"/>
                <w:i/>
                <w:iCs/>
                <w:color w:val="000000"/>
              </w:rPr>
              <w:t xml:space="preserve"> n</w:t>
            </w:r>
            <w:r w:rsidRPr="005048F2">
              <w:rPr>
                <w:rFonts w:cs="Calibri"/>
                <w:color w:val="000000"/>
              </w:rPr>
              <w:t xml:space="preserve"> </w:t>
            </w:r>
          </w:p>
        </w:tc>
        <w:tc>
          <w:tcPr>
            <w:tcW w:w="1710" w:type="dxa"/>
            <w:gridSpan w:val="2"/>
            <w:tcBorders>
              <w:top w:val="nil"/>
              <w:left w:val="nil"/>
              <w:bottom w:val="single" w:sz="6" w:space="0" w:color="auto"/>
              <w:right w:val="nil"/>
            </w:tcBorders>
            <w:noWrap/>
            <w:vAlign w:val="center"/>
          </w:tcPr>
          <w:p w14:paraId="5A462F77" w14:textId="77777777" w:rsidR="00D25FA1" w:rsidRPr="005048F2" w:rsidRDefault="00FD6881">
            <w:pPr>
              <w:autoSpaceDE w:val="0"/>
              <w:autoSpaceDN w:val="0"/>
              <w:adjustRightInd w:val="0"/>
              <w:spacing w:line="240" w:lineRule="auto"/>
              <w:ind w:firstLine="0"/>
              <w:jc w:val="center"/>
              <w:rPr>
                <w:color w:val="000000"/>
              </w:rPr>
            </w:pPr>
            <w:r>
              <w:rPr>
                <w:color w:val="000000"/>
              </w:rPr>
              <w:t>3382</w:t>
            </w:r>
          </w:p>
        </w:tc>
        <w:tc>
          <w:tcPr>
            <w:tcW w:w="630" w:type="dxa"/>
            <w:tcBorders>
              <w:top w:val="nil"/>
              <w:left w:val="nil"/>
              <w:bottom w:val="single" w:sz="6" w:space="0" w:color="auto"/>
              <w:right w:val="nil"/>
            </w:tcBorders>
            <w:noWrap/>
          </w:tcPr>
          <w:p w14:paraId="5197CA76" w14:textId="77777777" w:rsidR="00D25FA1" w:rsidRPr="005048F2" w:rsidRDefault="00D25FA1" w:rsidP="00D25FA1">
            <w:pPr>
              <w:autoSpaceDE w:val="0"/>
              <w:autoSpaceDN w:val="0"/>
              <w:adjustRightInd w:val="0"/>
              <w:spacing w:line="240" w:lineRule="auto"/>
              <w:ind w:firstLine="0"/>
              <w:jc w:val="center"/>
              <w:rPr>
                <w:color w:val="000000"/>
              </w:rPr>
            </w:pPr>
          </w:p>
        </w:tc>
        <w:tc>
          <w:tcPr>
            <w:tcW w:w="1710" w:type="dxa"/>
            <w:gridSpan w:val="2"/>
            <w:tcBorders>
              <w:top w:val="nil"/>
              <w:left w:val="nil"/>
              <w:bottom w:val="single" w:sz="6" w:space="0" w:color="auto"/>
              <w:right w:val="nil"/>
            </w:tcBorders>
            <w:noWrap/>
            <w:vAlign w:val="center"/>
          </w:tcPr>
          <w:p w14:paraId="473EEFBA" w14:textId="77777777" w:rsidR="00D25FA1" w:rsidRPr="005048F2" w:rsidRDefault="00FD6881" w:rsidP="00611F30">
            <w:pPr>
              <w:autoSpaceDE w:val="0"/>
              <w:autoSpaceDN w:val="0"/>
              <w:adjustRightInd w:val="0"/>
              <w:spacing w:line="240" w:lineRule="auto"/>
              <w:ind w:firstLine="0"/>
              <w:jc w:val="center"/>
              <w:rPr>
                <w:color w:val="000000"/>
              </w:rPr>
            </w:pPr>
            <w:r>
              <w:rPr>
                <w:color w:val="000000"/>
              </w:rPr>
              <w:t>2338</w:t>
            </w:r>
          </w:p>
        </w:tc>
      </w:tr>
      <w:tr w:rsidR="00D25FA1" w:rsidRPr="005048F2" w14:paraId="2DED36B9" w14:textId="77777777" w:rsidTr="00A87996">
        <w:trPr>
          <w:trHeight w:val="2004"/>
        </w:trPr>
        <w:tc>
          <w:tcPr>
            <w:tcW w:w="7859" w:type="dxa"/>
            <w:gridSpan w:val="7"/>
            <w:tcBorders>
              <w:top w:val="nil"/>
              <w:left w:val="nil"/>
              <w:bottom w:val="nil"/>
              <w:right w:val="nil"/>
            </w:tcBorders>
            <w:noWrap/>
          </w:tcPr>
          <w:p w14:paraId="3BFB2CAA" w14:textId="77777777" w:rsidR="00D25FA1" w:rsidRPr="005048F2" w:rsidRDefault="00D25FA1" w:rsidP="004A6889">
            <w:pPr>
              <w:autoSpaceDE w:val="0"/>
              <w:autoSpaceDN w:val="0"/>
              <w:adjustRightInd w:val="0"/>
              <w:spacing w:line="240" w:lineRule="auto"/>
              <w:ind w:firstLine="0"/>
              <w:rPr>
                <w:color w:val="000000"/>
              </w:rPr>
            </w:pPr>
            <w:r w:rsidRPr="005048F2">
              <w:rPr>
                <w:color w:val="000000"/>
              </w:rPr>
              <w:t>Note: Values in the same row not sharing the same subscript are significantly different at p &lt; .05 in the two-sided test of equality for column proportions. Tests assume equal variances.</w:t>
            </w:r>
            <w:r w:rsidR="00E702AD">
              <w:rPr>
                <w:color w:val="000000"/>
              </w:rPr>
              <w:t xml:space="preserve"> </w:t>
            </w:r>
          </w:p>
        </w:tc>
      </w:tr>
    </w:tbl>
    <w:p w14:paraId="00591D32" w14:textId="77777777" w:rsidR="00D25FA1" w:rsidRDefault="00D25FA1" w:rsidP="00511F5D">
      <w:pPr>
        <w:sectPr w:rsidR="00D25FA1" w:rsidSect="007F776F">
          <w:pgSz w:w="12240" w:h="15840"/>
          <w:pgMar w:top="1440" w:right="1440" w:bottom="1440" w:left="2160" w:header="720" w:footer="720" w:gutter="0"/>
          <w:cols w:space="720"/>
          <w:noEndnote/>
          <w:titlePg/>
        </w:sectPr>
      </w:pPr>
    </w:p>
    <w:tbl>
      <w:tblPr>
        <w:tblW w:w="0" w:type="auto"/>
        <w:jc w:val="center"/>
        <w:tblLayout w:type="fixed"/>
        <w:tblCellMar>
          <w:left w:w="29" w:type="dxa"/>
          <w:right w:w="29" w:type="dxa"/>
        </w:tblCellMar>
        <w:tblLook w:val="04A0" w:firstRow="1" w:lastRow="0" w:firstColumn="1" w:lastColumn="0" w:noHBand="0" w:noVBand="1"/>
      </w:tblPr>
      <w:tblGrid>
        <w:gridCol w:w="3444"/>
        <w:gridCol w:w="832"/>
        <w:gridCol w:w="1766"/>
        <w:gridCol w:w="594"/>
        <w:gridCol w:w="118"/>
        <w:gridCol w:w="832"/>
        <w:gridCol w:w="1766"/>
        <w:gridCol w:w="487"/>
        <w:gridCol w:w="106"/>
        <w:gridCol w:w="832"/>
        <w:gridCol w:w="1672"/>
        <w:gridCol w:w="569"/>
      </w:tblGrid>
      <w:tr w:rsidR="00611F30" w:rsidRPr="00611F30" w14:paraId="1921997E" w14:textId="77777777" w:rsidTr="004E0FDA">
        <w:trPr>
          <w:trHeight w:val="1035"/>
          <w:jc w:val="center"/>
        </w:trPr>
        <w:tc>
          <w:tcPr>
            <w:tcW w:w="13018" w:type="dxa"/>
            <w:gridSpan w:val="12"/>
            <w:tcBorders>
              <w:top w:val="nil"/>
              <w:left w:val="nil"/>
              <w:bottom w:val="single" w:sz="4" w:space="0" w:color="auto"/>
              <w:right w:val="nil"/>
            </w:tcBorders>
            <w:shd w:val="clear" w:color="auto" w:fill="auto"/>
            <w:vAlign w:val="center"/>
            <w:hideMark/>
          </w:tcPr>
          <w:p w14:paraId="75C1AD4D" w14:textId="77777777" w:rsidR="00611F30" w:rsidRPr="00611F30" w:rsidRDefault="00611F30" w:rsidP="00611F30">
            <w:pPr>
              <w:autoSpaceDE w:val="0"/>
              <w:autoSpaceDN w:val="0"/>
              <w:adjustRightInd w:val="0"/>
              <w:spacing w:line="240" w:lineRule="auto"/>
              <w:ind w:firstLine="0"/>
              <w:outlineLvl w:val="1"/>
              <w:rPr>
                <w:rFonts w:cs="Calibri"/>
                <w:color w:val="000000"/>
              </w:rPr>
            </w:pPr>
            <w:r w:rsidRPr="00611F30">
              <w:rPr>
                <w:rFonts w:cs="Calibri"/>
                <w:color w:val="000000"/>
              </w:rPr>
              <w:t>Table 2.</w:t>
            </w:r>
          </w:p>
          <w:p w14:paraId="22224E46" w14:textId="77777777" w:rsidR="00611F30" w:rsidRPr="00611F30" w:rsidRDefault="00611F30" w:rsidP="00611F30">
            <w:pPr>
              <w:spacing w:line="240" w:lineRule="auto"/>
              <w:ind w:firstLine="0"/>
              <w:rPr>
                <w:rFonts w:eastAsia="Times New Roman"/>
                <w:color w:val="000000"/>
              </w:rPr>
            </w:pPr>
            <w:r w:rsidRPr="00611F30">
              <w:rPr>
                <w:rFonts w:eastAsia="Times New Roman"/>
                <w:i/>
                <w:iCs/>
                <w:color w:val="000000"/>
              </w:rPr>
              <w:t>Standardized Effects with Bias-Corrected Bootstrap 95% Confidence Intervals for All Paths in the Model Shown in Figure 2</w:t>
            </w:r>
          </w:p>
        </w:tc>
      </w:tr>
      <w:tr w:rsidR="00611F30" w:rsidRPr="00611F30" w14:paraId="485FD06B" w14:textId="77777777" w:rsidTr="004E0FDA">
        <w:trPr>
          <w:trHeight w:val="315"/>
          <w:jc w:val="center"/>
        </w:trPr>
        <w:tc>
          <w:tcPr>
            <w:tcW w:w="3444" w:type="dxa"/>
            <w:vMerge w:val="restart"/>
            <w:tcBorders>
              <w:top w:val="nil"/>
              <w:left w:val="nil"/>
              <w:bottom w:val="single" w:sz="4" w:space="0" w:color="auto"/>
              <w:right w:val="nil"/>
            </w:tcBorders>
            <w:shd w:val="clear" w:color="auto" w:fill="auto"/>
            <w:vAlign w:val="bottom"/>
            <w:hideMark/>
          </w:tcPr>
          <w:p w14:paraId="390A23E2"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Final variable in the path</w:t>
            </w:r>
          </w:p>
        </w:tc>
        <w:tc>
          <w:tcPr>
            <w:tcW w:w="9574" w:type="dxa"/>
            <w:gridSpan w:val="11"/>
            <w:tcBorders>
              <w:top w:val="single" w:sz="4" w:space="0" w:color="auto"/>
              <w:left w:val="nil"/>
              <w:bottom w:val="single" w:sz="4" w:space="0" w:color="auto"/>
              <w:right w:val="nil"/>
            </w:tcBorders>
            <w:shd w:val="clear" w:color="auto" w:fill="auto"/>
            <w:noWrap/>
            <w:vAlign w:val="center"/>
            <w:hideMark/>
          </w:tcPr>
          <w:p w14:paraId="550F55EA"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 xml:space="preserve">Initial variable in the path </w:t>
            </w:r>
          </w:p>
        </w:tc>
      </w:tr>
      <w:tr w:rsidR="00611F30" w:rsidRPr="00611F30" w14:paraId="6D3C61B7" w14:textId="77777777" w:rsidTr="004E0FDA">
        <w:trPr>
          <w:trHeight w:val="315"/>
          <w:jc w:val="center"/>
        </w:trPr>
        <w:tc>
          <w:tcPr>
            <w:tcW w:w="3444" w:type="dxa"/>
            <w:vMerge/>
            <w:tcBorders>
              <w:left w:val="nil"/>
              <w:bottom w:val="single" w:sz="4" w:space="0" w:color="auto"/>
              <w:right w:val="nil"/>
            </w:tcBorders>
            <w:vAlign w:val="center"/>
            <w:hideMark/>
          </w:tcPr>
          <w:p w14:paraId="1ECB6D9E" w14:textId="77777777" w:rsidR="00611F30" w:rsidRPr="00611F30" w:rsidRDefault="00611F30" w:rsidP="00611F30">
            <w:pPr>
              <w:spacing w:line="240" w:lineRule="auto"/>
              <w:ind w:firstLine="0"/>
              <w:rPr>
                <w:rFonts w:eastAsia="Times New Roman"/>
                <w:color w:val="000000"/>
              </w:rPr>
            </w:pPr>
          </w:p>
        </w:tc>
        <w:tc>
          <w:tcPr>
            <w:tcW w:w="3192" w:type="dxa"/>
            <w:gridSpan w:val="3"/>
            <w:tcBorders>
              <w:top w:val="single" w:sz="4" w:space="0" w:color="auto"/>
              <w:left w:val="nil"/>
              <w:bottom w:val="single" w:sz="4" w:space="0" w:color="auto"/>
              <w:right w:val="nil"/>
            </w:tcBorders>
            <w:shd w:val="clear" w:color="auto" w:fill="auto"/>
            <w:noWrap/>
            <w:vAlign w:val="center"/>
            <w:hideMark/>
          </w:tcPr>
          <w:p w14:paraId="7D390A94"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Spiritual Intimacy</w:t>
            </w:r>
          </w:p>
        </w:tc>
        <w:tc>
          <w:tcPr>
            <w:tcW w:w="118" w:type="dxa"/>
            <w:tcBorders>
              <w:left w:val="nil"/>
              <w:right w:val="nil"/>
            </w:tcBorders>
            <w:shd w:val="clear" w:color="auto" w:fill="auto"/>
            <w:noWrap/>
            <w:vAlign w:val="bottom"/>
            <w:hideMark/>
          </w:tcPr>
          <w:p w14:paraId="1057DB36"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w:t>
            </w:r>
          </w:p>
        </w:tc>
        <w:tc>
          <w:tcPr>
            <w:tcW w:w="3085" w:type="dxa"/>
            <w:gridSpan w:val="3"/>
            <w:tcBorders>
              <w:top w:val="single" w:sz="4" w:space="0" w:color="auto"/>
              <w:left w:val="nil"/>
              <w:bottom w:val="single" w:sz="4" w:space="0" w:color="auto"/>
              <w:right w:val="nil"/>
            </w:tcBorders>
            <w:shd w:val="clear" w:color="auto" w:fill="auto"/>
            <w:noWrap/>
            <w:vAlign w:val="center"/>
            <w:hideMark/>
          </w:tcPr>
          <w:p w14:paraId="15815B72"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Spiritual Meaning</w:t>
            </w:r>
          </w:p>
        </w:tc>
        <w:tc>
          <w:tcPr>
            <w:tcW w:w="106" w:type="dxa"/>
            <w:tcBorders>
              <w:left w:val="nil"/>
              <w:right w:val="nil"/>
            </w:tcBorders>
            <w:shd w:val="clear" w:color="auto" w:fill="auto"/>
            <w:noWrap/>
            <w:vAlign w:val="center"/>
            <w:hideMark/>
          </w:tcPr>
          <w:p w14:paraId="1E9DDA11"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 </w:t>
            </w:r>
          </w:p>
        </w:tc>
        <w:tc>
          <w:tcPr>
            <w:tcW w:w="3073" w:type="dxa"/>
            <w:gridSpan w:val="3"/>
            <w:tcBorders>
              <w:top w:val="single" w:sz="4" w:space="0" w:color="auto"/>
              <w:left w:val="nil"/>
              <w:bottom w:val="single" w:sz="4" w:space="0" w:color="auto"/>
              <w:right w:val="nil"/>
            </w:tcBorders>
            <w:shd w:val="clear" w:color="auto" w:fill="auto"/>
            <w:noWrap/>
            <w:vAlign w:val="bottom"/>
            <w:hideMark/>
          </w:tcPr>
          <w:p w14:paraId="28C373C0" w14:textId="77777777" w:rsidR="00611F30" w:rsidRPr="00611F30" w:rsidRDefault="004120A5" w:rsidP="00611F30">
            <w:pPr>
              <w:spacing w:line="240" w:lineRule="auto"/>
              <w:ind w:firstLine="0"/>
              <w:jc w:val="center"/>
              <w:rPr>
                <w:rFonts w:eastAsia="Times New Roman"/>
                <w:color w:val="000000"/>
              </w:rPr>
            </w:pPr>
            <w:r>
              <w:rPr>
                <w:rFonts w:eastAsia="Times New Roman"/>
                <w:color w:val="000000"/>
              </w:rPr>
              <w:t>Marital</w:t>
            </w:r>
            <w:r w:rsidRPr="00611F30">
              <w:rPr>
                <w:rFonts w:eastAsia="Times New Roman"/>
                <w:color w:val="000000"/>
              </w:rPr>
              <w:t xml:space="preserve"> </w:t>
            </w:r>
            <w:r w:rsidR="00611F30" w:rsidRPr="00611F30">
              <w:rPr>
                <w:rFonts w:eastAsia="Times New Roman"/>
                <w:color w:val="000000"/>
              </w:rPr>
              <w:t>Intimacy</w:t>
            </w:r>
          </w:p>
        </w:tc>
      </w:tr>
      <w:tr w:rsidR="004E0FDA" w:rsidRPr="00611F30" w14:paraId="35BD9747" w14:textId="77777777" w:rsidTr="004E0FDA">
        <w:trPr>
          <w:trHeight w:val="315"/>
          <w:jc w:val="center"/>
        </w:trPr>
        <w:tc>
          <w:tcPr>
            <w:tcW w:w="3444" w:type="dxa"/>
            <w:vMerge/>
            <w:tcBorders>
              <w:left w:val="nil"/>
              <w:bottom w:val="single" w:sz="4" w:space="0" w:color="auto"/>
              <w:right w:val="nil"/>
            </w:tcBorders>
            <w:shd w:val="clear" w:color="auto" w:fill="auto"/>
            <w:vAlign w:val="bottom"/>
            <w:hideMark/>
          </w:tcPr>
          <w:p w14:paraId="407DA8EF"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single" w:sz="4" w:space="0" w:color="auto"/>
              <w:right w:val="nil"/>
            </w:tcBorders>
            <w:shd w:val="clear" w:color="auto" w:fill="auto"/>
            <w:vAlign w:val="center"/>
            <w:hideMark/>
          </w:tcPr>
          <w:p w14:paraId="2FC6B19E"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PC</w:t>
            </w:r>
          </w:p>
        </w:tc>
        <w:tc>
          <w:tcPr>
            <w:tcW w:w="1766" w:type="dxa"/>
            <w:tcBorders>
              <w:top w:val="nil"/>
              <w:left w:val="nil"/>
              <w:bottom w:val="single" w:sz="4" w:space="0" w:color="auto"/>
              <w:right w:val="nil"/>
            </w:tcBorders>
            <w:shd w:val="clear" w:color="auto" w:fill="auto"/>
            <w:vAlign w:val="center"/>
            <w:hideMark/>
          </w:tcPr>
          <w:p w14:paraId="7498B73D"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95% CI</w:t>
            </w:r>
          </w:p>
        </w:tc>
        <w:tc>
          <w:tcPr>
            <w:tcW w:w="594" w:type="dxa"/>
            <w:tcBorders>
              <w:top w:val="nil"/>
              <w:left w:val="nil"/>
              <w:bottom w:val="single" w:sz="4" w:space="0" w:color="auto"/>
              <w:right w:val="nil"/>
            </w:tcBorders>
            <w:shd w:val="clear" w:color="auto" w:fill="auto"/>
            <w:noWrap/>
            <w:vAlign w:val="bottom"/>
            <w:hideMark/>
          </w:tcPr>
          <w:p w14:paraId="21BA8BE2"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i/>
                <w:iCs/>
                <w:color w:val="000000"/>
              </w:rPr>
              <w:t>p</w:t>
            </w:r>
            <w:r w:rsidRPr="00611F30">
              <w:rPr>
                <w:rFonts w:eastAsia="Times New Roman"/>
                <w:color w:val="000000"/>
              </w:rPr>
              <w:t xml:space="preserve"> </w:t>
            </w:r>
          </w:p>
        </w:tc>
        <w:tc>
          <w:tcPr>
            <w:tcW w:w="118" w:type="dxa"/>
            <w:tcBorders>
              <w:top w:val="nil"/>
              <w:left w:val="nil"/>
              <w:bottom w:val="single" w:sz="4" w:space="0" w:color="auto"/>
              <w:right w:val="nil"/>
            </w:tcBorders>
            <w:shd w:val="clear" w:color="auto" w:fill="auto"/>
            <w:noWrap/>
            <w:vAlign w:val="bottom"/>
            <w:hideMark/>
          </w:tcPr>
          <w:p w14:paraId="0C952629"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single" w:sz="4" w:space="0" w:color="auto"/>
              <w:right w:val="nil"/>
            </w:tcBorders>
            <w:shd w:val="clear" w:color="auto" w:fill="auto"/>
            <w:vAlign w:val="center"/>
            <w:hideMark/>
          </w:tcPr>
          <w:p w14:paraId="50E5AA31"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PC</w:t>
            </w:r>
          </w:p>
        </w:tc>
        <w:tc>
          <w:tcPr>
            <w:tcW w:w="1766" w:type="dxa"/>
            <w:tcBorders>
              <w:top w:val="nil"/>
              <w:left w:val="nil"/>
              <w:bottom w:val="single" w:sz="4" w:space="0" w:color="auto"/>
              <w:right w:val="nil"/>
            </w:tcBorders>
            <w:shd w:val="clear" w:color="auto" w:fill="auto"/>
            <w:vAlign w:val="center"/>
            <w:hideMark/>
          </w:tcPr>
          <w:p w14:paraId="15BEF597"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95% CI</w:t>
            </w:r>
          </w:p>
        </w:tc>
        <w:tc>
          <w:tcPr>
            <w:tcW w:w="487" w:type="dxa"/>
            <w:tcBorders>
              <w:top w:val="nil"/>
              <w:left w:val="nil"/>
              <w:bottom w:val="single" w:sz="4" w:space="0" w:color="auto"/>
              <w:right w:val="nil"/>
            </w:tcBorders>
            <w:shd w:val="clear" w:color="auto" w:fill="auto"/>
            <w:noWrap/>
            <w:vAlign w:val="bottom"/>
            <w:hideMark/>
          </w:tcPr>
          <w:p w14:paraId="59E068E3"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i/>
                <w:iCs/>
                <w:color w:val="000000"/>
              </w:rPr>
              <w:t>p</w:t>
            </w:r>
            <w:r w:rsidRPr="00611F30">
              <w:rPr>
                <w:rFonts w:eastAsia="Times New Roman"/>
                <w:color w:val="000000"/>
              </w:rPr>
              <w:t xml:space="preserve"> </w:t>
            </w:r>
          </w:p>
        </w:tc>
        <w:tc>
          <w:tcPr>
            <w:tcW w:w="106" w:type="dxa"/>
            <w:tcBorders>
              <w:top w:val="nil"/>
              <w:left w:val="nil"/>
              <w:bottom w:val="single" w:sz="4" w:space="0" w:color="auto"/>
              <w:right w:val="nil"/>
            </w:tcBorders>
            <w:shd w:val="clear" w:color="auto" w:fill="auto"/>
            <w:noWrap/>
            <w:vAlign w:val="bottom"/>
            <w:hideMark/>
          </w:tcPr>
          <w:p w14:paraId="1124ADCD"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single" w:sz="4" w:space="0" w:color="auto"/>
              <w:right w:val="nil"/>
            </w:tcBorders>
            <w:shd w:val="clear" w:color="auto" w:fill="auto"/>
            <w:vAlign w:val="center"/>
            <w:hideMark/>
          </w:tcPr>
          <w:p w14:paraId="472C4313"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PC</w:t>
            </w:r>
          </w:p>
        </w:tc>
        <w:tc>
          <w:tcPr>
            <w:tcW w:w="1672" w:type="dxa"/>
            <w:tcBorders>
              <w:top w:val="nil"/>
              <w:left w:val="nil"/>
              <w:bottom w:val="single" w:sz="4" w:space="0" w:color="auto"/>
              <w:right w:val="nil"/>
            </w:tcBorders>
            <w:shd w:val="clear" w:color="auto" w:fill="auto"/>
            <w:vAlign w:val="center"/>
            <w:hideMark/>
          </w:tcPr>
          <w:p w14:paraId="08161330"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95% CI</w:t>
            </w:r>
          </w:p>
        </w:tc>
        <w:tc>
          <w:tcPr>
            <w:tcW w:w="569" w:type="dxa"/>
            <w:tcBorders>
              <w:top w:val="nil"/>
              <w:left w:val="nil"/>
              <w:bottom w:val="single" w:sz="4" w:space="0" w:color="auto"/>
              <w:right w:val="nil"/>
            </w:tcBorders>
            <w:shd w:val="clear" w:color="auto" w:fill="auto"/>
            <w:noWrap/>
            <w:vAlign w:val="bottom"/>
            <w:hideMark/>
          </w:tcPr>
          <w:p w14:paraId="51EABF66"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i/>
                <w:iCs/>
                <w:color w:val="000000"/>
              </w:rPr>
              <w:t>p</w:t>
            </w:r>
            <w:r w:rsidRPr="00611F30">
              <w:rPr>
                <w:rFonts w:eastAsia="Times New Roman"/>
                <w:color w:val="000000"/>
              </w:rPr>
              <w:t xml:space="preserve"> </w:t>
            </w:r>
          </w:p>
        </w:tc>
      </w:tr>
      <w:tr w:rsidR="004E0FDA" w:rsidRPr="00611F30" w14:paraId="5FEBDFCD" w14:textId="77777777" w:rsidTr="004E0FDA">
        <w:trPr>
          <w:trHeight w:val="323"/>
          <w:jc w:val="center"/>
        </w:trPr>
        <w:tc>
          <w:tcPr>
            <w:tcW w:w="3444" w:type="dxa"/>
            <w:tcBorders>
              <w:top w:val="single" w:sz="4" w:space="0" w:color="auto"/>
              <w:left w:val="nil"/>
              <w:right w:val="nil"/>
            </w:tcBorders>
            <w:shd w:val="clear" w:color="auto" w:fill="auto"/>
            <w:vAlign w:val="bottom"/>
            <w:hideMark/>
          </w:tcPr>
          <w:p w14:paraId="456155DC"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Standardized Direct Effects</w:t>
            </w:r>
          </w:p>
        </w:tc>
        <w:tc>
          <w:tcPr>
            <w:tcW w:w="832" w:type="dxa"/>
            <w:tcBorders>
              <w:top w:val="nil"/>
              <w:left w:val="nil"/>
              <w:bottom w:val="nil"/>
              <w:right w:val="nil"/>
            </w:tcBorders>
            <w:shd w:val="clear" w:color="auto" w:fill="auto"/>
            <w:vAlign w:val="center"/>
          </w:tcPr>
          <w:p w14:paraId="4227B54F" w14:textId="77777777" w:rsidR="00611F30" w:rsidRPr="00611F30" w:rsidRDefault="00611F30" w:rsidP="00611F30">
            <w:pPr>
              <w:spacing w:line="240" w:lineRule="auto"/>
              <w:ind w:firstLine="0"/>
              <w:rPr>
                <w:rFonts w:eastAsia="Times New Roman"/>
                <w:color w:val="000000"/>
              </w:rPr>
            </w:pPr>
          </w:p>
        </w:tc>
        <w:tc>
          <w:tcPr>
            <w:tcW w:w="1766" w:type="dxa"/>
            <w:tcBorders>
              <w:top w:val="nil"/>
              <w:left w:val="nil"/>
              <w:bottom w:val="nil"/>
              <w:right w:val="nil"/>
            </w:tcBorders>
            <w:shd w:val="clear" w:color="auto" w:fill="auto"/>
            <w:vAlign w:val="center"/>
          </w:tcPr>
          <w:p w14:paraId="0863701E" w14:textId="77777777" w:rsidR="00611F30" w:rsidRPr="00611F30" w:rsidRDefault="00611F30" w:rsidP="00611F30">
            <w:pPr>
              <w:spacing w:line="240" w:lineRule="auto"/>
              <w:ind w:firstLine="0"/>
              <w:jc w:val="center"/>
              <w:rPr>
                <w:rFonts w:eastAsia="Times New Roman"/>
              </w:rPr>
            </w:pPr>
          </w:p>
        </w:tc>
        <w:tc>
          <w:tcPr>
            <w:tcW w:w="594" w:type="dxa"/>
            <w:tcBorders>
              <w:top w:val="nil"/>
              <w:left w:val="nil"/>
              <w:bottom w:val="nil"/>
              <w:right w:val="nil"/>
            </w:tcBorders>
            <w:shd w:val="clear" w:color="auto" w:fill="auto"/>
            <w:noWrap/>
            <w:vAlign w:val="center"/>
          </w:tcPr>
          <w:p w14:paraId="69D0EF42" w14:textId="77777777" w:rsidR="00611F30" w:rsidRPr="00611F30" w:rsidRDefault="00611F30" w:rsidP="00611F30">
            <w:pPr>
              <w:spacing w:line="240" w:lineRule="auto"/>
              <w:ind w:firstLine="0"/>
              <w:jc w:val="center"/>
              <w:rPr>
                <w:rFonts w:eastAsia="Times New Roman"/>
              </w:rPr>
            </w:pPr>
          </w:p>
        </w:tc>
        <w:tc>
          <w:tcPr>
            <w:tcW w:w="118" w:type="dxa"/>
            <w:tcBorders>
              <w:top w:val="nil"/>
              <w:left w:val="nil"/>
              <w:bottom w:val="nil"/>
              <w:right w:val="nil"/>
            </w:tcBorders>
            <w:shd w:val="clear" w:color="auto" w:fill="auto"/>
            <w:noWrap/>
            <w:vAlign w:val="center"/>
            <w:hideMark/>
          </w:tcPr>
          <w:p w14:paraId="0F77B84E" w14:textId="77777777" w:rsidR="00611F30" w:rsidRPr="00611F30" w:rsidRDefault="00611F30" w:rsidP="00611F30">
            <w:pPr>
              <w:spacing w:line="240" w:lineRule="auto"/>
              <w:ind w:firstLine="0"/>
              <w:rPr>
                <w:rFonts w:eastAsia="Times New Roman"/>
              </w:rPr>
            </w:pPr>
          </w:p>
        </w:tc>
        <w:tc>
          <w:tcPr>
            <w:tcW w:w="832" w:type="dxa"/>
            <w:tcBorders>
              <w:top w:val="nil"/>
              <w:left w:val="nil"/>
              <w:bottom w:val="nil"/>
              <w:right w:val="nil"/>
            </w:tcBorders>
            <w:shd w:val="clear" w:color="auto" w:fill="auto"/>
            <w:noWrap/>
            <w:vAlign w:val="center"/>
            <w:hideMark/>
          </w:tcPr>
          <w:p w14:paraId="7EE64F70" w14:textId="77777777" w:rsidR="00611F30" w:rsidRPr="00611F30" w:rsidRDefault="00611F30" w:rsidP="00611F30">
            <w:pPr>
              <w:spacing w:line="240" w:lineRule="auto"/>
              <w:ind w:firstLine="0"/>
              <w:rPr>
                <w:rFonts w:eastAsia="Times New Roman"/>
              </w:rPr>
            </w:pPr>
          </w:p>
        </w:tc>
        <w:tc>
          <w:tcPr>
            <w:tcW w:w="1766" w:type="dxa"/>
            <w:tcBorders>
              <w:top w:val="nil"/>
              <w:left w:val="nil"/>
              <w:bottom w:val="nil"/>
              <w:right w:val="nil"/>
            </w:tcBorders>
            <w:shd w:val="clear" w:color="auto" w:fill="auto"/>
            <w:noWrap/>
            <w:vAlign w:val="center"/>
            <w:hideMark/>
          </w:tcPr>
          <w:p w14:paraId="64828A59" w14:textId="77777777" w:rsidR="00611F30" w:rsidRPr="00611F30" w:rsidRDefault="00611F30" w:rsidP="00611F30">
            <w:pPr>
              <w:spacing w:line="240" w:lineRule="auto"/>
              <w:ind w:firstLine="0"/>
              <w:jc w:val="center"/>
              <w:rPr>
                <w:rFonts w:eastAsia="Times New Roman"/>
              </w:rPr>
            </w:pPr>
          </w:p>
        </w:tc>
        <w:tc>
          <w:tcPr>
            <w:tcW w:w="487" w:type="dxa"/>
            <w:tcBorders>
              <w:top w:val="nil"/>
              <w:left w:val="nil"/>
              <w:bottom w:val="nil"/>
              <w:right w:val="nil"/>
            </w:tcBorders>
            <w:shd w:val="clear" w:color="auto" w:fill="auto"/>
            <w:noWrap/>
            <w:vAlign w:val="center"/>
            <w:hideMark/>
          </w:tcPr>
          <w:p w14:paraId="7F027289" w14:textId="77777777" w:rsidR="00611F30" w:rsidRPr="00611F30" w:rsidRDefault="00611F30" w:rsidP="00611F30">
            <w:pPr>
              <w:spacing w:line="240" w:lineRule="auto"/>
              <w:ind w:firstLine="0"/>
              <w:jc w:val="center"/>
              <w:rPr>
                <w:rFonts w:eastAsia="Times New Roman"/>
              </w:rPr>
            </w:pPr>
          </w:p>
        </w:tc>
        <w:tc>
          <w:tcPr>
            <w:tcW w:w="106" w:type="dxa"/>
            <w:tcBorders>
              <w:top w:val="nil"/>
              <w:left w:val="nil"/>
              <w:bottom w:val="nil"/>
              <w:right w:val="nil"/>
            </w:tcBorders>
            <w:shd w:val="clear" w:color="auto" w:fill="auto"/>
            <w:noWrap/>
            <w:vAlign w:val="center"/>
            <w:hideMark/>
          </w:tcPr>
          <w:p w14:paraId="1BF0FBCA"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center"/>
            <w:hideMark/>
          </w:tcPr>
          <w:p w14:paraId="06F83E57" w14:textId="77777777" w:rsidR="00611F30" w:rsidRPr="00611F30" w:rsidRDefault="00611F30" w:rsidP="00611F30">
            <w:pPr>
              <w:spacing w:line="240" w:lineRule="auto"/>
              <w:ind w:firstLine="0"/>
              <w:jc w:val="center"/>
              <w:rPr>
                <w:rFonts w:eastAsia="Times New Roman"/>
              </w:rPr>
            </w:pPr>
          </w:p>
        </w:tc>
        <w:tc>
          <w:tcPr>
            <w:tcW w:w="1672" w:type="dxa"/>
            <w:tcBorders>
              <w:top w:val="nil"/>
              <w:left w:val="nil"/>
              <w:bottom w:val="nil"/>
              <w:right w:val="nil"/>
            </w:tcBorders>
            <w:shd w:val="clear" w:color="auto" w:fill="auto"/>
            <w:noWrap/>
            <w:vAlign w:val="center"/>
            <w:hideMark/>
          </w:tcPr>
          <w:p w14:paraId="7C7C4DCB" w14:textId="77777777" w:rsidR="00611F30" w:rsidRPr="00611F30" w:rsidRDefault="00611F30" w:rsidP="00611F30">
            <w:pPr>
              <w:spacing w:line="240" w:lineRule="auto"/>
              <w:ind w:firstLine="0"/>
              <w:jc w:val="center"/>
              <w:rPr>
                <w:rFonts w:eastAsia="Times New Roman"/>
              </w:rPr>
            </w:pPr>
          </w:p>
        </w:tc>
        <w:tc>
          <w:tcPr>
            <w:tcW w:w="569" w:type="dxa"/>
            <w:tcBorders>
              <w:top w:val="nil"/>
              <w:left w:val="nil"/>
              <w:bottom w:val="nil"/>
              <w:right w:val="nil"/>
            </w:tcBorders>
            <w:shd w:val="clear" w:color="auto" w:fill="auto"/>
            <w:noWrap/>
            <w:vAlign w:val="center"/>
            <w:hideMark/>
          </w:tcPr>
          <w:p w14:paraId="47C15BCF" w14:textId="77777777" w:rsidR="00611F30" w:rsidRPr="00611F30" w:rsidRDefault="00611F30" w:rsidP="00611F30">
            <w:pPr>
              <w:spacing w:line="240" w:lineRule="auto"/>
              <w:ind w:firstLine="0"/>
              <w:jc w:val="center"/>
              <w:rPr>
                <w:rFonts w:eastAsia="Times New Roman"/>
              </w:rPr>
            </w:pPr>
          </w:p>
        </w:tc>
      </w:tr>
      <w:tr w:rsidR="004E0FDA" w:rsidRPr="00611F30" w14:paraId="2450B4DD" w14:textId="77777777" w:rsidTr="004E0FDA">
        <w:trPr>
          <w:trHeight w:val="315"/>
          <w:jc w:val="center"/>
        </w:trPr>
        <w:tc>
          <w:tcPr>
            <w:tcW w:w="3444" w:type="dxa"/>
            <w:tcBorders>
              <w:left w:val="nil"/>
              <w:bottom w:val="nil"/>
              <w:right w:val="nil"/>
            </w:tcBorders>
            <w:shd w:val="clear" w:color="auto" w:fill="auto"/>
            <w:vAlign w:val="bottom"/>
          </w:tcPr>
          <w:p w14:paraId="76F59FE0"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xml:space="preserve">   Spiritual Meaning (SM)</w:t>
            </w:r>
          </w:p>
        </w:tc>
        <w:tc>
          <w:tcPr>
            <w:tcW w:w="832" w:type="dxa"/>
            <w:tcBorders>
              <w:top w:val="nil"/>
              <w:left w:val="nil"/>
              <w:bottom w:val="nil"/>
              <w:right w:val="nil"/>
            </w:tcBorders>
            <w:shd w:val="clear" w:color="auto" w:fill="auto"/>
            <w:vAlign w:val="bottom"/>
          </w:tcPr>
          <w:p w14:paraId="48033D80" w14:textId="36B0605B"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 xml:space="preserve">  .64</w:t>
            </w:r>
          </w:p>
        </w:tc>
        <w:tc>
          <w:tcPr>
            <w:tcW w:w="1766" w:type="dxa"/>
            <w:tcBorders>
              <w:top w:val="nil"/>
              <w:left w:val="nil"/>
              <w:bottom w:val="nil"/>
              <w:right w:val="nil"/>
            </w:tcBorders>
            <w:shd w:val="clear" w:color="auto" w:fill="auto"/>
            <w:vAlign w:val="bottom"/>
          </w:tcPr>
          <w:p w14:paraId="3F5B2B58" w14:textId="14180413" w:rsidR="00611F30" w:rsidRPr="00611F30" w:rsidRDefault="00A560E1" w:rsidP="00EB7F67">
            <w:pPr>
              <w:spacing w:line="240" w:lineRule="auto"/>
              <w:ind w:firstLine="179"/>
              <w:rPr>
                <w:rFonts w:eastAsia="Times New Roman"/>
                <w:color w:val="000000"/>
              </w:rPr>
            </w:pPr>
            <w:r>
              <w:rPr>
                <w:rFonts w:eastAsia="Times New Roman"/>
                <w:color w:val="000000"/>
              </w:rPr>
              <w:t xml:space="preserve">   </w:t>
            </w:r>
            <w:r w:rsidR="009B4F21">
              <w:rPr>
                <w:rFonts w:eastAsia="Times New Roman"/>
                <w:color w:val="000000"/>
              </w:rPr>
              <w:t xml:space="preserve"> </w:t>
            </w:r>
            <w:r w:rsidR="00611F30" w:rsidRPr="00611F30">
              <w:rPr>
                <w:rFonts w:eastAsia="Times New Roman"/>
                <w:color w:val="000000"/>
              </w:rPr>
              <w:t>[.6</w:t>
            </w:r>
            <w:r w:rsidR="001B1995">
              <w:rPr>
                <w:rFonts w:eastAsia="Times New Roman"/>
                <w:color w:val="000000"/>
              </w:rPr>
              <w:t>1</w:t>
            </w:r>
            <w:r w:rsidR="00611F30" w:rsidRPr="00611F30">
              <w:rPr>
                <w:rFonts w:eastAsia="Times New Roman"/>
                <w:color w:val="000000"/>
              </w:rPr>
              <w:t>, .</w:t>
            </w:r>
            <w:r w:rsidR="00FB5702" w:rsidRPr="00611F30">
              <w:rPr>
                <w:rFonts w:eastAsia="Times New Roman"/>
                <w:color w:val="000000"/>
              </w:rPr>
              <w:t>6</w:t>
            </w:r>
            <w:r w:rsidR="00FB5702">
              <w:rPr>
                <w:rFonts w:eastAsia="Times New Roman"/>
                <w:color w:val="000000"/>
              </w:rPr>
              <w:t>7</w:t>
            </w:r>
            <w:r w:rsidR="00611F30" w:rsidRPr="00611F30">
              <w:rPr>
                <w:rFonts w:eastAsia="Times New Roman"/>
                <w:color w:val="000000"/>
              </w:rPr>
              <w:t>]</w:t>
            </w:r>
          </w:p>
        </w:tc>
        <w:tc>
          <w:tcPr>
            <w:tcW w:w="594" w:type="dxa"/>
            <w:tcBorders>
              <w:top w:val="nil"/>
              <w:left w:val="nil"/>
              <w:bottom w:val="nil"/>
              <w:right w:val="nil"/>
            </w:tcBorders>
            <w:shd w:val="clear" w:color="auto" w:fill="auto"/>
            <w:noWrap/>
            <w:vAlign w:val="bottom"/>
          </w:tcPr>
          <w:p w14:paraId="279AB2A0" w14:textId="77777777"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.00</w:t>
            </w:r>
            <w:r w:rsidR="001B1995">
              <w:rPr>
                <w:rFonts w:eastAsia="Times New Roman"/>
                <w:color w:val="000000"/>
              </w:rPr>
              <w:t>2</w:t>
            </w:r>
          </w:p>
        </w:tc>
        <w:tc>
          <w:tcPr>
            <w:tcW w:w="118" w:type="dxa"/>
            <w:tcBorders>
              <w:top w:val="nil"/>
              <w:left w:val="nil"/>
              <w:bottom w:val="nil"/>
              <w:right w:val="nil"/>
            </w:tcBorders>
            <w:shd w:val="clear" w:color="auto" w:fill="auto"/>
            <w:noWrap/>
            <w:vAlign w:val="bottom"/>
          </w:tcPr>
          <w:p w14:paraId="74C36DED"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tcPr>
          <w:p w14:paraId="085D1A15"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noWrap/>
            <w:vAlign w:val="bottom"/>
          </w:tcPr>
          <w:p w14:paraId="76BE4A34" w14:textId="77777777" w:rsidR="00611F30" w:rsidRPr="00611F30" w:rsidRDefault="00611F30" w:rsidP="00611F30">
            <w:pPr>
              <w:spacing w:line="240" w:lineRule="auto"/>
              <w:ind w:firstLine="0"/>
              <w:jc w:val="center"/>
              <w:rPr>
                <w:rFonts w:eastAsia="Times New Roman"/>
              </w:rPr>
            </w:pPr>
          </w:p>
        </w:tc>
        <w:tc>
          <w:tcPr>
            <w:tcW w:w="487" w:type="dxa"/>
            <w:tcBorders>
              <w:top w:val="nil"/>
              <w:left w:val="nil"/>
              <w:bottom w:val="nil"/>
              <w:right w:val="nil"/>
            </w:tcBorders>
            <w:shd w:val="clear" w:color="auto" w:fill="auto"/>
            <w:noWrap/>
            <w:vAlign w:val="bottom"/>
          </w:tcPr>
          <w:p w14:paraId="7D319E07" w14:textId="77777777" w:rsidR="00611F30" w:rsidRPr="00611F30" w:rsidRDefault="00611F30" w:rsidP="00611F30">
            <w:pPr>
              <w:spacing w:line="240" w:lineRule="auto"/>
              <w:ind w:firstLine="0"/>
              <w:jc w:val="center"/>
              <w:rPr>
                <w:rFonts w:eastAsia="Times New Roman"/>
              </w:rPr>
            </w:pPr>
          </w:p>
        </w:tc>
        <w:tc>
          <w:tcPr>
            <w:tcW w:w="106" w:type="dxa"/>
            <w:tcBorders>
              <w:top w:val="nil"/>
              <w:left w:val="nil"/>
              <w:bottom w:val="nil"/>
              <w:right w:val="nil"/>
            </w:tcBorders>
            <w:shd w:val="clear" w:color="auto" w:fill="auto"/>
            <w:noWrap/>
            <w:vAlign w:val="bottom"/>
          </w:tcPr>
          <w:p w14:paraId="73887D88"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tcPr>
          <w:p w14:paraId="5644C882" w14:textId="77777777" w:rsidR="00611F30" w:rsidRPr="00611F30" w:rsidRDefault="00611F30" w:rsidP="00611F30">
            <w:pPr>
              <w:spacing w:line="240" w:lineRule="auto"/>
              <w:ind w:firstLine="0"/>
              <w:jc w:val="center"/>
              <w:rPr>
                <w:rFonts w:eastAsia="Times New Roman"/>
              </w:rPr>
            </w:pPr>
          </w:p>
        </w:tc>
        <w:tc>
          <w:tcPr>
            <w:tcW w:w="1672" w:type="dxa"/>
            <w:tcBorders>
              <w:top w:val="nil"/>
              <w:left w:val="nil"/>
              <w:bottom w:val="nil"/>
              <w:right w:val="nil"/>
            </w:tcBorders>
            <w:shd w:val="clear" w:color="auto" w:fill="auto"/>
            <w:noWrap/>
            <w:vAlign w:val="bottom"/>
          </w:tcPr>
          <w:p w14:paraId="27CD180B" w14:textId="77777777" w:rsidR="00611F30" w:rsidRPr="00611F30" w:rsidRDefault="00611F30" w:rsidP="00611F30">
            <w:pPr>
              <w:spacing w:line="240" w:lineRule="auto"/>
              <w:ind w:firstLine="0"/>
              <w:jc w:val="center"/>
              <w:rPr>
                <w:rFonts w:eastAsia="Times New Roman"/>
              </w:rPr>
            </w:pPr>
          </w:p>
        </w:tc>
        <w:tc>
          <w:tcPr>
            <w:tcW w:w="569" w:type="dxa"/>
            <w:tcBorders>
              <w:top w:val="nil"/>
              <w:left w:val="nil"/>
              <w:bottom w:val="nil"/>
              <w:right w:val="nil"/>
            </w:tcBorders>
            <w:shd w:val="clear" w:color="auto" w:fill="auto"/>
            <w:noWrap/>
            <w:vAlign w:val="bottom"/>
          </w:tcPr>
          <w:p w14:paraId="0220184B" w14:textId="77777777" w:rsidR="00611F30" w:rsidRPr="00611F30" w:rsidRDefault="00611F30" w:rsidP="00611F30">
            <w:pPr>
              <w:spacing w:line="240" w:lineRule="auto"/>
              <w:ind w:firstLine="0"/>
              <w:jc w:val="center"/>
              <w:rPr>
                <w:rFonts w:eastAsia="Times New Roman"/>
              </w:rPr>
            </w:pPr>
          </w:p>
        </w:tc>
      </w:tr>
      <w:tr w:rsidR="004E0FDA" w:rsidRPr="00611F30" w14:paraId="6B912CC1" w14:textId="77777777" w:rsidTr="004E0FDA">
        <w:trPr>
          <w:trHeight w:val="315"/>
          <w:jc w:val="center"/>
        </w:trPr>
        <w:tc>
          <w:tcPr>
            <w:tcW w:w="3444" w:type="dxa"/>
            <w:tcBorders>
              <w:top w:val="nil"/>
              <w:left w:val="nil"/>
              <w:bottom w:val="nil"/>
              <w:right w:val="nil"/>
            </w:tcBorders>
            <w:shd w:val="clear" w:color="auto" w:fill="auto"/>
            <w:vAlign w:val="bottom"/>
            <w:hideMark/>
          </w:tcPr>
          <w:p w14:paraId="47373DEE" w14:textId="77777777" w:rsidR="00611F30" w:rsidRPr="00611F30" w:rsidRDefault="00611F30" w:rsidP="004120A5">
            <w:pPr>
              <w:spacing w:line="240" w:lineRule="auto"/>
              <w:ind w:firstLine="0"/>
              <w:rPr>
                <w:rFonts w:eastAsia="Times New Roman"/>
                <w:color w:val="000000"/>
              </w:rPr>
            </w:pPr>
            <w:r w:rsidRPr="00611F30">
              <w:rPr>
                <w:rFonts w:eastAsia="Times New Roman"/>
                <w:color w:val="000000"/>
              </w:rPr>
              <w:t xml:space="preserve">   </w:t>
            </w:r>
            <w:r w:rsidR="004120A5">
              <w:rPr>
                <w:rFonts w:eastAsia="Times New Roman"/>
                <w:color w:val="000000"/>
              </w:rPr>
              <w:t>Marital</w:t>
            </w:r>
            <w:r w:rsidR="004120A5" w:rsidRPr="00611F30">
              <w:rPr>
                <w:rFonts w:eastAsia="Times New Roman"/>
                <w:color w:val="000000"/>
              </w:rPr>
              <w:t xml:space="preserve"> </w:t>
            </w:r>
            <w:r w:rsidRPr="00611F30">
              <w:rPr>
                <w:rFonts w:eastAsia="Times New Roman"/>
                <w:color w:val="000000"/>
              </w:rPr>
              <w:t>Intimacy (</w:t>
            </w:r>
            <w:r w:rsidR="004120A5">
              <w:rPr>
                <w:rFonts w:eastAsia="Times New Roman"/>
                <w:color w:val="000000"/>
              </w:rPr>
              <w:t>M</w:t>
            </w:r>
            <w:r w:rsidRPr="00611F30">
              <w:rPr>
                <w:rFonts w:eastAsia="Times New Roman"/>
                <w:color w:val="000000"/>
              </w:rPr>
              <w:t>I)</w:t>
            </w:r>
          </w:p>
        </w:tc>
        <w:tc>
          <w:tcPr>
            <w:tcW w:w="832" w:type="dxa"/>
            <w:tcBorders>
              <w:top w:val="nil"/>
              <w:left w:val="nil"/>
              <w:bottom w:val="nil"/>
              <w:right w:val="nil"/>
            </w:tcBorders>
            <w:shd w:val="clear" w:color="auto" w:fill="auto"/>
            <w:vAlign w:val="bottom"/>
            <w:hideMark/>
          </w:tcPr>
          <w:p w14:paraId="2D4FB46B" w14:textId="5920177B" w:rsidR="00611F30" w:rsidRPr="00611F30" w:rsidRDefault="00611F30" w:rsidP="00256CBD">
            <w:pPr>
              <w:spacing w:line="240" w:lineRule="auto"/>
              <w:ind w:firstLine="0"/>
              <w:jc w:val="center"/>
              <w:rPr>
                <w:rFonts w:eastAsia="Times New Roman"/>
                <w:color w:val="000000"/>
              </w:rPr>
            </w:pPr>
            <w:r w:rsidRPr="00611F30">
              <w:rPr>
                <w:rFonts w:eastAsia="Times New Roman"/>
                <w:color w:val="000000"/>
              </w:rPr>
              <w:t>-.</w:t>
            </w:r>
            <w:r w:rsidR="00482B40">
              <w:rPr>
                <w:rFonts w:eastAsia="Times New Roman"/>
                <w:color w:val="000000"/>
              </w:rPr>
              <w:t>07</w:t>
            </w:r>
          </w:p>
        </w:tc>
        <w:tc>
          <w:tcPr>
            <w:tcW w:w="1766" w:type="dxa"/>
            <w:tcBorders>
              <w:top w:val="nil"/>
              <w:left w:val="nil"/>
              <w:bottom w:val="nil"/>
              <w:right w:val="nil"/>
            </w:tcBorders>
            <w:shd w:val="clear" w:color="auto" w:fill="auto"/>
            <w:vAlign w:val="bottom"/>
            <w:hideMark/>
          </w:tcPr>
          <w:p w14:paraId="65C9485B" w14:textId="018650A7"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[-.1</w:t>
            </w:r>
            <w:r w:rsidR="00FB5702">
              <w:rPr>
                <w:rFonts w:eastAsia="Times New Roman"/>
                <w:color w:val="000000"/>
              </w:rPr>
              <w:t>2</w:t>
            </w:r>
            <w:r w:rsidRPr="00611F30">
              <w:rPr>
                <w:rFonts w:eastAsia="Times New Roman"/>
                <w:color w:val="000000"/>
              </w:rPr>
              <w:t>, -.0</w:t>
            </w:r>
            <w:r w:rsidR="00281805">
              <w:rPr>
                <w:rFonts w:eastAsia="Times New Roman"/>
                <w:color w:val="000000"/>
              </w:rPr>
              <w:t>3</w:t>
            </w:r>
            <w:r w:rsidRPr="00611F30">
              <w:rPr>
                <w:rFonts w:eastAsia="Times New Roman"/>
                <w:color w:val="000000"/>
              </w:rPr>
              <w:t>]</w:t>
            </w:r>
          </w:p>
        </w:tc>
        <w:tc>
          <w:tcPr>
            <w:tcW w:w="594" w:type="dxa"/>
            <w:tcBorders>
              <w:top w:val="nil"/>
              <w:left w:val="nil"/>
              <w:bottom w:val="nil"/>
              <w:right w:val="nil"/>
            </w:tcBorders>
            <w:shd w:val="clear" w:color="auto" w:fill="auto"/>
            <w:noWrap/>
            <w:vAlign w:val="bottom"/>
            <w:hideMark/>
          </w:tcPr>
          <w:p w14:paraId="75E9C2F1" w14:textId="77777777"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.00</w:t>
            </w:r>
            <w:r w:rsidR="001B1995">
              <w:rPr>
                <w:rFonts w:eastAsia="Times New Roman"/>
                <w:color w:val="000000"/>
              </w:rPr>
              <w:t>1</w:t>
            </w:r>
          </w:p>
        </w:tc>
        <w:tc>
          <w:tcPr>
            <w:tcW w:w="118" w:type="dxa"/>
            <w:tcBorders>
              <w:top w:val="nil"/>
              <w:left w:val="nil"/>
              <w:bottom w:val="nil"/>
              <w:right w:val="nil"/>
            </w:tcBorders>
            <w:shd w:val="clear" w:color="auto" w:fill="auto"/>
            <w:noWrap/>
            <w:vAlign w:val="bottom"/>
            <w:hideMark/>
          </w:tcPr>
          <w:p w14:paraId="23E8895E"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nil"/>
              <w:right w:val="nil"/>
            </w:tcBorders>
            <w:shd w:val="clear" w:color="auto" w:fill="auto"/>
            <w:noWrap/>
            <w:vAlign w:val="bottom"/>
            <w:hideMark/>
          </w:tcPr>
          <w:p w14:paraId="2AEAB1B1" w14:textId="334CA47B" w:rsidR="00611F30" w:rsidRPr="00611F30" w:rsidRDefault="00611F30" w:rsidP="00E536F6">
            <w:pPr>
              <w:spacing w:line="240" w:lineRule="auto"/>
              <w:ind w:firstLine="0"/>
              <w:jc w:val="center"/>
              <w:rPr>
                <w:rFonts w:eastAsia="Times New Roman"/>
              </w:rPr>
            </w:pPr>
            <w:r w:rsidRPr="00611F30">
              <w:rPr>
                <w:rFonts w:eastAsia="Times New Roman"/>
                <w:color w:val="000000"/>
              </w:rPr>
              <w:t>.2</w:t>
            </w:r>
            <w:r w:rsidR="00FB5702">
              <w:rPr>
                <w:rFonts w:eastAsia="Times New Roman"/>
                <w:color w:val="000000"/>
              </w:rPr>
              <w:t>9</w:t>
            </w:r>
          </w:p>
        </w:tc>
        <w:tc>
          <w:tcPr>
            <w:tcW w:w="1766" w:type="dxa"/>
            <w:tcBorders>
              <w:top w:val="nil"/>
              <w:left w:val="nil"/>
              <w:bottom w:val="nil"/>
              <w:right w:val="nil"/>
            </w:tcBorders>
            <w:shd w:val="clear" w:color="auto" w:fill="auto"/>
            <w:noWrap/>
            <w:vAlign w:val="bottom"/>
            <w:hideMark/>
          </w:tcPr>
          <w:p w14:paraId="08AFA547" w14:textId="18AE27DB" w:rsidR="00611F30" w:rsidRPr="00611F30" w:rsidRDefault="00611F30" w:rsidP="001B1995">
            <w:pPr>
              <w:spacing w:line="240" w:lineRule="auto"/>
              <w:ind w:firstLine="0"/>
              <w:jc w:val="center"/>
              <w:rPr>
                <w:rFonts w:eastAsia="Times New Roman"/>
              </w:rPr>
            </w:pPr>
            <w:r w:rsidRPr="00611F30">
              <w:rPr>
                <w:rFonts w:eastAsia="Times New Roman"/>
                <w:color w:val="000000"/>
              </w:rPr>
              <w:t>[.2</w:t>
            </w:r>
            <w:r w:rsidR="001B1995">
              <w:rPr>
                <w:rFonts w:eastAsia="Times New Roman"/>
                <w:color w:val="000000"/>
              </w:rPr>
              <w:t>4</w:t>
            </w:r>
            <w:r w:rsidRPr="00611F30">
              <w:rPr>
                <w:rFonts w:eastAsia="Times New Roman"/>
                <w:color w:val="000000"/>
              </w:rPr>
              <w:t>, .3</w:t>
            </w:r>
            <w:r w:rsidR="00FB5702">
              <w:rPr>
                <w:rFonts w:eastAsia="Times New Roman"/>
                <w:color w:val="000000"/>
              </w:rPr>
              <w:t>5</w:t>
            </w:r>
            <w:r w:rsidRPr="00611F30">
              <w:rPr>
                <w:rFonts w:eastAsia="Times New Roman"/>
                <w:color w:val="000000"/>
              </w:rPr>
              <w:t>]</w:t>
            </w:r>
          </w:p>
        </w:tc>
        <w:tc>
          <w:tcPr>
            <w:tcW w:w="487" w:type="dxa"/>
            <w:tcBorders>
              <w:top w:val="nil"/>
              <w:left w:val="nil"/>
              <w:bottom w:val="nil"/>
              <w:right w:val="nil"/>
            </w:tcBorders>
            <w:shd w:val="clear" w:color="auto" w:fill="auto"/>
            <w:noWrap/>
            <w:vAlign w:val="bottom"/>
            <w:hideMark/>
          </w:tcPr>
          <w:p w14:paraId="55643D54" w14:textId="77777777" w:rsidR="00611F30" w:rsidRPr="00611F30" w:rsidRDefault="00611F30" w:rsidP="00611F30">
            <w:pPr>
              <w:spacing w:line="240" w:lineRule="auto"/>
              <w:ind w:firstLine="0"/>
              <w:jc w:val="center"/>
              <w:rPr>
                <w:rFonts w:eastAsia="Times New Roman"/>
              </w:rPr>
            </w:pPr>
            <w:r w:rsidRPr="00611F30">
              <w:rPr>
                <w:rFonts w:eastAsia="Times New Roman"/>
                <w:color w:val="000000"/>
              </w:rPr>
              <w:t>.002</w:t>
            </w:r>
          </w:p>
        </w:tc>
        <w:tc>
          <w:tcPr>
            <w:tcW w:w="106" w:type="dxa"/>
            <w:tcBorders>
              <w:top w:val="nil"/>
              <w:left w:val="nil"/>
              <w:bottom w:val="nil"/>
              <w:right w:val="nil"/>
            </w:tcBorders>
            <w:shd w:val="clear" w:color="auto" w:fill="auto"/>
            <w:noWrap/>
            <w:vAlign w:val="bottom"/>
            <w:hideMark/>
          </w:tcPr>
          <w:p w14:paraId="0191A3A0"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tcPr>
          <w:p w14:paraId="4B3ED803" w14:textId="77777777" w:rsidR="00611F30" w:rsidRPr="00611F30" w:rsidRDefault="00611F30" w:rsidP="00611F30">
            <w:pPr>
              <w:spacing w:line="240" w:lineRule="auto"/>
              <w:ind w:firstLine="0"/>
              <w:jc w:val="center"/>
              <w:rPr>
                <w:rFonts w:eastAsia="Times New Roman"/>
                <w:color w:val="000000"/>
              </w:rPr>
            </w:pPr>
          </w:p>
        </w:tc>
        <w:tc>
          <w:tcPr>
            <w:tcW w:w="1672" w:type="dxa"/>
            <w:tcBorders>
              <w:top w:val="nil"/>
              <w:left w:val="nil"/>
              <w:bottom w:val="nil"/>
              <w:right w:val="nil"/>
            </w:tcBorders>
            <w:shd w:val="clear" w:color="auto" w:fill="auto"/>
            <w:noWrap/>
            <w:vAlign w:val="bottom"/>
          </w:tcPr>
          <w:p w14:paraId="44F1CF58" w14:textId="77777777" w:rsidR="00611F30" w:rsidRPr="00611F30" w:rsidRDefault="00611F30" w:rsidP="00611F30">
            <w:pPr>
              <w:spacing w:line="240" w:lineRule="auto"/>
              <w:ind w:firstLine="0"/>
              <w:jc w:val="center"/>
              <w:rPr>
                <w:rFonts w:eastAsia="Times New Roman"/>
                <w:color w:val="000000"/>
              </w:rPr>
            </w:pPr>
          </w:p>
        </w:tc>
        <w:tc>
          <w:tcPr>
            <w:tcW w:w="569" w:type="dxa"/>
            <w:tcBorders>
              <w:top w:val="nil"/>
              <w:left w:val="nil"/>
              <w:bottom w:val="nil"/>
              <w:right w:val="nil"/>
            </w:tcBorders>
            <w:shd w:val="clear" w:color="auto" w:fill="auto"/>
            <w:noWrap/>
            <w:vAlign w:val="bottom"/>
          </w:tcPr>
          <w:p w14:paraId="0BAC49A0" w14:textId="77777777" w:rsidR="00611F30" w:rsidRPr="00611F30" w:rsidRDefault="00611F30" w:rsidP="00611F30">
            <w:pPr>
              <w:spacing w:line="240" w:lineRule="auto"/>
              <w:ind w:firstLine="0"/>
              <w:jc w:val="center"/>
              <w:rPr>
                <w:rFonts w:eastAsia="Times New Roman"/>
                <w:color w:val="000000"/>
              </w:rPr>
            </w:pPr>
          </w:p>
        </w:tc>
      </w:tr>
      <w:tr w:rsidR="004E0FDA" w:rsidRPr="00611F30" w14:paraId="2AB84C58" w14:textId="77777777" w:rsidTr="004E0FDA">
        <w:trPr>
          <w:trHeight w:val="315"/>
          <w:jc w:val="center"/>
        </w:trPr>
        <w:tc>
          <w:tcPr>
            <w:tcW w:w="3444" w:type="dxa"/>
            <w:tcBorders>
              <w:top w:val="nil"/>
              <w:left w:val="nil"/>
              <w:bottom w:val="nil"/>
              <w:right w:val="nil"/>
            </w:tcBorders>
            <w:shd w:val="clear" w:color="auto" w:fill="auto"/>
            <w:vAlign w:val="bottom"/>
            <w:hideMark/>
          </w:tcPr>
          <w:p w14:paraId="3B6ED9B5"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xml:space="preserve">   Well-Being (WB)</w:t>
            </w:r>
          </w:p>
        </w:tc>
        <w:tc>
          <w:tcPr>
            <w:tcW w:w="832" w:type="dxa"/>
            <w:tcBorders>
              <w:top w:val="nil"/>
              <w:left w:val="nil"/>
              <w:bottom w:val="nil"/>
              <w:right w:val="nil"/>
            </w:tcBorders>
            <w:shd w:val="clear" w:color="auto" w:fill="auto"/>
            <w:vAlign w:val="bottom"/>
            <w:hideMark/>
          </w:tcPr>
          <w:p w14:paraId="26A2B651" w14:textId="02046460" w:rsidR="00611F30" w:rsidRPr="00611F30" w:rsidRDefault="00611F30" w:rsidP="00256CBD">
            <w:pPr>
              <w:spacing w:line="240" w:lineRule="auto"/>
              <w:ind w:firstLine="0"/>
              <w:jc w:val="center"/>
              <w:rPr>
                <w:rFonts w:eastAsia="Times New Roman"/>
                <w:color w:val="000000"/>
              </w:rPr>
            </w:pPr>
            <w:r w:rsidRPr="00611F30">
              <w:rPr>
                <w:rFonts w:eastAsia="Times New Roman"/>
                <w:color w:val="000000"/>
              </w:rPr>
              <w:t>-.07</w:t>
            </w:r>
          </w:p>
        </w:tc>
        <w:tc>
          <w:tcPr>
            <w:tcW w:w="1766" w:type="dxa"/>
            <w:tcBorders>
              <w:top w:val="nil"/>
              <w:left w:val="nil"/>
              <w:bottom w:val="nil"/>
              <w:right w:val="nil"/>
            </w:tcBorders>
            <w:shd w:val="clear" w:color="auto" w:fill="auto"/>
            <w:noWrap/>
            <w:vAlign w:val="bottom"/>
            <w:hideMark/>
          </w:tcPr>
          <w:p w14:paraId="4B3918CB" w14:textId="15E1FE0F"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[-.1</w:t>
            </w:r>
            <w:r w:rsidR="001B1995">
              <w:rPr>
                <w:rFonts w:eastAsia="Times New Roman"/>
                <w:color w:val="000000"/>
              </w:rPr>
              <w:t>2</w:t>
            </w:r>
            <w:r w:rsidRPr="00611F30">
              <w:rPr>
                <w:rFonts w:eastAsia="Times New Roman"/>
                <w:color w:val="000000"/>
              </w:rPr>
              <w:t>, -.0</w:t>
            </w:r>
            <w:r w:rsidR="00FB5702">
              <w:rPr>
                <w:rFonts w:eastAsia="Times New Roman"/>
                <w:color w:val="000000"/>
              </w:rPr>
              <w:t>3</w:t>
            </w:r>
            <w:r w:rsidRPr="00611F30">
              <w:rPr>
                <w:rFonts w:eastAsia="Times New Roman"/>
                <w:color w:val="000000"/>
              </w:rPr>
              <w:t>]</w:t>
            </w:r>
          </w:p>
        </w:tc>
        <w:tc>
          <w:tcPr>
            <w:tcW w:w="594" w:type="dxa"/>
            <w:tcBorders>
              <w:top w:val="nil"/>
              <w:left w:val="nil"/>
              <w:bottom w:val="nil"/>
              <w:right w:val="nil"/>
            </w:tcBorders>
            <w:shd w:val="clear" w:color="auto" w:fill="auto"/>
            <w:noWrap/>
            <w:vAlign w:val="bottom"/>
            <w:hideMark/>
          </w:tcPr>
          <w:p w14:paraId="6878F5A4" w14:textId="77777777"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.00</w:t>
            </w:r>
            <w:r w:rsidR="001B1995">
              <w:rPr>
                <w:rFonts w:eastAsia="Times New Roman"/>
                <w:color w:val="000000"/>
              </w:rPr>
              <w:t>5</w:t>
            </w:r>
          </w:p>
        </w:tc>
        <w:tc>
          <w:tcPr>
            <w:tcW w:w="118" w:type="dxa"/>
            <w:tcBorders>
              <w:top w:val="nil"/>
              <w:left w:val="nil"/>
              <w:bottom w:val="nil"/>
              <w:right w:val="nil"/>
            </w:tcBorders>
            <w:shd w:val="clear" w:color="auto" w:fill="auto"/>
            <w:noWrap/>
            <w:vAlign w:val="bottom"/>
            <w:hideMark/>
          </w:tcPr>
          <w:p w14:paraId="037482E0"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nil"/>
              <w:right w:val="nil"/>
            </w:tcBorders>
            <w:shd w:val="clear" w:color="auto" w:fill="auto"/>
            <w:noWrap/>
            <w:vAlign w:val="bottom"/>
          </w:tcPr>
          <w:p w14:paraId="27CD8D3D" w14:textId="0D67D5E9" w:rsidR="00611F30" w:rsidRPr="00611F30" w:rsidRDefault="00611F30" w:rsidP="00256CBD">
            <w:pPr>
              <w:spacing w:line="240" w:lineRule="auto"/>
              <w:ind w:firstLine="0"/>
              <w:jc w:val="center"/>
              <w:rPr>
                <w:rFonts w:eastAsia="Times New Roman"/>
                <w:color w:val="000000"/>
              </w:rPr>
            </w:pPr>
            <w:r w:rsidRPr="00611F30">
              <w:rPr>
                <w:rFonts w:eastAsia="Times New Roman"/>
                <w:color w:val="000000"/>
              </w:rPr>
              <w:t>.</w:t>
            </w:r>
            <w:r w:rsidR="00482B40">
              <w:rPr>
                <w:rFonts w:eastAsia="Times New Roman"/>
                <w:color w:val="000000"/>
              </w:rPr>
              <w:t>5</w:t>
            </w:r>
            <w:r w:rsidR="00256CBD">
              <w:rPr>
                <w:rFonts w:eastAsia="Times New Roman"/>
                <w:color w:val="000000"/>
              </w:rPr>
              <w:t>7</w:t>
            </w:r>
          </w:p>
        </w:tc>
        <w:tc>
          <w:tcPr>
            <w:tcW w:w="1766" w:type="dxa"/>
            <w:tcBorders>
              <w:top w:val="nil"/>
              <w:left w:val="nil"/>
              <w:bottom w:val="nil"/>
              <w:right w:val="nil"/>
            </w:tcBorders>
            <w:shd w:val="clear" w:color="auto" w:fill="auto"/>
            <w:noWrap/>
            <w:vAlign w:val="bottom"/>
          </w:tcPr>
          <w:p w14:paraId="13B02A0A" w14:textId="2FBEE109"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[.5</w:t>
            </w:r>
            <w:r w:rsidR="001B1995">
              <w:rPr>
                <w:rFonts w:eastAsia="Times New Roman"/>
                <w:color w:val="000000"/>
              </w:rPr>
              <w:t>2</w:t>
            </w:r>
            <w:r w:rsidRPr="00611F30">
              <w:rPr>
                <w:rFonts w:eastAsia="Times New Roman"/>
                <w:color w:val="000000"/>
              </w:rPr>
              <w:t>, .6</w:t>
            </w:r>
            <w:r w:rsidR="00FB5702">
              <w:rPr>
                <w:rFonts w:eastAsia="Times New Roman"/>
                <w:color w:val="000000"/>
              </w:rPr>
              <w:t>3</w:t>
            </w:r>
            <w:r w:rsidRPr="00611F30">
              <w:rPr>
                <w:rFonts w:eastAsia="Times New Roman"/>
                <w:color w:val="000000"/>
              </w:rPr>
              <w:t>]</w:t>
            </w:r>
          </w:p>
        </w:tc>
        <w:tc>
          <w:tcPr>
            <w:tcW w:w="487" w:type="dxa"/>
            <w:tcBorders>
              <w:top w:val="nil"/>
              <w:left w:val="nil"/>
              <w:bottom w:val="nil"/>
              <w:right w:val="nil"/>
            </w:tcBorders>
            <w:shd w:val="clear" w:color="auto" w:fill="auto"/>
            <w:noWrap/>
            <w:vAlign w:val="bottom"/>
          </w:tcPr>
          <w:p w14:paraId="6849830B"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.002</w:t>
            </w:r>
          </w:p>
        </w:tc>
        <w:tc>
          <w:tcPr>
            <w:tcW w:w="106" w:type="dxa"/>
            <w:tcBorders>
              <w:top w:val="nil"/>
              <w:left w:val="nil"/>
              <w:bottom w:val="nil"/>
              <w:right w:val="nil"/>
            </w:tcBorders>
            <w:shd w:val="clear" w:color="auto" w:fill="auto"/>
            <w:noWrap/>
            <w:vAlign w:val="bottom"/>
            <w:hideMark/>
          </w:tcPr>
          <w:p w14:paraId="67352CC9"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nil"/>
              <w:right w:val="nil"/>
            </w:tcBorders>
            <w:shd w:val="clear" w:color="auto" w:fill="auto"/>
            <w:noWrap/>
            <w:vAlign w:val="bottom"/>
          </w:tcPr>
          <w:p w14:paraId="7E041B85" w14:textId="298D9650" w:rsidR="00611F30" w:rsidRPr="00611F30" w:rsidRDefault="00611F30" w:rsidP="00256CBD">
            <w:pPr>
              <w:spacing w:line="240" w:lineRule="auto"/>
              <w:ind w:firstLine="0"/>
              <w:jc w:val="center"/>
              <w:rPr>
                <w:rFonts w:eastAsia="Times New Roman"/>
                <w:color w:val="000000"/>
              </w:rPr>
            </w:pPr>
            <w:r w:rsidRPr="00611F30">
              <w:rPr>
                <w:rFonts w:eastAsia="Times New Roman"/>
                <w:color w:val="000000"/>
              </w:rPr>
              <w:t>.</w:t>
            </w:r>
            <w:r w:rsidR="00482B40">
              <w:rPr>
                <w:rFonts w:eastAsia="Times New Roman"/>
                <w:color w:val="000000"/>
              </w:rPr>
              <w:t>4</w:t>
            </w:r>
            <w:r w:rsidR="00FB5702">
              <w:rPr>
                <w:rFonts w:eastAsia="Times New Roman"/>
                <w:color w:val="000000"/>
              </w:rPr>
              <w:t>6</w:t>
            </w:r>
          </w:p>
        </w:tc>
        <w:tc>
          <w:tcPr>
            <w:tcW w:w="1672" w:type="dxa"/>
            <w:tcBorders>
              <w:top w:val="nil"/>
              <w:left w:val="nil"/>
              <w:bottom w:val="nil"/>
              <w:right w:val="nil"/>
            </w:tcBorders>
            <w:shd w:val="clear" w:color="auto" w:fill="auto"/>
            <w:noWrap/>
            <w:vAlign w:val="bottom"/>
          </w:tcPr>
          <w:p w14:paraId="7EA0AADC" w14:textId="7FA64601"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w:t>
            </w:r>
            <w:r w:rsidR="00CA406D">
              <w:rPr>
                <w:rFonts w:eastAsia="Times New Roman"/>
                <w:color w:val="000000"/>
              </w:rPr>
              <w:t>4</w:t>
            </w:r>
            <w:r w:rsidR="00FB5702">
              <w:rPr>
                <w:rFonts w:eastAsia="Times New Roman"/>
                <w:color w:val="000000"/>
              </w:rPr>
              <w:t>2</w:t>
            </w:r>
            <w:r w:rsidRPr="00611F30">
              <w:rPr>
                <w:rFonts w:eastAsia="Times New Roman"/>
                <w:color w:val="000000"/>
              </w:rPr>
              <w:t>, .4</w:t>
            </w:r>
            <w:r w:rsidR="00FB5702">
              <w:rPr>
                <w:rFonts w:eastAsia="Times New Roman"/>
                <w:color w:val="000000"/>
              </w:rPr>
              <w:t>9</w:t>
            </w:r>
            <w:r w:rsidRPr="00611F30">
              <w:rPr>
                <w:rFonts w:eastAsia="Times New Roman"/>
                <w:color w:val="000000"/>
              </w:rPr>
              <w:t>]</w:t>
            </w:r>
          </w:p>
        </w:tc>
        <w:tc>
          <w:tcPr>
            <w:tcW w:w="569" w:type="dxa"/>
            <w:tcBorders>
              <w:top w:val="nil"/>
              <w:left w:val="nil"/>
              <w:bottom w:val="nil"/>
              <w:right w:val="nil"/>
            </w:tcBorders>
            <w:shd w:val="clear" w:color="auto" w:fill="auto"/>
            <w:noWrap/>
            <w:vAlign w:val="bottom"/>
          </w:tcPr>
          <w:p w14:paraId="74C7A956"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.002</w:t>
            </w:r>
          </w:p>
        </w:tc>
      </w:tr>
      <w:tr w:rsidR="004E0FDA" w:rsidRPr="00611F30" w14:paraId="0C173B98" w14:textId="77777777" w:rsidTr="004E0FDA">
        <w:trPr>
          <w:trHeight w:val="315"/>
          <w:jc w:val="center"/>
        </w:trPr>
        <w:tc>
          <w:tcPr>
            <w:tcW w:w="3444" w:type="dxa"/>
            <w:tcBorders>
              <w:top w:val="nil"/>
              <w:left w:val="nil"/>
              <w:bottom w:val="nil"/>
              <w:right w:val="nil"/>
            </w:tcBorders>
            <w:shd w:val="clear" w:color="auto" w:fill="auto"/>
            <w:vAlign w:val="bottom"/>
            <w:hideMark/>
          </w:tcPr>
          <w:p w14:paraId="7B55886F" w14:textId="77777777" w:rsidR="00611F30" w:rsidRPr="00611F30" w:rsidRDefault="00611F30" w:rsidP="00611F30">
            <w:pPr>
              <w:spacing w:line="240" w:lineRule="auto"/>
              <w:ind w:firstLine="0"/>
              <w:rPr>
                <w:rFonts w:eastAsia="Times New Roman"/>
              </w:rPr>
            </w:pPr>
          </w:p>
        </w:tc>
        <w:tc>
          <w:tcPr>
            <w:tcW w:w="832" w:type="dxa"/>
            <w:tcBorders>
              <w:top w:val="nil"/>
              <w:left w:val="nil"/>
              <w:bottom w:val="nil"/>
              <w:right w:val="nil"/>
            </w:tcBorders>
            <w:shd w:val="clear" w:color="auto" w:fill="auto"/>
            <w:vAlign w:val="bottom"/>
            <w:hideMark/>
          </w:tcPr>
          <w:p w14:paraId="1B5FFA92"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vAlign w:val="bottom"/>
            <w:hideMark/>
          </w:tcPr>
          <w:p w14:paraId="4C1C6A69" w14:textId="77777777" w:rsidR="00611F30" w:rsidRPr="00611F30" w:rsidRDefault="00611F30" w:rsidP="00611F30">
            <w:pPr>
              <w:spacing w:line="240" w:lineRule="auto"/>
              <w:ind w:firstLine="0"/>
              <w:jc w:val="center"/>
              <w:rPr>
                <w:rFonts w:eastAsia="Times New Roman"/>
              </w:rPr>
            </w:pPr>
          </w:p>
        </w:tc>
        <w:tc>
          <w:tcPr>
            <w:tcW w:w="594" w:type="dxa"/>
            <w:tcBorders>
              <w:top w:val="nil"/>
              <w:left w:val="nil"/>
              <w:bottom w:val="nil"/>
              <w:right w:val="nil"/>
            </w:tcBorders>
            <w:shd w:val="clear" w:color="auto" w:fill="auto"/>
            <w:noWrap/>
            <w:vAlign w:val="bottom"/>
            <w:hideMark/>
          </w:tcPr>
          <w:p w14:paraId="792B20E6" w14:textId="77777777" w:rsidR="00611F30" w:rsidRPr="00611F30" w:rsidRDefault="00611F30" w:rsidP="00611F30">
            <w:pPr>
              <w:spacing w:line="240" w:lineRule="auto"/>
              <w:ind w:firstLine="0"/>
              <w:jc w:val="center"/>
              <w:rPr>
                <w:rFonts w:eastAsia="Times New Roman"/>
              </w:rPr>
            </w:pPr>
          </w:p>
        </w:tc>
        <w:tc>
          <w:tcPr>
            <w:tcW w:w="118" w:type="dxa"/>
            <w:tcBorders>
              <w:top w:val="nil"/>
              <w:left w:val="nil"/>
              <w:bottom w:val="nil"/>
              <w:right w:val="nil"/>
            </w:tcBorders>
            <w:shd w:val="clear" w:color="auto" w:fill="auto"/>
            <w:noWrap/>
            <w:vAlign w:val="bottom"/>
            <w:hideMark/>
          </w:tcPr>
          <w:p w14:paraId="069A00D5"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hideMark/>
          </w:tcPr>
          <w:p w14:paraId="5D1EA6CC"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noWrap/>
            <w:vAlign w:val="bottom"/>
            <w:hideMark/>
          </w:tcPr>
          <w:p w14:paraId="7BF1BB85" w14:textId="77777777" w:rsidR="00611F30" w:rsidRPr="00611F30" w:rsidRDefault="00611F30" w:rsidP="00611F30">
            <w:pPr>
              <w:spacing w:line="240" w:lineRule="auto"/>
              <w:ind w:firstLine="0"/>
              <w:jc w:val="center"/>
              <w:rPr>
                <w:rFonts w:eastAsia="Times New Roman"/>
              </w:rPr>
            </w:pPr>
          </w:p>
        </w:tc>
        <w:tc>
          <w:tcPr>
            <w:tcW w:w="487" w:type="dxa"/>
            <w:tcBorders>
              <w:top w:val="nil"/>
              <w:left w:val="nil"/>
              <w:bottom w:val="nil"/>
              <w:right w:val="nil"/>
            </w:tcBorders>
            <w:shd w:val="clear" w:color="auto" w:fill="auto"/>
            <w:noWrap/>
            <w:vAlign w:val="bottom"/>
            <w:hideMark/>
          </w:tcPr>
          <w:p w14:paraId="03B3CE3D" w14:textId="77777777" w:rsidR="00611F30" w:rsidRPr="00611F30" w:rsidRDefault="00611F30" w:rsidP="00611F30">
            <w:pPr>
              <w:spacing w:line="240" w:lineRule="auto"/>
              <w:ind w:firstLine="0"/>
              <w:jc w:val="center"/>
              <w:rPr>
                <w:rFonts w:eastAsia="Times New Roman"/>
              </w:rPr>
            </w:pPr>
          </w:p>
        </w:tc>
        <w:tc>
          <w:tcPr>
            <w:tcW w:w="106" w:type="dxa"/>
            <w:tcBorders>
              <w:top w:val="nil"/>
              <w:left w:val="nil"/>
              <w:bottom w:val="nil"/>
              <w:right w:val="nil"/>
            </w:tcBorders>
            <w:shd w:val="clear" w:color="auto" w:fill="auto"/>
            <w:noWrap/>
            <w:vAlign w:val="bottom"/>
            <w:hideMark/>
          </w:tcPr>
          <w:p w14:paraId="23FBA373"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hideMark/>
          </w:tcPr>
          <w:p w14:paraId="07BA297B" w14:textId="77777777" w:rsidR="00611F30" w:rsidRPr="00611F30" w:rsidRDefault="00611F30" w:rsidP="00611F30">
            <w:pPr>
              <w:spacing w:line="240" w:lineRule="auto"/>
              <w:ind w:firstLine="0"/>
              <w:jc w:val="center"/>
              <w:rPr>
                <w:rFonts w:eastAsia="Times New Roman"/>
              </w:rPr>
            </w:pPr>
          </w:p>
        </w:tc>
        <w:tc>
          <w:tcPr>
            <w:tcW w:w="1672" w:type="dxa"/>
            <w:tcBorders>
              <w:top w:val="nil"/>
              <w:left w:val="nil"/>
              <w:bottom w:val="nil"/>
              <w:right w:val="nil"/>
            </w:tcBorders>
            <w:shd w:val="clear" w:color="auto" w:fill="auto"/>
            <w:noWrap/>
            <w:vAlign w:val="bottom"/>
            <w:hideMark/>
          </w:tcPr>
          <w:p w14:paraId="0BD5F7BA" w14:textId="77777777" w:rsidR="00611F30" w:rsidRPr="00611F30" w:rsidRDefault="00611F30" w:rsidP="00611F30">
            <w:pPr>
              <w:spacing w:line="240" w:lineRule="auto"/>
              <w:ind w:firstLine="0"/>
              <w:jc w:val="center"/>
              <w:rPr>
                <w:rFonts w:eastAsia="Times New Roman"/>
              </w:rPr>
            </w:pPr>
          </w:p>
        </w:tc>
        <w:tc>
          <w:tcPr>
            <w:tcW w:w="569" w:type="dxa"/>
            <w:tcBorders>
              <w:top w:val="nil"/>
              <w:left w:val="nil"/>
              <w:bottom w:val="nil"/>
              <w:right w:val="nil"/>
            </w:tcBorders>
            <w:shd w:val="clear" w:color="auto" w:fill="auto"/>
            <w:noWrap/>
            <w:vAlign w:val="bottom"/>
            <w:hideMark/>
          </w:tcPr>
          <w:p w14:paraId="2A8D5C36" w14:textId="77777777" w:rsidR="00611F30" w:rsidRPr="00611F30" w:rsidRDefault="00611F30" w:rsidP="00611F30">
            <w:pPr>
              <w:spacing w:line="240" w:lineRule="auto"/>
              <w:ind w:firstLine="0"/>
              <w:jc w:val="center"/>
              <w:rPr>
                <w:rFonts w:eastAsia="Times New Roman"/>
              </w:rPr>
            </w:pPr>
          </w:p>
        </w:tc>
      </w:tr>
      <w:tr w:rsidR="004E0FDA" w:rsidRPr="00611F30" w14:paraId="08B9B1B4" w14:textId="77777777" w:rsidTr="004E0FDA">
        <w:trPr>
          <w:trHeight w:val="315"/>
          <w:jc w:val="center"/>
        </w:trPr>
        <w:tc>
          <w:tcPr>
            <w:tcW w:w="3444" w:type="dxa"/>
            <w:tcBorders>
              <w:top w:val="nil"/>
              <w:left w:val="nil"/>
              <w:bottom w:val="nil"/>
              <w:right w:val="nil"/>
            </w:tcBorders>
            <w:shd w:val="clear" w:color="auto" w:fill="auto"/>
            <w:vAlign w:val="bottom"/>
          </w:tcPr>
          <w:p w14:paraId="7255DDA1"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Standardized Indirect Effects</w:t>
            </w:r>
          </w:p>
        </w:tc>
        <w:tc>
          <w:tcPr>
            <w:tcW w:w="832" w:type="dxa"/>
            <w:tcBorders>
              <w:top w:val="nil"/>
              <w:left w:val="nil"/>
              <w:bottom w:val="nil"/>
              <w:right w:val="nil"/>
            </w:tcBorders>
            <w:shd w:val="clear" w:color="auto" w:fill="auto"/>
            <w:vAlign w:val="bottom"/>
          </w:tcPr>
          <w:p w14:paraId="63245828"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vAlign w:val="bottom"/>
          </w:tcPr>
          <w:p w14:paraId="0456DB50" w14:textId="77777777" w:rsidR="00611F30" w:rsidRPr="00611F30" w:rsidRDefault="00611F30" w:rsidP="00611F30">
            <w:pPr>
              <w:spacing w:line="240" w:lineRule="auto"/>
              <w:ind w:firstLine="0"/>
              <w:jc w:val="center"/>
              <w:rPr>
                <w:rFonts w:eastAsia="Times New Roman"/>
              </w:rPr>
            </w:pPr>
          </w:p>
        </w:tc>
        <w:tc>
          <w:tcPr>
            <w:tcW w:w="594" w:type="dxa"/>
            <w:tcBorders>
              <w:top w:val="nil"/>
              <w:left w:val="nil"/>
              <w:bottom w:val="nil"/>
              <w:right w:val="nil"/>
            </w:tcBorders>
            <w:shd w:val="clear" w:color="auto" w:fill="auto"/>
            <w:noWrap/>
            <w:vAlign w:val="bottom"/>
          </w:tcPr>
          <w:p w14:paraId="13284B4E" w14:textId="77777777" w:rsidR="00611F30" w:rsidRPr="00611F30" w:rsidRDefault="00611F30" w:rsidP="00611F30">
            <w:pPr>
              <w:spacing w:line="240" w:lineRule="auto"/>
              <w:ind w:firstLine="0"/>
              <w:jc w:val="center"/>
              <w:rPr>
                <w:rFonts w:eastAsia="Times New Roman"/>
              </w:rPr>
            </w:pPr>
          </w:p>
        </w:tc>
        <w:tc>
          <w:tcPr>
            <w:tcW w:w="118" w:type="dxa"/>
            <w:tcBorders>
              <w:top w:val="nil"/>
              <w:left w:val="nil"/>
              <w:bottom w:val="nil"/>
              <w:right w:val="nil"/>
            </w:tcBorders>
            <w:shd w:val="clear" w:color="auto" w:fill="auto"/>
            <w:noWrap/>
            <w:vAlign w:val="bottom"/>
          </w:tcPr>
          <w:p w14:paraId="0BDDAE81"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tcPr>
          <w:p w14:paraId="527C430F"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noWrap/>
            <w:vAlign w:val="bottom"/>
          </w:tcPr>
          <w:p w14:paraId="04257922" w14:textId="77777777" w:rsidR="00611F30" w:rsidRPr="00611F30" w:rsidRDefault="00611F30" w:rsidP="00611F30">
            <w:pPr>
              <w:spacing w:line="240" w:lineRule="auto"/>
              <w:ind w:firstLine="0"/>
              <w:jc w:val="center"/>
              <w:rPr>
                <w:rFonts w:eastAsia="Times New Roman"/>
              </w:rPr>
            </w:pPr>
          </w:p>
        </w:tc>
        <w:tc>
          <w:tcPr>
            <w:tcW w:w="487" w:type="dxa"/>
            <w:tcBorders>
              <w:top w:val="nil"/>
              <w:left w:val="nil"/>
              <w:bottom w:val="nil"/>
              <w:right w:val="nil"/>
            </w:tcBorders>
            <w:shd w:val="clear" w:color="auto" w:fill="auto"/>
            <w:noWrap/>
            <w:vAlign w:val="bottom"/>
          </w:tcPr>
          <w:p w14:paraId="2CA4C94C" w14:textId="77777777" w:rsidR="00611F30" w:rsidRPr="00611F30" w:rsidRDefault="00611F30" w:rsidP="00611F30">
            <w:pPr>
              <w:spacing w:line="240" w:lineRule="auto"/>
              <w:ind w:firstLine="0"/>
              <w:jc w:val="center"/>
              <w:rPr>
                <w:rFonts w:eastAsia="Times New Roman"/>
              </w:rPr>
            </w:pPr>
          </w:p>
        </w:tc>
        <w:tc>
          <w:tcPr>
            <w:tcW w:w="106" w:type="dxa"/>
            <w:tcBorders>
              <w:top w:val="nil"/>
              <w:left w:val="nil"/>
              <w:bottom w:val="nil"/>
              <w:right w:val="nil"/>
            </w:tcBorders>
            <w:shd w:val="clear" w:color="auto" w:fill="auto"/>
            <w:noWrap/>
            <w:vAlign w:val="bottom"/>
          </w:tcPr>
          <w:p w14:paraId="48CB2813"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tcPr>
          <w:p w14:paraId="34CD34F9" w14:textId="77777777" w:rsidR="00611F30" w:rsidRPr="00611F30" w:rsidRDefault="00611F30" w:rsidP="00611F30">
            <w:pPr>
              <w:spacing w:line="240" w:lineRule="auto"/>
              <w:ind w:firstLine="0"/>
              <w:jc w:val="center"/>
              <w:rPr>
                <w:rFonts w:eastAsia="Times New Roman"/>
              </w:rPr>
            </w:pPr>
          </w:p>
        </w:tc>
        <w:tc>
          <w:tcPr>
            <w:tcW w:w="1672" w:type="dxa"/>
            <w:tcBorders>
              <w:top w:val="nil"/>
              <w:left w:val="nil"/>
              <w:bottom w:val="nil"/>
              <w:right w:val="nil"/>
            </w:tcBorders>
            <w:shd w:val="clear" w:color="auto" w:fill="auto"/>
            <w:noWrap/>
            <w:vAlign w:val="bottom"/>
          </w:tcPr>
          <w:p w14:paraId="3F7606A7" w14:textId="77777777" w:rsidR="00611F30" w:rsidRPr="00611F30" w:rsidRDefault="00611F30" w:rsidP="00611F30">
            <w:pPr>
              <w:spacing w:line="240" w:lineRule="auto"/>
              <w:ind w:firstLine="0"/>
              <w:jc w:val="center"/>
              <w:rPr>
                <w:rFonts w:eastAsia="Times New Roman"/>
              </w:rPr>
            </w:pPr>
          </w:p>
        </w:tc>
        <w:tc>
          <w:tcPr>
            <w:tcW w:w="569" w:type="dxa"/>
            <w:tcBorders>
              <w:top w:val="nil"/>
              <w:left w:val="nil"/>
              <w:bottom w:val="nil"/>
              <w:right w:val="nil"/>
            </w:tcBorders>
            <w:shd w:val="clear" w:color="auto" w:fill="auto"/>
            <w:noWrap/>
            <w:vAlign w:val="bottom"/>
          </w:tcPr>
          <w:p w14:paraId="2DEA1879" w14:textId="77777777" w:rsidR="00611F30" w:rsidRPr="00611F30" w:rsidRDefault="00611F30" w:rsidP="00611F30">
            <w:pPr>
              <w:spacing w:line="240" w:lineRule="auto"/>
              <w:ind w:firstLine="0"/>
              <w:jc w:val="center"/>
              <w:rPr>
                <w:rFonts w:eastAsia="Times New Roman"/>
              </w:rPr>
            </w:pPr>
          </w:p>
        </w:tc>
      </w:tr>
      <w:tr w:rsidR="004E0FDA" w:rsidRPr="00611F30" w14:paraId="332043F6" w14:textId="77777777" w:rsidTr="004E0FDA">
        <w:trPr>
          <w:trHeight w:val="315"/>
          <w:jc w:val="center"/>
        </w:trPr>
        <w:tc>
          <w:tcPr>
            <w:tcW w:w="3444" w:type="dxa"/>
            <w:tcBorders>
              <w:top w:val="nil"/>
              <w:left w:val="nil"/>
              <w:bottom w:val="nil"/>
              <w:right w:val="nil"/>
            </w:tcBorders>
            <w:shd w:val="clear" w:color="auto" w:fill="auto"/>
            <w:noWrap/>
            <w:vAlign w:val="bottom"/>
            <w:hideMark/>
          </w:tcPr>
          <w:p w14:paraId="56E2EE67" w14:textId="77777777" w:rsidR="00611F30" w:rsidRPr="00611F30" w:rsidRDefault="00611F30" w:rsidP="004120A5">
            <w:pPr>
              <w:spacing w:line="240" w:lineRule="auto"/>
              <w:ind w:firstLine="0"/>
              <w:rPr>
                <w:rFonts w:eastAsia="Times New Roman"/>
                <w:color w:val="000000"/>
              </w:rPr>
            </w:pPr>
            <w:r w:rsidRPr="00611F30">
              <w:rPr>
                <w:rFonts w:eastAsia="Times New Roman"/>
                <w:color w:val="000000"/>
              </w:rPr>
              <w:t xml:space="preserve">   </w:t>
            </w:r>
            <w:r w:rsidR="004120A5">
              <w:rPr>
                <w:rFonts w:eastAsia="Times New Roman"/>
                <w:color w:val="000000"/>
              </w:rPr>
              <w:t>Marital</w:t>
            </w:r>
            <w:r w:rsidR="004120A5" w:rsidRPr="00611F30">
              <w:rPr>
                <w:rFonts w:eastAsia="Times New Roman"/>
                <w:color w:val="000000"/>
              </w:rPr>
              <w:t xml:space="preserve"> </w:t>
            </w:r>
            <w:r w:rsidRPr="00611F30">
              <w:rPr>
                <w:rFonts w:eastAsia="Times New Roman"/>
                <w:color w:val="000000"/>
              </w:rPr>
              <w:t>Intimacy (</w:t>
            </w:r>
            <w:r w:rsidR="004120A5">
              <w:rPr>
                <w:rFonts w:eastAsia="Times New Roman"/>
                <w:color w:val="000000"/>
              </w:rPr>
              <w:t>M</w:t>
            </w:r>
            <w:r w:rsidR="004120A5" w:rsidRPr="00611F30">
              <w:rPr>
                <w:rFonts w:eastAsia="Times New Roman"/>
                <w:color w:val="000000"/>
              </w:rPr>
              <w:t>I</w:t>
            </w:r>
            <w:r w:rsidRPr="00611F30">
              <w:rPr>
                <w:rFonts w:eastAsia="Times New Roman"/>
                <w:color w:val="000000"/>
              </w:rPr>
              <w:t>)</w:t>
            </w:r>
          </w:p>
        </w:tc>
        <w:tc>
          <w:tcPr>
            <w:tcW w:w="832" w:type="dxa"/>
            <w:tcBorders>
              <w:top w:val="nil"/>
              <w:left w:val="nil"/>
              <w:bottom w:val="nil"/>
              <w:right w:val="nil"/>
            </w:tcBorders>
            <w:shd w:val="clear" w:color="auto" w:fill="auto"/>
            <w:noWrap/>
            <w:vAlign w:val="bottom"/>
            <w:hideMark/>
          </w:tcPr>
          <w:p w14:paraId="5AE0BF1B" w14:textId="6EBC0EB6"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.1</w:t>
            </w:r>
            <w:r w:rsidR="00FB5702">
              <w:rPr>
                <w:rFonts w:eastAsia="Times New Roman"/>
                <w:color w:val="000000"/>
              </w:rPr>
              <w:t>9</w:t>
            </w:r>
            <w:r w:rsidRPr="00611F30">
              <w:rPr>
                <w:rFonts w:eastAsia="Times New Roman"/>
                <w:color w:val="000000"/>
                <w:vertAlign w:val="superscript"/>
              </w:rPr>
              <w:t>a</w:t>
            </w:r>
          </w:p>
        </w:tc>
        <w:tc>
          <w:tcPr>
            <w:tcW w:w="1766" w:type="dxa"/>
            <w:tcBorders>
              <w:top w:val="nil"/>
              <w:left w:val="nil"/>
              <w:bottom w:val="nil"/>
              <w:right w:val="nil"/>
            </w:tcBorders>
            <w:shd w:val="clear" w:color="auto" w:fill="auto"/>
            <w:noWrap/>
            <w:vAlign w:val="bottom"/>
            <w:hideMark/>
          </w:tcPr>
          <w:p w14:paraId="7B1058E7" w14:textId="2D7B839A"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[.15, .2</w:t>
            </w:r>
            <w:r w:rsidR="001B1995">
              <w:rPr>
                <w:rFonts w:eastAsia="Times New Roman"/>
                <w:color w:val="000000"/>
              </w:rPr>
              <w:t>2</w:t>
            </w:r>
            <w:r w:rsidRPr="00611F30">
              <w:rPr>
                <w:rFonts w:eastAsia="Times New Roman"/>
                <w:color w:val="000000"/>
              </w:rPr>
              <w:t>]</w:t>
            </w:r>
          </w:p>
        </w:tc>
        <w:tc>
          <w:tcPr>
            <w:tcW w:w="594" w:type="dxa"/>
            <w:tcBorders>
              <w:top w:val="nil"/>
              <w:left w:val="nil"/>
              <w:bottom w:val="nil"/>
              <w:right w:val="nil"/>
            </w:tcBorders>
            <w:shd w:val="clear" w:color="auto" w:fill="auto"/>
            <w:noWrap/>
            <w:vAlign w:val="bottom"/>
            <w:hideMark/>
          </w:tcPr>
          <w:p w14:paraId="3D2F9DEA" w14:textId="77777777"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.00</w:t>
            </w:r>
            <w:r w:rsidR="001B1995">
              <w:rPr>
                <w:rFonts w:eastAsia="Times New Roman"/>
                <w:color w:val="000000"/>
              </w:rPr>
              <w:t>1</w:t>
            </w:r>
          </w:p>
        </w:tc>
        <w:tc>
          <w:tcPr>
            <w:tcW w:w="118" w:type="dxa"/>
            <w:tcBorders>
              <w:top w:val="nil"/>
              <w:left w:val="nil"/>
              <w:bottom w:val="nil"/>
              <w:right w:val="nil"/>
            </w:tcBorders>
            <w:shd w:val="clear" w:color="auto" w:fill="auto"/>
            <w:noWrap/>
            <w:vAlign w:val="bottom"/>
            <w:hideMark/>
          </w:tcPr>
          <w:p w14:paraId="66C9E78E"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nil"/>
              <w:right w:val="nil"/>
            </w:tcBorders>
            <w:shd w:val="clear" w:color="auto" w:fill="auto"/>
            <w:noWrap/>
            <w:vAlign w:val="bottom"/>
            <w:hideMark/>
          </w:tcPr>
          <w:p w14:paraId="6AC532B6"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noWrap/>
            <w:vAlign w:val="bottom"/>
            <w:hideMark/>
          </w:tcPr>
          <w:p w14:paraId="2A376130" w14:textId="77777777" w:rsidR="00611F30" w:rsidRPr="00611F30" w:rsidRDefault="00611F30" w:rsidP="00611F30">
            <w:pPr>
              <w:spacing w:line="240" w:lineRule="auto"/>
              <w:ind w:firstLine="0"/>
              <w:jc w:val="center"/>
              <w:rPr>
                <w:rFonts w:eastAsia="Times New Roman"/>
              </w:rPr>
            </w:pPr>
          </w:p>
        </w:tc>
        <w:tc>
          <w:tcPr>
            <w:tcW w:w="487" w:type="dxa"/>
            <w:tcBorders>
              <w:top w:val="nil"/>
              <w:left w:val="nil"/>
              <w:bottom w:val="nil"/>
              <w:right w:val="nil"/>
            </w:tcBorders>
            <w:shd w:val="clear" w:color="auto" w:fill="auto"/>
            <w:noWrap/>
            <w:vAlign w:val="bottom"/>
            <w:hideMark/>
          </w:tcPr>
          <w:p w14:paraId="299825A9" w14:textId="77777777" w:rsidR="00611F30" w:rsidRPr="00611F30" w:rsidRDefault="00611F30" w:rsidP="00611F30">
            <w:pPr>
              <w:spacing w:line="240" w:lineRule="auto"/>
              <w:ind w:firstLine="0"/>
              <w:jc w:val="center"/>
              <w:rPr>
                <w:rFonts w:eastAsia="Times New Roman"/>
              </w:rPr>
            </w:pPr>
          </w:p>
        </w:tc>
        <w:tc>
          <w:tcPr>
            <w:tcW w:w="106" w:type="dxa"/>
            <w:tcBorders>
              <w:top w:val="nil"/>
              <w:left w:val="nil"/>
              <w:bottom w:val="nil"/>
              <w:right w:val="nil"/>
            </w:tcBorders>
            <w:shd w:val="clear" w:color="auto" w:fill="auto"/>
            <w:noWrap/>
            <w:vAlign w:val="bottom"/>
            <w:hideMark/>
          </w:tcPr>
          <w:p w14:paraId="4CE99937"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hideMark/>
          </w:tcPr>
          <w:p w14:paraId="38A79E22" w14:textId="77777777" w:rsidR="00611F30" w:rsidRPr="00611F30" w:rsidRDefault="00611F30" w:rsidP="00611F30">
            <w:pPr>
              <w:spacing w:line="240" w:lineRule="auto"/>
              <w:ind w:firstLine="0"/>
              <w:jc w:val="center"/>
              <w:rPr>
                <w:rFonts w:eastAsia="Times New Roman"/>
              </w:rPr>
            </w:pPr>
          </w:p>
        </w:tc>
        <w:tc>
          <w:tcPr>
            <w:tcW w:w="1672" w:type="dxa"/>
            <w:tcBorders>
              <w:top w:val="nil"/>
              <w:left w:val="nil"/>
              <w:bottom w:val="nil"/>
              <w:right w:val="nil"/>
            </w:tcBorders>
            <w:shd w:val="clear" w:color="auto" w:fill="auto"/>
            <w:noWrap/>
            <w:vAlign w:val="bottom"/>
            <w:hideMark/>
          </w:tcPr>
          <w:p w14:paraId="116A5F50" w14:textId="77777777" w:rsidR="00611F30" w:rsidRPr="00611F30" w:rsidRDefault="00611F30" w:rsidP="00611F30">
            <w:pPr>
              <w:spacing w:line="240" w:lineRule="auto"/>
              <w:ind w:firstLine="0"/>
              <w:jc w:val="center"/>
              <w:rPr>
                <w:rFonts w:eastAsia="Times New Roman"/>
              </w:rPr>
            </w:pPr>
          </w:p>
        </w:tc>
        <w:tc>
          <w:tcPr>
            <w:tcW w:w="569" w:type="dxa"/>
            <w:tcBorders>
              <w:top w:val="nil"/>
              <w:left w:val="nil"/>
              <w:bottom w:val="nil"/>
              <w:right w:val="nil"/>
            </w:tcBorders>
            <w:shd w:val="clear" w:color="auto" w:fill="auto"/>
            <w:noWrap/>
            <w:vAlign w:val="bottom"/>
            <w:hideMark/>
          </w:tcPr>
          <w:p w14:paraId="38D73530" w14:textId="77777777" w:rsidR="00611F30" w:rsidRPr="00611F30" w:rsidRDefault="00611F30" w:rsidP="00611F30">
            <w:pPr>
              <w:spacing w:line="240" w:lineRule="auto"/>
              <w:ind w:firstLine="0"/>
              <w:jc w:val="center"/>
              <w:rPr>
                <w:rFonts w:eastAsia="Times New Roman"/>
              </w:rPr>
            </w:pPr>
          </w:p>
        </w:tc>
      </w:tr>
      <w:tr w:rsidR="004E0FDA" w:rsidRPr="00611F30" w14:paraId="2F051B0F" w14:textId="77777777" w:rsidTr="004E0FDA">
        <w:trPr>
          <w:trHeight w:val="297"/>
          <w:jc w:val="center"/>
        </w:trPr>
        <w:tc>
          <w:tcPr>
            <w:tcW w:w="3444" w:type="dxa"/>
            <w:tcBorders>
              <w:top w:val="nil"/>
              <w:left w:val="nil"/>
              <w:bottom w:val="nil"/>
              <w:right w:val="nil"/>
            </w:tcBorders>
            <w:shd w:val="clear" w:color="auto" w:fill="auto"/>
            <w:noWrap/>
            <w:vAlign w:val="bottom"/>
            <w:hideMark/>
          </w:tcPr>
          <w:p w14:paraId="77DBFFD1"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xml:space="preserve">   Well-Being (WB)</w:t>
            </w:r>
          </w:p>
        </w:tc>
        <w:tc>
          <w:tcPr>
            <w:tcW w:w="832" w:type="dxa"/>
            <w:tcBorders>
              <w:top w:val="nil"/>
              <w:left w:val="nil"/>
              <w:bottom w:val="nil"/>
              <w:right w:val="nil"/>
            </w:tcBorders>
            <w:shd w:val="clear" w:color="auto" w:fill="auto"/>
            <w:noWrap/>
            <w:vAlign w:val="bottom"/>
            <w:hideMark/>
          </w:tcPr>
          <w:p w14:paraId="4DF1F1C1" w14:textId="4952ED57" w:rsidR="00611F30" w:rsidRPr="00611F30" w:rsidRDefault="00611F30" w:rsidP="008B589C">
            <w:pPr>
              <w:spacing w:line="240" w:lineRule="auto"/>
              <w:ind w:firstLine="0"/>
              <w:jc w:val="center"/>
              <w:rPr>
                <w:rFonts w:eastAsia="Times New Roman"/>
                <w:color w:val="000000"/>
              </w:rPr>
            </w:pPr>
            <w:r w:rsidRPr="00611F30">
              <w:rPr>
                <w:rFonts w:eastAsia="Times New Roman"/>
                <w:color w:val="000000"/>
              </w:rPr>
              <w:t>.4</w:t>
            </w:r>
            <w:r w:rsidR="00FB5702">
              <w:rPr>
                <w:rFonts w:eastAsia="Times New Roman"/>
                <w:color w:val="000000"/>
              </w:rPr>
              <w:t>2</w:t>
            </w:r>
            <w:r w:rsidRPr="00611F30">
              <w:rPr>
                <w:rFonts w:eastAsia="Times New Roman"/>
                <w:color w:val="000000"/>
                <w:vertAlign w:val="superscript"/>
              </w:rPr>
              <w:t>b</w:t>
            </w:r>
          </w:p>
        </w:tc>
        <w:tc>
          <w:tcPr>
            <w:tcW w:w="1766" w:type="dxa"/>
            <w:tcBorders>
              <w:top w:val="nil"/>
              <w:left w:val="nil"/>
              <w:bottom w:val="nil"/>
              <w:right w:val="nil"/>
            </w:tcBorders>
            <w:shd w:val="clear" w:color="auto" w:fill="auto"/>
            <w:noWrap/>
            <w:vAlign w:val="bottom"/>
            <w:hideMark/>
          </w:tcPr>
          <w:p w14:paraId="55D46AA1" w14:textId="1A6B0ED8"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[.3</w:t>
            </w:r>
            <w:r w:rsidR="00FB5702">
              <w:rPr>
                <w:rFonts w:eastAsia="Times New Roman"/>
                <w:color w:val="000000"/>
              </w:rPr>
              <w:t>8</w:t>
            </w:r>
            <w:r w:rsidRPr="00611F30">
              <w:rPr>
                <w:rFonts w:eastAsia="Times New Roman"/>
                <w:color w:val="000000"/>
              </w:rPr>
              <w:t>, .46]</w:t>
            </w:r>
          </w:p>
        </w:tc>
        <w:tc>
          <w:tcPr>
            <w:tcW w:w="594" w:type="dxa"/>
            <w:tcBorders>
              <w:top w:val="nil"/>
              <w:left w:val="nil"/>
              <w:bottom w:val="nil"/>
              <w:right w:val="nil"/>
            </w:tcBorders>
            <w:shd w:val="clear" w:color="auto" w:fill="auto"/>
            <w:noWrap/>
            <w:vAlign w:val="bottom"/>
            <w:hideMark/>
          </w:tcPr>
          <w:p w14:paraId="510B8372" w14:textId="77777777" w:rsidR="00611F30" w:rsidRPr="00611F30" w:rsidRDefault="00611F30" w:rsidP="00E536F6">
            <w:pPr>
              <w:spacing w:line="240" w:lineRule="auto"/>
              <w:ind w:firstLine="0"/>
              <w:jc w:val="center"/>
              <w:rPr>
                <w:rFonts w:eastAsia="Times New Roman"/>
                <w:color w:val="000000"/>
              </w:rPr>
            </w:pPr>
            <w:r w:rsidRPr="00611F30">
              <w:rPr>
                <w:rFonts w:eastAsia="Times New Roman"/>
                <w:color w:val="000000"/>
              </w:rPr>
              <w:t>.00</w:t>
            </w:r>
            <w:r w:rsidR="00CD3082">
              <w:rPr>
                <w:rFonts w:eastAsia="Times New Roman"/>
                <w:color w:val="000000"/>
              </w:rPr>
              <w:t>3</w:t>
            </w:r>
          </w:p>
        </w:tc>
        <w:tc>
          <w:tcPr>
            <w:tcW w:w="118" w:type="dxa"/>
            <w:tcBorders>
              <w:top w:val="nil"/>
              <w:left w:val="nil"/>
              <w:bottom w:val="nil"/>
              <w:right w:val="nil"/>
            </w:tcBorders>
            <w:shd w:val="clear" w:color="auto" w:fill="auto"/>
            <w:noWrap/>
            <w:vAlign w:val="bottom"/>
            <w:hideMark/>
          </w:tcPr>
          <w:p w14:paraId="41BE87E7"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nil"/>
              <w:right w:val="nil"/>
            </w:tcBorders>
            <w:shd w:val="clear" w:color="auto" w:fill="auto"/>
            <w:noWrap/>
            <w:vAlign w:val="bottom"/>
            <w:hideMark/>
          </w:tcPr>
          <w:p w14:paraId="45707A71" w14:textId="76D13C32" w:rsidR="00611F30" w:rsidRPr="00611F30" w:rsidRDefault="00611F30" w:rsidP="008B589C">
            <w:pPr>
              <w:spacing w:line="240" w:lineRule="auto"/>
              <w:ind w:firstLine="0"/>
              <w:jc w:val="center"/>
              <w:rPr>
                <w:rFonts w:eastAsia="Times New Roman"/>
              </w:rPr>
            </w:pPr>
            <w:r w:rsidRPr="00611F30">
              <w:rPr>
                <w:rFonts w:eastAsia="Times New Roman"/>
                <w:color w:val="000000"/>
              </w:rPr>
              <w:t>.1</w:t>
            </w:r>
            <w:r w:rsidR="00482B40">
              <w:rPr>
                <w:rFonts w:eastAsia="Times New Roman"/>
                <w:color w:val="000000"/>
              </w:rPr>
              <w:t>3</w:t>
            </w:r>
            <w:r w:rsidRPr="00611F30">
              <w:rPr>
                <w:rFonts w:eastAsia="Times New Roman"/>
                <w:color w:val="000000"/>
                <w:vertAlign w:val="superscript"/>
              </w:rPr>
              <w:t>c</w:t>
            </w:r>
          </w:p>
        </w:tc>
        <w:tc>
          <w:tcPr>
            <w:tcW w:w="1766" w:type="dxa"/>
            <w:tcBorders>
              <w:top w:val="nil"/>
              <w:left w:val="nil"/>
              <w:bottom w:val="nil"/>
              <w:right w:val="nil"/>
            </w:tcBorders>
            <w:shd w:val="clear" w:color="auto" w:fill="auto"/>
            <w:noWrap/>
            <w:vAlign w:val="bottom"/>
            <w:hideMark/>
          </w:tcPr>
          <w:p w14:paraId="07160C82" w14:textId="21B796C5" w:rsidR="00611F30" w:rsidRPr="00611F30" w:rsidRDefault="00611F30" w:rsidP="001B1995">
            <w:pPr>
              <w:spacing w:line="240" w:lineRule="auto"/>
              <w:ind w:firstLine="0"/>
              <w:jc w:val="center"/>
              <w:rPr>
                <w:rFonts w:eastAsia="Times New Roman"/>
              </w:rPr>
            </w:pPr>
            <w:r w:rsidRPr="00611F30">
              <w:rPr>
                <w:rFonts w:eastAsia="Times New Roman"/>
                <w:color w:val="000000"/>
              </w:rPr>
              <w:t>[.</w:t>
            </w:r>
            <w:r w:rsidR="00CA406D">
              <w:rPr>
                <w:rFonts w:eastAsia="Times New Roman"/>
                <w:color w:val="000000"/>
              </w:rPr>
              <w:t>1</w:t>
            </w:r>
            <w:r w:rsidR="00FB5702">
              <w:rPr>
                <w:rFonts w:eastAsia="Times New Roman"/>
                <w:color w:val="000000"/>
              </w:rPr>
              <w:t>1</w:t>
            </w:r>
            <w:r w:rsidRPr="00611F30">
              <w:rPr>
                <w:rFonts w:eastAsia="Times New Roman"/>
                <w:color w:val="000000"/>
              </w:rPr>
              <w:t>, .1</w:t>
            </w:r>
            <w:r w:rsidR="00FB5702">
              <w:rPr>
                <w:rFonts w:eastAsia="Times New Roman"/>
                <w:color w:val="000000"/>
              </w:rPr>
              <w:t>6</w:t>
            </w:r>
            <w:r w:rsidRPr="00611F30">
              <w:rPr>
                <w:rFonts w:eastAsia="Times New Roman"/>
                <w:color w:val="000000"/>
              </w:rPr>
              <w:t>]</w:t>
            </w:r>
          </w:p>
        </w:tc>
        <w:tc>
          <w:tcPr>
            <w:tcW w:w="487" w:type="dxa"/>
            <w:tcBorders>
              <w:top w:val="nil"/>
              <w:left w:val="nil"/>
              <w:bottom w:val="nil"/>
              <w:right w:val="nil"/>
            </w:tcBorders>
            <w:shd w:val="clear" w:color="auto" w:fill="auto"/>
            <w:noWrap/>
            <w:vAlign w:val="bottom"/>
            <w:hideMark/>
          </w:tcPr>
          <w:p w14:paraId="73EA8754" w14:textId="77777777" w:rsidR="00611F30" w:rsidRPr="00611F30" w:rsidRDefault="00611F30" w:rsidP="001B1995">
            <w:pPr>
              <w:spacing w:line="240" w:lineRule="auto"/>
              <w:ind w:firstLine="0"/>
              <w:jc w:val="center"/>
              <w:rPr>
                <w:rFonts w:eastAsia="Times New Roman"/>
              </w:rPr>
            </w:pPr>
            <w:r w:rsidRPr="00611F30">
              <w:rPr>
                <w:rFonts w:eastAsia="Times New Roman"/>
                <w:color w:val="000000"/>
              </w:rPr>
              <w:t>.00</w:t>
            </w:r>
            <w:r w:rsidR="001B1995">
              <w:rPr>
                <w:rFonts w:eastAsia="Times New Roman"/>
                <w:color w:val="000000"/>
              </w:rPr>
              <w:t>1</w:t>
            </w:r>
          </w:p>
        </w:tc>
        <w:tc>
          <w:tcPr>
            <w:tcW w:w="106" w:type="dxa"/>
            <w:tcBorders>
              <w:top w:val="nil"/>
              <w:left w:val="nil"/>
              <w:bottom w:val="nil"/>
              <w:right w:val="nil"/>
            </w:tcBorders>
            <w:shd w:val="clear" w:color="auto" w:fill="auto"/>
            <w:noWrap/>
            <w:vAlign w:val="bottom"/>
            <w:hideMark/>
          </w:tcPr>
          <w:p w14:paraId="075692E3"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tcPr>
          <w:p w14:paraId="1F4DBB33" w14:textId="77777777" w:rsidR="00611F30" w:rsidRPr="00611F30" w:rsidRDefault="00611F30" w:rsidP="00611F30">
            <w:pPr>
              <w:spacing w:line="240" w:lineRule="auto"/>
              <w:ind w:firstLine="0"/>
              <w:jc w:val="center"/>
              <w:rPr>
                <w:rFonts w:eastAsia="Times New Roman"/>
                <w:color w:val="000000"/>
              </w:rPr>
            </w:pPr>
          </w:p>
        </w:tc>
        <w:tc>
          <w:tcPr>
            <w:tcW w:w="1672" w:type="dxa"/>
            <w:tcBorders>
              <w:top w:val="nil"/>
              <w:left w:val="nil"/>
              <w:bottom w:val="nil"/>
              <w:right w:val="nil"/>
            </w:tcBorders>
            <w:shd w:val="clear" w:color="auto" w:fill="auto"/>
            <w:noWrap/>
            <w:vAlign w:val="bottom"/>
          </w:tcPr>
          <w:p w14:paraId="041357DE" w14:textId="77777777" w:rsidR="00611F30" w:rsidRPr="00611F30" w:rsidRDefault="00611F30" w:rsidP="00611F30">
            <w:pPr>
              <w:spacing w:line="240" w:lineRule="auto"/>
              <w:ind w:firstLine="0"/>
              <w:jc w:val="center"/>
              <w:rPr>
                <w:rFonts w:eastAsia="Times New Roman"/>
                <w:color w:val="000000"/>
              </w:rPr>
            </w:pPr>
          </w:p>
        </w:tc>
        <w:tc>
          <w:tcPr>
            <w:tcW w:w="569" w:type="dxa"/>
            <w:tcBorders>
              <w:top w:val="nil"/>
              <w:left w:val="nil"/>
              <w:bottom w:val="nil"/>
              <w:right w:val="nil"/>
            </w:tcBorders>
            <w:shd w:val="clear" w:color="auto" w:fill="auto"/>
            <w:noWrap/>
            <w:vAlign w:val="bottom"/>
          </w:tcPr>
          <w:p w14:paraId="751E85EF" w14:textId="77777777" w:rsidR="00611F30" w:rsidRPr="00611F30" w:rsidRDefault="00611F30" w:rsidP="00611F30">
            <w:pPr>
              <w:spacing w:line="240" w:lineRule="auto"/>
              <w:ind w:firstLine="0"/>
              <w:jc w:val="center"/>
              <w:rPr>
                <w:rFonts w:eastAsia="Times New Roman"/>
                <w:color w:val="000000"/>
              </w:rPr>
            </w:pPr>
          </w:p>
        </w:tc>
      </w:tr>
      <w:tr w:rsidR="004E0FDA" w:rsidRPr="00611F30" w14:paraId="7AB34C2A" w14:textId="77777777" w:rsidTr="004E0FDA">
        <w:trPr>
          <w:trHeight w:val="315"/>
          <w:jc w:val="center"/>
        </w:trPr>
        <w:tc>
          <w:tcPr>
            <w:tcW w:w="3444" w:type="dxa"/>
            <w:tcBorders>
              <w:top w:val="nil"/>
              <w:left w:val="nil"/>
              <w:bottom w:val="nil"/>
              <w:right w:val="nil"/>
            </w:tcBorders>
            <w:shd w:val="clear" w:color="auto" w:fill="auto"/>
            <w:noWrap/>
            <w:vAlign w:val="bottom"/>
            <w:hideMark/>
          </w:tcPr>
          <w:p w14:paraId="71EBE464"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xml:space="preserve">   </w:t>
            </w:r>
          </w:p>
        </w:tc>
        <w:tc>
          <w:tcPr>
            <w:tcW w:w="832" w:type="dxa"/>
            <w:tcBorders>
              <w:top w:val="nil"/>
              <w:left w:val="nil"/>
              <w:bottom w:val="nil"/>
              <w:right w:val="nil"/>
            </w:tcBorders>
            <w:shd w:val="clear" w:color="auto" w:fill="auto"/>
            <w:noWrap/>
            <w:vAlign w:val="bottom"/>
            <w:hideMark/>
          </w:tcPr>
          <w:p w14:paraId="01A5B749" w14:textId="77777777" w:rsidR="00611F30" w:rsidRPr="00611F30" w:rsidRDefault="00611F30" w:rsidP="00611F30">
            <w:pPr>
              <w:spacing w:line="240" w:lineRule="auto"/>
              <w:ind w:firstLine="0"/>
              <w:jc w:val="center"/>
              <w:rPr>
                <w:rFonts w:eastAsia="Times New Roman"/>
                <w:color w:val="000000"/>
              </w:rPr>
            </w:pPr>
          </w:p>
        </w:tc>
        <w:tc>
          <w:tcPr>
            <w:tcW w:w="1766" w:type="dxa"/>
            <w:tcBorders>
              <w:top w:val="nil"/>
              <w:left w:val="nil"/>
              <w:bottom w:val="nil"/>
              <w:right w:val="nil"/>
            </w:tcBorders>
            <w:shd w:val="clear" w:color="auto" w:fill="auto"/>
            <w:noWrap/>
            <w:vAlign w:val="bottom"/>
            <w:hideMark/>
          </w:tcPr>
          <w:p w14:paraId="4D750ECF" w14:textId="77777777" w:rsidR="00611F30" w:rsidRPr="00611F30" w:rsidRDefault="00611F30" w:rsidP="00611F30">
            <w:pPr>
              <w:spacing w:line="240" w:lineRule="auto"/>
              <w:ind w:firstLine="0"/>
              <w:jc w:val="center"/>
              <w:rPr>
                <w:rFonts w:eastAsia="Times New Roman"/>
              </w:rPr>
            </w:pPr>
          </w:p>
        </w:tc>
        <w:tc>
          <w:tcPr>
            <w:tcW w:w="594" w:type="dxa"/>
            <w:tcBorders>
              <w:top w:val="nil"/>
              <w:left w:val="nil"/>
              <w:bottom w:val="nil"/>
              <w:right w:val="nil"/>
            </w:tcBorders>
            <w:shd w:val="clear" w:color="auto" w:fill="auto"/>
            <w:noWrap/>
            <w:vAlign w:val="bottom"/>
            <w:hideMark/>
          </w:tcPr>
          <w:p w14:paraId="1EC60A3F" w14:textId="77777777" w:rsidR="00611F30" w:rsidRPr="00611F30" w:rsidRDefault="00611F30" w:rsidP="00611F30">
            <w:pPr>
              <w:spacing w:line="240" w:lineRule="auto"/>
              <w:ind w:firstLine="0"/>
              <w:jc w:val="center"/>
              <w:rPr>
                <w:rFonts w:eastAsia="Times New Roman"/>
              </w:rPr>
            </w:pPr>
          </w:p>
        </w:tc>
        <w:tc>
          <w:tcPr>
            <w:tcW w:w="118" w:type="dxa"/>
            <w:tcBorders>
              <w:top w:val="nil"/>
              <w:left w:val="nil"/>
              <w:bottom w:val="nil"/>
              <w:right w:val="nil"/>
            </w:tcBorders>
            <w:shd w:val="clear" w:color="auto" w:fill="auto"/>
            <w:noWrap/>
            <w:vAlign w:val="bottom"/>
            <w:hideMark/>
          </w:tcPr>
          <w:p w14:paraId="2E83D92C"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hideMark/>
          </w:tcPr>
          <w:p w14:paraId="132F2F00"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noWrap/>
            <w:vAlign w:val="bottom"/>
            <w:hideMark/>
          </w:tcPr>
          <w:p w14:paraId="142AC774" w14:textId="77777777" w:rsidR="00611F30" w:rsidRPr="00611F30" w:rsidRDefault="00611F30" w:rsidP="00611F30">
            <w:pPr>
              <w:spacing w:line="240" w:lineRule="auto"/>
              <w:ind w:firstLine="0"/>
              <w:jc w:val="center"/>
              <w:rPr>
                <w:rFonts w:eastAsia="Times New Roman"/>
              </w:rPr>
            </w:pPr>
          </w:p>
        </w:tc>
        <w:tc>
          <w:tcPr>
            <w:tcW w:w="487" w:type="dxa"/>
            <w:tcBorders>
              <w:top w:val="nil"/>
              <w:left w:val="nil"/>
              <w:bottom w:val="nil"/>
              <w:right w:val="nil"/>
            </w:tcBorders>
            <w:shd w:val="clear" w:color="auto" w:fill="auto"/>
            <w:noWrap/>
            <w:vAlign w:val="bottom"/>
            <w:hideMark/>
          </w:tcPr>
          <w:p w14:paraId="48326650" w14:textId="77777777" w:rsidR="00611F30" w:rsidRPr="00611F30" w:rsidRDefault="00611F30" w:rsidP="00611F30">
            <w:pPr>
              <w:spacing w:line="240" w:lineRule="auto"/>
              <w:ind w:firstLine="0"/>
              <w:jc w:val="center"/>
              <w:rPr>
                <w:rFonts w:eastAsia="Times New Roman"/>
              </w:rPr>
            </w:pPr>
          </w:p>
        </w:tc>
        <w:tc>
          <w:tcPr>
            <w:tcW w:w="106" w:type="dxa"/>
            <w:tcBorders>
              <w:top w:val="nil"/>
              <w:left w:val="nil"/>
              <w:bottom w:val="nil"/>
              <w:right w:val="nil"/>
            </w:tcBorders>
            <w:shd w:val="clear" w:color="auto" w:fill="auto"/>
            <w:noWrap/>
            <w:vAlign w:val="bottom"/>
            <w:hideMark/>
          </w:tcPr>
          <w:p w14:paraId="508BD53E"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hideMark/>
          </w:tcPr>
          <w:p w14:paraId="1F807E9F" w14:textId="77777777" w:rsidR="00611F30" w:rsidRPr="00611F30" w:rsidRDefault="00611F30" w:rsidP="00611F30">
            <w:pPr>
              <w:spacing w:line="240" w:lineRule="auto"/>
              <w:ind w:firstLine="0"/>
              <w:jc w:val="center"/>
              <w:rPr>
                <w:rFonts w:eastAsia="Times New Roman"/>
              </w:rPr>
            </w:pPr>
          </w:p>
        </w:tc>
        <w:tc>
          <w:tcPr>
            <w:tcW w:w="1672" w:type="dxa"/>
            <w:tcBorders>
              <w:top w:val="nil"/>
              <w:left w:val="nil"/>
              <w:bottom w:val="nil"/>
              <w:right w:val="nil"/>
            </w:tcBorders>
            <w:shd w:val="clear" w:color="auto" w:fill="auto"/>
            <w:noWrap/>
            <w:vAlign w:val="bottom"/>
            <w:hideMark/>
          </w:tcPr>
          <w:p w14:paraId="1F865E19" w14:textId="77777777" w:rsidR="00611F30" w:rsidRPr="00611F30" w:rsidRDefault="00611F30" w:rsidP="00611F30">
            <w:pPr>
              <w:spacing w:line="240" w:lineRule="auto"/>
              <w:ind w:firstLine="0"/>
              <w:jc w:val="center"/>
              <w:rPr>
                <w:rFonts w:eastAsia="Times New Roman"/>
              </w:rPr>
            </w:pPr>
          </w:p>
        </w:tc>
        <w:tc>
          <w:tcPr>
            <w:tcW w:w="569" w:type="dxa"/>
            <w:tcBorders>
              <w:top w:val="nil"/>
              <w:left w:val="nil"/>
              <w:bottom w:val="nil"/>
              <w:right w:val="nil"/>
            </w:tcBorders>
            <w:shd w:val="clear" w:color="auto" w:fill="auto"/>
            <w:noWrap/>
            <w:vAlign w:val="bottom"/>
            <w:hideMark/>
          </w:tcPr>
          <w:p w14:paraId="00D4B1BD" w14:textId="77777777" w:rsidR="00611F30" w:rsidRPr="00611F30" w:rsidRDefault="00611F30" w:rsidP="00611F30">
            <w:pPr>
              <w:spacing w:line="240" w:lineRule="auto"/>
              <w:ind w:firstLine="0"/>
              <w:jc w:val="center"/>
              <w:rPr>
                <w:rFonts w:eastAsia="Times New Roman"/>
              </w:rPr>
            </w:pPr>
          </w:p>
        </w:tc>
      </w:tr>
      <w:tr w:rsidR="004E0FDA" w:rsidRPr="00611F30" w14:paraId="1232DF6C" w14:textId="77777777" w:rsidTr="004E0FDA">
        <w:trPr>
          <w:trHeight w:val="315"/>
          <w:jc w:val="center"/>
        </w:trPr>
        <w:tc>
          <w:tcPr>
            <w:tcW w:w="3444" w:type="dxa"/>
            <w:tcBorders>
              <w:top w:val="nil"/>
              <w:left w:val="nil"/>
              <w:bottom w:val="nil"/>
              <w:right w:val="nil"/>
            </w:tcBorders>
            <w:shd w:val="clear" w:color="auto" w:fill="auto"/>
            <w:noWrap/>
            <w:vAlign w:val="bottom"/>
            <w:hideMark/>
          </w:tcPr>
          <w:p w14:paraId="4B7DE36A" w14:textId="77777777" w:rsidR="00611F30" w:rsidRPr="00611F30" w:rsidRDefault="00611F30" w:rsidP="00611F30">
            <w:pPr>
              <w:spacing w:line="240" w:lineRule="auto"/>
              <w:ind w:firstLine="0"/>
              <w:rPr>
                <w:rFonts w:eastAsia="Times New Roman"/>
              </w:rPr>
            </w:pPr>
            <w:r w:rsidRPr="00611F30">
              <w:rPr>
                <w:rFonts w:eastAsia="Times New Roman"/>
              </w:rPr>
              <w:t>Standardized Total Effects</w:t>
            </w:r>
          </w:p>
        </w:tc>
        <w:tc>
          <w:tcPr>
            <w:tcW w:w="832" w:type="dxa"/>
            <w:tcBorders>
              <w:top w:val="nil"/>
              <w:left w:val="nil"/>
              <w:bottom w:val="nil"/>
              <w:right w:val="nil"/>
            </w:tcBorders>
            <w:shd w:val="clear" w:color="auto" w:fill="auto"/>
            <w:noWrap/>
            <w:vAlign w:val="bottom"/>
            <w:hideMark/>
          </w:tcPr>
          <w:p w14:paraId="378A3E23"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noWrap/>
            <w:vAlign w:val="bottom"/>
            <w:hideMark/>
          </w:tcPr>
          <w:p w14:paraId="4D7E9C61" w14:textId="77777777" w:rsidR="00611F30" w:rsidRPr="00611F30" w:rsidRDefault="00611F30" w:rsidP="00611F30">
            <w:pPr>
              <w:spacing w:line="240" w:lineRule="auto"/>
              <w:ind w:firstLine="0"/>
              <w:jc w:val="center"/>
              <w:rPr>
                <w:rFonts w:eastAsia="Times New Roman"/>
              </w:rPr>
            </w:pPr>
          </w:p>
        </w:tc>
        <w:tc>
          <w:tcPr>
            <w:tcW w:w="594" w:type="dxa"/>
            <w:tcBorders>
              <w:top w:val="nil"/>
              <w:left w:val="nil"/>
              <w:bottom w:val="nil"/>
              <w:right w:val="nil"/>
            </w:tcBorders>
            <w:shd w:val="clear" w:color="auto" w:fill="auto"/>
            <w:noWrap/>
            <w:vAlign w:val="bottom"/>
            <w:hideMark/>
          </w:tcPr>
          <w:p w14:paraId="0D422303" w14:textId="77777777" w:rsidR="00611F30" w:rsidRPr="00611F30" w:rsidRDefault="00611F30" w:rsidP="00611F30">
            <w:pPr>
              <w:spacing w:line="240" w:lineRule="auto"/>
              <w:ind w:firstLine="0"/>
              <w:jc w:val="center"/>
              <w:rPr>
                <w:rFonts w:eastAsia="Times New Roman"/>
              </w:rPr>
            </w:pPr>
          </w:p>
        </w:tc>
        <w:tc>
          <w:tcPr>
            <w:tcW w:w="118" w:type="dxa"/>
            <w:tcBorders>
              <w:top w:val="nil"/>
              <w:left w:val="nil"/>
              <w:bottom w:val="nil"/>
              <w:right w:val="nil"/>
            </w:tcBorders>
            <w:shd w:val="clear" w:color="auto" w:fill="auto"/>
            <w:noWrap/>
            <w:vAlign w:val="bottom"/>
            <w:hideMark/>
          </w:tcPr>
          <w:p w14:paraId="3D45E18A"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hideMark/>
          </w:tcPr>
          <w:p w14:paraId="3CEA2E7E"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noWrap/>
            <w:vAlign w:val="bottom"/>
            <w:hideMark/>
          </w:tcPr>
          <w:p w14:paraId="7F067CEC" w14:textId="77777777" w:rsidR="00611F30" w:rsidRPr="00611F30" w:rsidRDefault="00611F30" w:rsidP="00611F30">
            <w:pPr>
              <w:spacing w:line="240" w:lineRule="auto"/>
              <w:ind w:firstLine="0"/>
              <w:jc w:val="center"/>
              <w:rPr>
                <w:rFonts w:eastAsia="Times New Roman"/>
              </w:rPr>
            </w:pPr>
          </w:p>
        </w:tc>
        <w:tc>
          <w:tcPr>
            <w:tcW w:w="487" w:type="dxa"/>
            <w:tcBorders>
              <w:top w:val="nil"/>
              <w:left w:val="nil"/>
              <w:bottom w:val="nil"/>
              <w:right w:val="nil"/>
            </w:tcBorders>
            <w:shd w:val="clear" w:color="auto" w:fill="auto"/>
            <w:noWrap/>
            <w:vAlign w:val="bottom"/>
            <w:hideMark/>
          </w:tcPr>
          <w:p w14:paraId="36F3722E" w14:textId="77777777" w:rsidR="00611F30" w:rsidRPr="00611F30" w:rsidRDefault="00611F30" w:rsidP="00611F30">
            <w:pPr>
              <w:spacing w:line="240" w:lineRule="auto"/>
              <w:ind w:firstLine="0"/>
              <w:jc w:val="center"/>
              <w:rPr>
                <w:rFonts w:eastAsia="Times New Roman"/>
              </w:rPr>
            </w:pPr>
          </w:p>
        </w:tc>
        <w:tc>
          <w:tcPr>
            <w:tcW w:w="106" w:type="dxa"/>
            <w:tcBorders>
              <w:top w:val="nil"/>
              <w:left w:val="nil"/>
              <w:bottom w:val="nil"/>
              <w:right w:val="nil"/>
            </w:tcBorders>
            <w:shd w:val="clear" w:color="auto" w:fill="auto"/>
            <w:noWrap/>
            <w:vAlign w:val="bottom"/>
            <w:hideMark/>
          </w:tcPr>
          <w:p w14:paraId="34701FB6"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hideMark/>
          </w:tcPr>
          <w:p w14:paraId="4C7D4A28" w14:textId="77777777" w:rsidR="00611F30" w:rsidRPr="00611F30" w:rsidRDefault="00611F30" w:rsidP="00611F30">
            <w:pPr>
              <w:spacing w:line="240" w:lineRule="auto"/>
              <w:ind w:firstLine="0"/>
              <w:jc w:val="center"/>
              <w:rPr>
                <w:rFonts w:eastAsia="Times New Roman"/>
              </w:rPr>
            </w:pPr>
          </w:p>
        </w:tc>
        <w:tc>
          <w:tcPr>
            <w:tcW w:w="1672" w:type="dxa"/>
            <w:tcBorders>
              <w:top w:val="nil"/>
              <w:left w:val="nil"/>
              <w:bottom w:val="nil"/>
              <w:right w:val="nil"/>
            </w:tcBorders>
            <w:shd w:val="clear" w:color="auto" w:fill="auto"/>
            <w:noWrap/>
            <w:vAlign w:val="bottom"/>
            <w:hideMark/>
          </w:tcPr>
          <w:p w14:paraId="7D92AD7B" w14:textId="77777777" w:rsidR="00611F30" w:rsidRPr="00611F30" w:rsidRDefault="00611F30" w:rsidP="00611F30">
            <w:pPr>
              <w:spacing w:line="240" w:lineRule="auto"/>
              <w:ind w:firstLine="0"/>
              <w:jc w:val="center"/>
              <w:rPr>
                <w:rFonts w:eastAsia="Times New Roman"/>
              </w:rPr>
            </w:pPr>
          </w:p>
        </w:tc>
        <w:tc>
          <w:tcPr>
            <w:tcW w:w="569" w:type="dxa"/>
            <w:tcBorders>
              <w:top w:val="nil"/>
              <w:left w:val="nil"/>
              <w:bottom w:val="nil"/>
              <w:right w:val="nil"/>
            </w:tcBorders>
            <w:shd w:val="clear" w:color="auto" w:fill="auto"/>
            <w:noWrap/>
            <w:vAlign w:val="bottom"/>
            <w:hideMark/>
          </w:tcPr>
          <w:p w14:paraId="7F16366D" w14:textId="77777777" w:rsidR="00611F30" w:rsidRPr="00611F30" w:rsidRDefault="00611F30" w:rsidP="00611F30">
            <w:pPr>
              <w:spacing w:line="240" w:lineRule="auto"/>
              <w:ind w:firstLine="0"/>
              <w:jc w:val="center"/>
              <w:rPr>
                <w:rFonts w:eastAsia="Times New Roman"/>
              </w:rPr>
            </w:pPr>
          </w:p>
        </w:tc>
      </w:tr>
      <w:tr w:rsidR="004E0FDA" w:rsidRPr="00611F30" w14:paraId="55B6F627" w14:textId="77777777" w:rsidTr="004E0FDA">
        <w:trPr>
          <w:trHeight w:val="315"/>
          <w:jc w:val="center"/>
        </w:trPr>
        <w:tc>
          <w:tcPr>
            <w:tcW w:w="3444" w:type="dxa"/>
            <w:tcBorders>
              <w:top w:val="nil"/>
              <w:left w:val="nil"/>
              <w:bottom w:val="nil"/>
              <w:right w:val="nil"/>
            </w:tcBorders>
            <w:shd w:val="clear" w:color="auto" w:fill="auto"/>
            <w:noWrap/>
            <w:vAlign w:val="bottom"/>
            <w:hideMark/>
          </w:tcPr>
          <w:p w14:paraId="44B1F465"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xml:space="preserve">   Spiritual Meaning (SM)</w:t>
            </w:r>
          </w:p>
        </w:tc>
        <w:tc>
          <w:tcPr>
            <w:tcW w:w="832" w:type="dxa"/>
            <w:tcBorders>
              <w:top w:val="nil"/>
              <w:left w:val="nil"/>
              <w:bottom w:val="nil"/>
              <w:right w:val="nil"/>
            </w:tcBorders>
            <w:shd w:val="clear" w:color="auto" w:fill="auto"/>
            <w:noWrap/>
            <w:vAlign w:val="bottom"/>
            <w:hideMark/>
          </w:tcPr>
          <w:p w14:paraId="79F9AF70" w14:textId="5CF1B0A0"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.64</w:t>
            </w:r>
          </w:p>
        </w:tc>
        <w:tc>
          <w:tcPr>
            <w:tcW w:w="1766" w:type="dxa"/>
            <w:tcBorders>
              <w:top w:val="nil"/>
              <w:left w:val="nil"/>
              <w:bottom w:val="nil"/>
              <w:right w:val="nil"/>
            </w:tcBorders>
            <w:shd w:val="clear" w:color="auto" w:fill="auto"/>
            <w:noWrap/>
            <w:vAlign w:val="bottom"/>
            <w:hideMark/>
          </w:tcPr>
          <w:p w14:paraId="7ACC5957" w14:textId="6E6A8A76" w:rsidR="00611F30" w:rsidRPr="00611F30" w:rsidRDefault="00611F30" w:rsidP="001B1995">
            <w:pPr>
              <w:spacing w:line="240" w:lineRule="auto"/>
              <w:ind w:firstLine="0"/>
              <w:jc w:val="center"/>
              <w:rPr>
                <w:rFonts w:eastAsia="Times New Roman"/>
              </w:rPr>
            </w:pPr>
            <w:r w:rsidRPr="00611F30">
              <w:rPr>
                <w:rFonts w:eastAsia="Times New Roman"/>
                <w:color w:val="000000"/>
              </w:rPr>
              <w:t>[.6</w:t>
            </w:r>
            <w:r w:rsidR="001B1995">
              <w:rPr>
                <w:rFonts w:eastAsia="Times New Roman"/>
                <w:color w:val="000000"/>
              </w:rPr>
              <w:t>1</w:t>
            </w:r>
            <w:r w:rsidRPr="00611F30">
              <w:rPr>
                <w:rFonts w:eastAsia="Times New Roman"/>
                <w:color w:val="000000"/>
              </w:rPr>
              <w:t>, .6</w:t>
            </w:r>
            <w:r w:rsidR="00FB5702">
              <w:rPr>
                <w:rFonts w:eastAsia="Times New Roman"/>
                <w:color w:val="000000"/>
              </w:rPr>
              <w:t>7</w:t>
            </w:r>
            <w:r w:rsidRPr="00611F30">
              <w:rPr>
                <w:rFonts w:eastAsia="Times New Roman"/>
                <w:color w:val="000000"/>
              </w:rPr>
              <w:t>]</w:t>
            </w:r>
          </w:p>
        </w:tc>
        <w:tc>
          <w:tcPr>
            <w:tcW w:w="594" w:type="dxa"/>
            <w:tcBorders>
              <w:top w:val="nil"/>
              <w:left w:val="nil"/>
              <w:bottom w:val="nil"/>
              <w:right w:val="nil"/>
            </w:tcBorders>
            <w:shd w:val="clear" w:color="auto" w:fill="auto"/>
            <w:noWrap/>
            <w:vAlign w:val="bottom"/>
            <w:hideMark/>
          </w:tcPr>
          <w:p w14:paraId="0C8C4FFA" w14:textId="77777777" w:rsidR="00611F30" w:rsidRPr="00611F30" w:rsidRDefault="00611F30" w:rsidP="001B1995">
            <w:pPr>
              <w:spacing w:line="240" w:lineRule="auto"/>
              <w:ind w:firstLine="0"/>
              <w:jc w:val="center"/>
              <w:rPr>
                <w:rFonts w:eastAsia="Times New Roman"/>
              </w:rPr>
            </w:pPr>
            <w:r w:rsidRPr="00611F30">
              <w:rPr>
                <w:rFonts w:eastAsia="Times New Roman"/>
              </w:rPr>
              <w:t>.00</w:t>
            </w:r>
            <w:r w:rsidR="001B1995">
              <w:rPr>
                <w:rFonts w:eastAsia="Times New Roman"/>
              </w:rPr>
              <w:t>2</w:t>
            </w:r>
          </w:p>
        </w:tc>
        <w:tc>
          <w:tcPr>
            <w:tcW w:w="118" w:type="dxa"/>
            <w:tcBorders>
              <w:top w:val="nil"/>
              <w:left w:val="nil"/>
              <w:bottom w:val="nil"/>
              <w:right w:val="nil"/>
            </w:tcBorders>
            <w:shd w:val="clear" w:color="auto" w:fill="auto"/>
            <w:noWrap/>
            <w:vAlign w:val="bottom"/>
            <w:hideMark/>
          </w:tcPr>
          <w:p w14:paraId="7DE4D68D"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hideMark/>
          </w:tcPr>
          <w:p w14:paraId="4F07C9EC" w14:textId="77777777" w:rsidR="00611F30" w:rsidRPr="00611F30" w:rsidRDefault="00611F30" w:rsidP="00611F30">
            <w:pPr>
              <w:spacing w:line="240" w:lineRule="auto"/>
              <w:ind w:firstLine="0"/>
              <w:jc w:val="center"/>
              <w:rPr>
                <w:rFonts w:eastAsia="Times New Roman"/>
              </w:rPr>
            </w:pPr>
          </w:p>
        </w:tc>
        <w:tc>
          <w:tcPr>
            <w:tcW w:w="1766" w:type="dxa"/>
            <w:tcBorders>
              <w:top w:val="nil"/>
              <w:left w:val="nil"/>
              <w:bottom w:val="nil"/>
              <w:right w:val="nil"/>
            </w:tcBorders>
            <w:shd w:val="clear" w:color="auto" w:fill="auto"/>
            <w:noWrap/>
            <w:vAlign w:val="bottom"/>
            <w:hideMark/>
          </w:tcPr>
          <w:p w14:paraId="78DA2F62" w14:textId="77777777" w:rsidR="00611F30" w:rsidRPr="00611F30" w:rsidRDefault="00611F30" w:rsidP="00611F30">
            <w:pPr>
              <w:spacing w:line="240" w:lineRule="auto"/>
              <w:ind w:firstLine="0"/>
              <w:jc w:val="center"/>
              <w:rPr>
                <w:rFonts w:eastAsia="Times New Roman"/>
              </w:rPr>
            </w:pPr>
          </w:p>
        </w:tc>
        <w:tc>
          <w:tcPr>
            <w:tcW w:w="487" w:type="dxa"/>
            <w:tcBorders>
              <w:top w:val="nil"/>
              <w:left w:val="nil"/>
              <w:bottom w:val="nil"/>
              <w:right w:val="nil"/>
            </w:tcBorders>
            <w:shd w:val="clear" w:color="auto" w:fill="auto"/>
            <w:noWrap/>
            <w:vAlign w:val="bottom"/>
            <w:hideMark/>
          </w:tcPr>
          <w:p w14:paraId="6558BBD5" w14:textId="77777777" w:rsidR="00611F30" w:rsidRPr="00611F30" w:rsidRDefault="00611F30" w:rsidP="00611F30">
            <w:pPr>
              <w:spacing w:line="240" w:lineRule="auto"/>
              <w:ind w:firstLine="0"/>
              <w:jc w:val="center"/>
              <w:rPr>
                <w:rFonts w:eastAsia="Times New Roman"/>
              </w:rPr>
            </w:pPr>
          </w:p>
        </w:tc>
        <w:tc>
          <w:tcPr>
            <w:tcW w:w="106" w:type="dxa"/>
            <w:tcBorders>
              <w:top w:val="nil"/>
              <w:left w:val="nil"/>
              <w:bottom w:val="nil"/>
              <w:right w:val="nil"/>
            </w:tcBorders>
            <w:shd w:val="clear" w:color="auto" w:fill="auto"/>
            <w:noWrap/>
            <w:vAlign w:val="bottom"/>
            <w:hideMark/>
          </w:tcPr>
          <w:p w14:paraId="182AD6B0"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hideMark/>
          </w:tcPr>
          <w:p w14:paraId="3E7ADE87" w14:textId="77777777" w:rsidR="00611F30" w:rsidRPr="00611F30" w:rsidRDefault="00611F30" w:rsidP="00611F30">
            <w:pPr>
              <w:spacing w:line="240" w:lineRule="auto"/>
              <w:ind w:firstLine="0"/>
              <w:jc w:val="center"/>
              <w:rPr>
                <w:rFonts w:eastAsia="Times New Roman"/>
              </w:rPr>
            </w:pPr>
          </w:p>
        </w:tc>
        <w:tc>
          <w:tcPr>
            <w:tcW w:w="1672" w:type="dxa"/>
            <w:tcBorders>
              <w:top w:val="nil"/>
              <w:left w:val="nil"/>
              <w:bottom w:val="nil"/>
              <w:right w:val="nil"/>
            </w:tcBorders>
            <w:shd w:val="clear" w:color="auto" w:fill="auto"/>
            <w:noWrap/>
            <w:vAlign w:val="bottom"/>
            <w:hideMark/>
          </w:tcPr>
          <w:p w14:paraId="0AB7AA8D" w14:textId="77777777" w:rsidR="00611F30" w:rsidRPr="00611F30" w:rsidRDefault="00611F30" w:rsidP="00611F30">
            <w:pPr>
              <w:spacing w:line="240" w:lineRule="auto"/>
              <w:ind w:firstLine="0"/>
              <w:jc w:val="center"/>
              <w:rPr>
                <w:rFonts w:eastAsia="Times New Roman"/>
              </w:rPr>
            </w:pPr>
          </w:p>
        </w:tc>
        <w:tc>
          <w:tcPr>
            <w:tcW w:w="569" w:type="dxa"/>
            <w:tcBorders>
              <w:top w:val="nil"/>
              <w:left w:val="nil"/>
              <w:bottom w:val="nil"/>
              <w:right w:val="nil"/>
            </w:tcBorders>
            <w:shd w:val="clear" w:color="auto" w:fill="auto"/>
            <w:noWrap/>
            <w:vAlign w:val="bottom"/>
            <w:hideMark/>
          </w:tcPr>
          <w:p w14:paraId="43169DF7" w14:textId="77777777" w:rsidR="00611F30" w:rsidRPr="00611F30" w:rsidRDefault="00611F30" w:rsidP="00611F30">
            <w:pPr>
              <w:spacing w:line="240" w:lineRule="auto"/>
              <w:ind w:firstLine="0"/>
              <w:jc w:val="center"/>
              <w:rPr>
                <w:rFonts w:eastAsia="Times New Roman"/>
              </w:rPr>
            </w:pPr>
          </w:p>
        </w:tc>
      </w:tr>
      <w:tr w:rsidR="004E0FDA" w:rsidRPr="00611F30" w14:paraId="2A05BB4B" w14:textId="77777777" w:rsidTr="004E0FDA">
        <w:trPr>
          <w:trHeight w:val="315"/>
          <w:jc w:val="center"/>
        </w:trPr>
        <w:tc>
          <w:tcPr>
            <w:tcW w:w="3444" w:type="dxa"/>
            <w:tcBorders>
              <w:top w:val="nil"/>
              <w:left w:val="nil"/>
              <w:bottom w:val="nil"/>
              <w:right w:val="nil"/>
            </w:tcBorders>
            <w:shd w:val="clear" w:color="auto" w:fill="auto"/>
            <w:noWrap/>
            <w:vAlign w:val="bottom"/>
            <w:hideMark/>
          </w:tcPr>
          <w:p w14:paraId="670E25CF" w14:textId="77777777" w:rsidR="00611F30" w:rsidRPr="00611F30" w:rsidRDefault="00611F30" w:rsidP="004120A5">
            <w:pPr>
              <w:spacing w:line="240" w:lineRule="auto"/>
              <w:ind w:firstLine="0"/>
              <w:rPr>
                <w:rFonts w:eastAsia="Times New Roman"/>
                <w:color w:val="000000"/>
              </w:rPr>
            </w:pPr>
            <w:r w:rsidRPr="00611F30">
              <w:rPr>
                <w:rFonts w:eastAsia="Times New Roman"/>
                <w:color w:val="000000"/>
              </w:rPr>
              <w:t xml:space="preserve">   </w:t>
            </w:r>
            <w:r w:rsidR="004120A5">
              <w:rPr>
                <w:rFonts w:eastAsia="Times New Roman"/>
                <w:color w:val="000000"/>
              </w:rPr>
              <w:t>Marital</w:t>
            </w:r>
            <w:r w:rsidR="004120A5" w:rsidRPr="00611F30">
              <w:rPr>
                <w:rFonts w:eastAsia="Times New Roman"/>
                <w:color w:val="000000"/>
              </w:rPr>
              <w:t xml:space="preserve"> </w:t>
            </w:r>
            <w:r w:rsidRPr="00611F30">
              <w:rPr>
                <w:rFonts w:eastAsia="Times New Roman"/>
                <w:color w:val="000000"/>
              </w:rPr>
              <w:t>Intimacy (</w:t>
            </w:r>
            <w:r w:rsidR="004120A5">
              <w:rPr>
                <w:rFonts w:eastAsia="Times New Roman"/>
                <w:color w:val="000000"/>
              </w:rPr>
              <w:t>M</w:t>
            </w:r>
            <w:r w:rsidRPr="00611F30">
              <w:rPr>
                <w:rFonts w:eastAsia="Times New Roman"/>
                <w:color w:val="000000"/>
              </w:rPr>
              <w:t>I)</w:t>
            </w:r>
          </w:p>
        </w:tc>
        <w:tc>
          <w:tcPr>
            <w:tcW w:w="832" w:type="dxa"/>
            <w:tcBorders>
              <w:top w:val="nil"/>
              <w:left w:val="nil"/>
              <w:bottom w:val="nil"/>
              <w:right w:val="nil"/>
            </w:tcBorders>
            <w:shd w:val="clear" w:color="auto" w:fill="auto"/>
            <w:noWrap/>
            <w:vAlign w:val="bottom"/>
            <w:hideMark/>
          </w:tcPr>
          <w:p w14:paraId="24CD68C4" w14:textId="084EBE6B" w:rsidR="00611F30" w:rsidRPr="00611F30" w:rsidRDefault="00611F30" w:rsidP="00E536F6">
            <w:pPr>
              <w:spacing w:line="240" w:lineRule="auto"/>
              <w:ind w:firstLine="0"/>
              <w:jc w:val="center"/>
              <w:rPr>
                <w:rFonts w:eastAsia="Times New Roman"/>
                <w:color w:val="000000"/>
              </w:rPr>
            </w:pPr>
            <w:r w:rsidRPr="00611F30">
              <w:rPr>
                <w:rFonts w:eastAsia="Times New Roman"/>
                <w:color w:val="000000"/>
              </w:rPr>
              <w:t>.</w:t>
            </w:r>
            <w:r w:rsidR="00256CBD">
              <w:rPr>
                <w:rFonts w:eastAsia="Times New Roman"/>
                <w:color w:val="000000"/>
              </w:rPr>
              <w:t>11</w:t>
            </w:r>
          </w:p>
        </w:tc>
        <w:tc>
          <w:tcPr>
            <w:tcW w:w="1766" w:type="dxa"/>
            <w:tcBorders>
              <w:top w:val="nil"/>
              <w:left w:val="nil"/>
              <w:bottom w:val="nil"/>
              <w:right w:val="nil"/>
            </w:tcBorders>
            <w:shd w:val="clear" w:color="auto" w:fill="auto"/>
            <w:noWrap/>
            <w:vAlign w:val="bottom"/>
            <w:hideMark/>
          </w:tcPr>
          <w:p w14:paraId="7738F6A0" w14:textId="26886CD8"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[.0</w:t>
            </w:r>
            <w:r w:rsidR="00FB5702">
              <w:rPr>
                <w:rFonts w:eastAsia="Times New Roman"/>
                <w:color w:val="000000"/>
              </w:rPr>
              <w:t>8</w:t>
            </w:r>
            <w:r w:rsidRPr="00611F30">
              <w:rPr>
                <w:rFonts w:eastAsia="Times New Roman"/>
                <w:color w:val="000000"/>
              </w:rPr>
              <w:t>, .</w:t>
            </w:r>
            <w:r w:rsidR="00CA406D">
              <w:rPr>
                <w:rFonts w:eastAsia="Times New Roman"/>
                <w:color w:val="000000"/>
              </w:rPr>
              <w:t>1</w:t>
            </w:r>
            <w:r w:rsidR="00FB5702">
              <w:rPr>
                <w:rFonts w:eastAsia="Times New Roman"/>
                <w:color w:val="000000"/>
              </w:rPr>
              <w:t>5</w:t>
            </w:r>
            <w:r w:rsidRPr="00611F30">
              <w:rPr>
                <w:rFonts w:eastAsia="Times New Roman"/>
                <w:color w:val="000000"/>
              </w:rPr>
              <w:t>]</w:t>
            </w:r>
          </w:p>
        </w:tc>
        <w:tc>
          <w:tcPr>
            <w:tcW w:w="594" w:type="dxa"/>
            <w:tcBorders>
              <w:top w:val="nil"/>
              <w:left w:val="nil"/>
              <w:bottom w:val="nil"/>
              <w:right w:val="nil"/>
            </w:tcBorders>
            <w:shd w:val="clear" w:color="auto" w:fill="auto"/>
            <w:noWrap/>
            <w:vAlign w:val="bottom"/>
            <w:hideMark/>
          </w:tcPr>
          <w:p w14:paraId="5F5A46A5" w14:textId="77777777"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.00</w:t>
            </w:r>
            <w:r w:rsidR="001B1995">
              <w:rPr>
                <w:rFonts w:eastAsia="Times New Roman"/>
                <w:color w:val="000000"/>
              </w:rPr>
              <w:t>3</w:t>
            </w:r>
          </w:p>
        </w:tc>
        <w:tc>
          <w:tcPr>
            <w:tcW w:w="118" w:type="dxa"/>
            <w:tcBorders>
              <w:top w:val="nil"/>
              <w:left w:val="nil"/>
              <w:bottom w:val="nil"/>
              <w:right w:val="nil"/>
            </w:tcBorders>
            <w:shd w:val="clear" w:color="auto" w:fill="auto"/>
            <w:noWrap/>
            <w:vAlign w:val="bottom"/>
            <w:hideMark/>
          </w:tcPr>
          <w:p w14:paraId="2554FEC9"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nil"/>
              <w:right w:val="nil"/>
            </w:tcBorders>
            <w:shd w:val="clear" w:color="auto" w:fill="auto"/>
            <w:noWrap/>
            <w:vAlign w:val="bottom"/>
            <w:hideMark/>
          </w:tcPr>
          <w:p w14:paraId="48BF2C80" w14:textId="2DD350C6" w:rsidR="00611F30" w:rsidRPr="00611F30" w:rsidRDefault="00611F30" w:rsidP="00E536F6">
            <w:pPr>
              <w:spacing w:line="240" w:lineRule="auto"/>
              <w:ind w:firstLine="0"/>
              <w:jc w:val="center"/>
              <w:rPr>
                <w:rFonts w:eastAsia="Times New Roman"/>
              </w:rPr>
            </w:pPr>
            <w:r w:rsidRPr="00611F30">
              <w:rPr>
                <w:rFonts w:eastAsia="Times New Roman"/>
                <w:color w:val="000000"/>
              </w:rPr>
              <w:t>.2</w:t>
            </w:r>
            <w:r w:rsidR="00FB5702">
              <w:rPr>
                <w:rFonts w:eastAsia="Times New Roman"/>
                <w:color w:val="000000"/>
              </w:rPr>
              <w:t>9</w:t>
            </w:r>
          </w:p>
        </w:tc>
        <w:tc>
          <w:tcPr>
            <w:tcW w:w="1766" w:type="dxa"/>
            <w:tcBorders>
              <w:top w:val="nil"/>
              <w:left w:val="nil"/>
              <w:bottom w:val="nil"/>
              <w:right w:val="nil"/>
            </w:tcBorders>
            <w:shd w:val="clear" w:color="auto" w:fill="auto"/>
            <w:noWrap/>
            <w:vAlign w:val="bottom"/>
            <w:hideMark/>
          </w:tcPr>
          <w:p w14:paraId="691B0F47" w14:textId="7485AD0F" w:rsidR="00611F30" w:rsidRPr="00611F30" w:rsidRDefault="00611F30" w:rsidP="001B1995">
            <w:pPr>
              <w:spacing w:line="240" w:lineRule="auto"/>
              <w:ind w:firstLine="0"/>
              <w:jc w:val="center"/>
              <w:rPr>
                <w:rFonts w:eastAsia="Times New Roman"/>
              </w:rPr>
            </w:pPr>
            <w:r w:rsidRPr="00611F30">
              <w:rPr>
                <w:rFonts w:eastAsia="Times New Roman"/>
                <w:color w:val="000000"/>
              </w:rPr>
              <w:t>[.2</w:t>
            </w:r>
            <w:r w:rsidR="001B1995">
              <w:rPr>
                <w:rFonts w:eastAsia="Times New Roman"/>
                <w:color w:val="000000"/>
              </w:rPr>
              <w:t>4</w:t>
            </w:r>
            <w:r w:rsidRPr="00611F30">
              <w:rPr>
                <w:rFonts w:eastAsia="Times New Roman"/>
                <w:color w:val="000000"/>
              </w:rPr>
              <w:t>, .3</w:t>
            </w:r>
            <w:r w:rsidR="00FB5702">
              <w:rPr>
                <w:rFonts w:eastAsia="Times New Roman"/>
                <w:color w:val="000000"/>
              </w:rPr>
              <w:t>5</w:t>
            </w:r>
            <w:r w:rsidRPr="00611F30">
              <w:rPr>
                <w:rFonts w:eastAsia="Times New Roman"/>
                <w:color w:val="000000"/>
              </w:rPr>
              <w:t>]</w:t>
            </w:r>
          </w:p>
        </w:tc>
        <w:tc>
          <w:tcPr>
            <w:tcW w:w="487" w:type="dxa"/>
            <w:tcBorders>
              <w:top w:val="nil"/>
              <w:left w:val="nil"/>
              <w:bottom w:val="nil"/>
              <w:right w:val="nil"/>
            </w:tcBorders>
            <w:shd w:val="clear" w:color="auto" w:fill="auto"/>
            <w:noWrap/>
            <w:vAlign w:val="bottom"/>
            <w:hideMark/>
          </w:tcPr>
          <w:p w14:paraId="4E25FC65" w14:textId="77777777" w:rsidR="00611F30" w:rsidRPr="00611F30" w:rsidRDefault="00611F30" w:rsidP="001B1995">
            <w:pPr>
              <w:spacing w:line="240" w:lineRule="auto"/>
              <w:ind w:firstLine="0"/>
              <w:jc w:val="center"/>
              <w:rPr>
                <w:rFonts w:eastAsia="Times New Roman"/>
              </w:rPr>
            </w:pPr>
            <w:r w:rsidRPr="00611F30">
              <w:rPr>
                <w:rFonts w:eastAsia="Times New Roman"/>
                <w:color w:val="000000"/>
              </w:rPr>
              <w:t>.00</w:t>
            </w:r>
            <w:r w:rsidR="001B1995">
              <w:rPr>
                <w:rFonts w:eastAsia="Times New Roman"/>
                <w:color w:val="000000"/>
              </w:rPr>
              <w:t>1</w:t>
            </w:r>
          </w:p>
        </w:tc>
        <w:tc>
          <w:tcPr>
            <w:tcW w:w="106" w:type="dxa"/>
            <w:tcBorders>
              <w:top w:val="nil"/>
              <w:left w:val="nil"/>
              <w:bottom w:val="nil"/>
              <w:right w:val="nil"/>
            </w:tcBorders>
            <w:shd w:val="clear" w:color="auto" w:fill="auto"/>
            <w:noWrap/>
            <w:vAlign w:val="bottom"/>
            <w:hideMark/>
          </w:tcPr>
          <w:p w14:paraId="22509439" w14:textId="77777777" w:rsidR="00611F30" w:rsidRPr="00611F30" w:rsidRDefault="00611F30" w:rsidP="00611F30">
            <w:pPr>
              <w:spacing w:line="240" w:lineRule="auto"/>
              <w:ind w:firstLine="0"/>
              <w:jc w:val="center"/>
              <w:rPr>
                <w:rFonts w:eastAsia="Times New Roman"/>
              </w:rPr>
            </w:pPr>
          </w:p>
        </w:tc>
        <w:tc>
          <w:tcPr>
            <w:tcW w:w="832" w:type="dxa"/>
            <w:tcBorders>
              <w:top w:val="nil"/>
              <w:left w:val="nil"/>
              <w:bottom w:val="nil"/>
              <w:right w:val="nil"/>
            </w:tcBorders>
            <w:shd w:val="clear" w:color="auto" w:fill="auto"/>
            <w:noWrap/>
            <w:vAlign w:val="bottom"/>
          </w:tcPr>
          <w:p w14:paraId="085306E8" w14:textId="77777777" w:rsidR="00611F30" w:rsidRPr="00611F30" w:rsidRDefault="00611F30" w:rsidP="00611F30">
            <w:pPr>
              <w:spacing w:line="240" w:lineRule="auto"/>
              <w:ind w:firstLine="0"/>
              <w:jc w:val="center"/>
              <w:rPr>
                <w:rFonts w:eastAsia="Times New Roman"/>
                <w:color w:val="000000"/>
              </w:rPr>
            </w:pPr>
          </w:p>
        </w:tc>
        <w:tc>
          <w:tcPr>
            <w:tcW w:w="1672" w:type="dxa"/>
            <w:tcBorders>
              <w:top w:val="nil"/>
              <w:left w:val="nil"/>
              <w:bottom w:val="nil"/>
              <w:right w:val="nil"/>
            </w:tcBorders>
            <w:shd w:val="clear" w:color="auto" w:fill="auto"/>
            <w:noWrap/>
            <w:vAlign w:val="bottom"/>
          </w:tcPr>
          <w:p w14:paraId="743CAE98" w14:textId="77777777" w:rsidR="00611F30" w:rsidRPr="00611F30" w:rsidRDefault="00611F30" w:rsidP="00611F30">
            <w:pPr>
              <w:spacing w:line="240" w:lineRule="auto"/>
              <w:ind w:firstLine="0"/>
              <w:jc w:val="center"/>
              <w:rPr>
                <w:rFonts w:eastAsia="Times New Roman"/>
                <w:color w:val="000000"/>
              </w:rPr>
            </w:pPr>
          </w:p>
        </w:tc>
        <w:tc>
          <w:tcPr>
            <w:tcW w:w="569" w:type="dxa"/>
            <w:tcBorders>
              <w:top w:val="nil"/>
              <w:left w:val="nil"/>
              <w:bottom w:val="nil"/>
              <w:right w:val="nil"/>
            </w:tcBorders>
            <w:shd w:val="clear" w:color="auto" w:fill="auto"/>
            <w:noWrap/>
            <w:vAlign w:val="bottom"/>
          </w:tcPr>
          <w:p w14:paraId="570305E3" w14:textId="77777777" w:rsidR="00611F30" w:rsidRPr="00611F30" w:rsidRDefault="00611F30" w:rsidP="00611F30">
            <w:pPr>
              <w:spacing w:line="240" w:lineRule="auto"/>
              <w:ind w:firstLine="0"/>
              <w:jc w:val="center"/>
              <w:rPr>
                <w:rFonts w:eastAsia="Times New Roman"/>
                <w:color w:val="000000"/>
              </w:rPr>
            </w:pPr>
          </w:p>
        </w:tc>
      </w:tr>
      <w:tr w:rsidR="004E0FDA" w:rsidRPr="00611F30" w14:paraId="458E53D1" w14:textId="77777777" w:rsidTr="004E0FDA">
        <w:trPr>
          <w:trHeight w:val="315"/>
          <w:jc w:val="center"/>
        </w:trPr>
        <w:tc>
          <w:tcPr>
            <w:tcW w:w="3444" w:type="dxa"/>
            <w:tcBorders>
              <w:top w:val="nil"/>
              <w:left w:val="nil"/>
              <w:bottom w:val="nil"/>
              <w:right w:val="nil"/>
            </w:tcBorders>
            <w:shd w:val="clear" w:color="auto" w:fill="auto"/>
            <w:noWrap/>
            <w:vAlign w:val="bottom"/>
            <w:hideMark/>
          </w:tcPr>
          <w:p w14:paraId="38EF0051"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xml:space="preserve">   Well-Being (WB)</w:t>
            </w:r>
          </w:p>
        </w:tc>
        <w:tc>
          <w:tcPr>
            <w:tcW w:w="832" w:type="dxa"/>
            <w:tcBorders>
              <w:top w:val="nil"/>
              <w:left w:val="nil"/>
              <w:bottom w:val="nil"/>
              <w:right w:val="nil"/>
            </w:tcBorders>
            <w:shd w:val="clear" w:color="auto" w:fill="auto"/>
            <w:noWrap/>
            <w:vAlign w:val="bottom"/>
            <w:hideMark/>
          </w:tcPr>
          <w:p w14:paraId="43EBF59F" w14:textId="4E1D2E3D" w:rsidR="00611F30" w:rsidRPr="00611F30" w:rsidRDefault="00611F30" w:rsidP="00256CBD">
            <w:pPr>
              <w:spacing w:line="240" w:lineRule="auto"/>
              <w:ind w:firstLine="0"/>
              <w:jc w:val="center"/>
              <w:rPr>
                <w:rFonts w:eastAsia="Times New Roman"/>
                <w:color w:val="000000"/>
              </w:rPr>
            </w:pPr>
            <w:r w:rsidRPr="00611F30">
              <w:rPr>
                <w:rFonts w:eastAsia="Times New Roman"/>
                <w:color w:val="000000"/>
              </w:rPr>
              <w:t>.3</w:t>
            </w:r>
            <w:r w:rsidR="00FB5702">
              <w:rPr>
                <w:rFonts w:eastAsia="Times New Roman"/>
                <w:color w:val="000000"/>
              </w:rPr>
              <w:t>5</w:t>
            </w:r>
          </w:p>
        </w:tc>
        <w:tc>
          <w:tcPr>
            <w:tcW w:w="1766" w:type="dxa"/>
            <w:tcBorders>
              <w:top w:val="nil"/>
              <w:left w:val="nil"/>
              <w:bottom w:val="nil"/>
              <w:right w:val="nil"/>
            </w:tcBorders>
            <w:shd w:val="clear" w:color="auto" w:fill="auto"/>
            <w:noWrap/>
            <w:vAlign w:val="bottom"/>
            <w:hideMark/>
          </w:tcPr>
          <w:p w14:paraId="4E3AB891" w14:textId="678B6245"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w:t>
            </w:r>
            <w:r w:rsidR="00CA406D">
              <w:rPr>
                <w:rFonts w:eastAsia="Times New Roman"/>
                <w:color w:val="000000"/>
              </w:rPr>
              <w:t>30</w:t>
            </w:r>
            <w:r w:rsidRPr="00611F30">
              <w:rPr>
                <w:rFonts w:eastAsia="Times New Roman"/>
                <w:color w:val="000000"/>
              </w:rPr>
              <w:t>, .38]</w:t>
            </w:r>
          </w:p>
        </w:tc>
        <w:tc>
          <w:tcPr>
            <w:tcW w:w="594" w:type="dxa"/>
            <w:tcBorders>
              <w:top w:val="nil"/>
              <w:left w:val="nil"/>
              <w:bottom w:val="nil"/>
              <w:right w:val="nil"/>
            </w:tcBorders>
            <w:shd w:val="clear" w:color="auto" w:fill="auto"/>
            <w:noWrap/>
            <w:vAlign w:val="bottom"/>
            <w:hideMark/>
          </w:tcPr>
          <w:p w14:paraId="3DC76A6B" w14:textId="77777777" w:rsidR="00611F30" w:rsidRPr="00611F30" w:rsidRDefault="00611F30" w:rsidP="00E536F6">
            <w:pPr>
              <w:spacing w:line="240" w:lineRule="auto"/>
              <w:ind w:firstLine="0"/>
              <w:jc w:val="center"/>
              <w:rPr>
                <w:rFonts w:eastAsia="Times New Roman"/>
                <w:color w:val="000000"/>
              </w:rPr>
            </w:pPr>
            <w:r w:rsidRPr="00611F30">
              <w:rPr>
                <w:rFonts w:eastAsia="Times New Roman"/>
                <w:color w:val="000000"/>
              </w:rPr>
              <w:t>.00</w:t>
            </w:r>
            <w:r w:rsidR="00CD3082">
              <w:rPr>
                <w:rFonts w:eastAsia="Times New Roman"/>
                <w:color w:val="000000"/>
              </w:rPr>
              <w:t>3</w:t>
            </w:r>
          </w:p>
        </w:tc>
        <w:tc>
          <w:tcPr>
            <w:tcW w:w="118" w:type="dxa"/>
            <w:tcBorders>
              <w:top w:val="nil"/>
              <w:left w:val="nil"/>
              <w:bottom w:val="nil"/>
              <w:right w:val="nil"/>
            </w:tcBorders>
            <w:shd w:val="clear" w:color="auto" w:fill="auto"/>
            <w:noWrap/>
            <w:vAlign w:val="bottom"/>
            <w:hideMark/>
          </w:tcPr>
          <w:p w14:paraId="264A593F"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nil"/>
              <w:right w:val="nil"/>
            </w:tcBorders>
            <w:shd w:val="clear" w:color="auto" w:fill="auto"/>
            <w:noWrap/>
            <w:vAlign w:val="bottom"/>
          </w:tcPr>
          <w:p w14:paraId="0D4E9F94" w14:textId="6945CC67" w:rsidR="00611F30" w:rsidRPr="00611F30" w:rsidRDefault="00611F30" w:rsidP="00EB7F67">
            <w:pPr>
              <w:spacing w:line="240" w:lineRule="auto"/>
              <w:ind w:firstLine="0"/>
              <w:jc w:val="center"/>
              <w:rPr>
                <w:rFonts w:eastAsia="Times New Roman"/>
                <w:color w:val="000000"/>
              </w:rPr>
            </w:pPr>
            <w:r w:rsidRPr="00611F30">
              <w:rPr>
                <w:rFonts w:eastAsia="Times New Roman"/>
                <w:color w:val="000000"/>
              </w:rPr>
              <w:t>.</w:t>
            </w:r>
            <w:r w:rsidR="00256CBD">
              <w:rPr>
                <w:rFonts w:eastAsia="Times New Roman"/>
                <w:color w:val="000000"/>
              </w:rPr>
              <w:t>70</w:t>
            </w:r>
          </w:p>
        </w:tc>
        <w:tc>
          <w:tcPr>
            <w:tcW w:w="1766" w:type="dxa"/>
            <w:tcBorders>
              <w:top w:val="nil"/>
              <w:left w:val="nil"/>
              <w:bottom w:val="nil"/>
              <w:right w:val="nil"/>
            </w:tcBorders>
            <w:shd w:val="clear" w:color="auto" w:fill="auto"/>
            <w:noWrap/>
            <w:vAlign w:val="bottom"/>
          </w:tcPr>
          <w:p w14:paraId="1C4CB481" w14:textId="0D066AD9"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[.6</w:t>
            </w:r>
            <w:r w:rsidR="00FB5702">
              <w:rPr>
                <w:rFonts w:eastAsia="Times New Roman"/>
                <w:color w:val="000000"/>
              </w:rPr>
              <w:t>6</w:t>
            </w:r>
            <w:r w:rsidRPr="00611F30">
              <w:rPr>
                <w:rFonts w:eastAsia="Times New Roman"/>
                <w:color w:val="000000"/>
              </w:rPr>
              <w:t>, .7</w:t>
            </w:r>
            <w:r w:rsidR="00FB5702">
              <w:rPr>
                <w:rFonts w:eastAsia="Times New Roman"/>
                <w:color w:val="000000"/>
              </w:rPr>
              <w:t>6</w:t>
            </w:r>
            <w:r w:rsidRPr="00611F30">
              <w:rPr>
                <w:rFonts w:eastAsia="Times New Roman"/>
                <w:color w:val="000000"/>
              </w:rPr>
              <w:t>]</w:t>
            </w:r>
          </w:p>
        </w:tc>
        <w:tc>
          <w:tcPr>
            <w:tcW w:w="487" w:type="dxa"/>
            <w:tcBorders>
              <w:top w:val="nil"/>
              <w:left w:val="nil"/>
              <w:bottom w:val="nil"/>
              <w:right w:val="nil"/>
            </w:tcBorders>
            <w:shd w:val="clear" w:color="auto" w:fill="auto"/>
            <w:noWrap/>
            <w:vAlign w:val="bottom"/>
          </w:tcPr>
          <w:p w14:paraId="45B57422" w14:textId="77777777"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.00</w:t>
            </w:r>
            <w:r w:rsidR="001B1995">
              <w:rPr>
                <w:rFonts w:eastAsia="Times New Roman"/>
                <w:color w:val="000000"/>
              </w:rPr>
              <w:t>2</w:t>
            </w:r>
          </w:p>
        </w:tc>
        <w:tc>
          <w:tcPr>
            <w:tcW w:w="106" w:type="dxa"/>
            <w:tcBorders>
              <w:top w:val="nil"/>
              <w:left w:val="nil"/>
              <w:bottom w:val="nil"/>
              <w:right w:val="nil"/>
            </w:tcBorders>
            <w:shd w:val="clear" w:color="auto" w:fill="auto"/>
            <w:noWrap/>
            <w:vAlign w:val="bottom"/>
            <w:hideMark/>
          </w:tcPr>
          <w:p w14:paraId="5D3509D3"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nil"/>
              <w:right w:val="nil"/>
            </w:tcBorders>
            <w:shd w:val="clear" w:color="auto" w:fill="auto"/>
            <w:noWrap/>
            <w:vAlign w:val="bottom"/>
          </w:tcPr>
          <w:p w14:paraId="56C6DCCF" w14:textId="5D87B5C2" w:rsidR="00611F30" w:rsidRPr="00611F30" w:rsidRDefault="00611F30" w:rsidP="00256CBD">
            <w:pPr>
              <w:spacing w:line="240" w:lineRule="auto"/>
              <w:ind w:firstLine="0"/>
              <w:jc w:val="center"/>
              <w:rPr>
                <w:rFonts w:eastAsia="Times New Roman"/>
                <w:color w:val="000000"/>
              </w:rPr>
            </w:pPr>
            <w:r w:rsidRPr="00611F30">
              <w:rPr>
                <w:rFonts w:eastAsia="Times New Roman"/>
                <w:color w:val="000000"/>
              </w:rPr>
              <w:t>.</w:t>
            </w:r>
            <w:r w:rsidR="00482B40">
              <w:rPr>
                <w:rFonts w:eastAsia="Times New Roman"/>
                <w:color w:val="000000"/>
              </w:rPr>
              <w:t>4</w:t>
            </w:r>
            <w:r w:rsidR="00FB5702">
              <w:rPr>
                <w:rFonts w:eastAsia="Times New Roman"/>
                <w:color w:val="000000"/>
              </w:rPr>
              <w:t>6</w:t>
            </w:r>
          </w:p>
        </w:tc>
        <w:tc>
          <w:tcPr>
            <w:tcW w:w="1672" w:type="dxa"/>
            <w:tcBorders>
              <w:top w:val="nil"/>
              <w:left w:val="nil"/>
              <w:bottom w:val="nil"/>
              <w:right w:val="nil"/>
            </w:tcBorders>
            <w:shd w:val="clear" w:color="auto" w:fill="auto"/>
            <w:noWrap/>
            <w:vAlign w:val="bottom"/>
          </w:tcPr>
          <w:p w14:paraId="2611E664" w14:textId="0096689F" w:rsidR="00611F30" w:rsidRPr="00611F30" w:rsidRDefault="00611F30" w:rsidP="001B1995">
            <w:pPr>
              <w:spacing w:line="240" w:lineRule="auto"/>
              <w:ind w:firstLine="0"/>
              <w:jc w:val="center"/>
              <w:rPr>
                <w:rFonts w:eastAsia="Times New Roman"/>
                <w:color w:val="000000"/>
              </w:rPr>
            </w:pPr>
            <w:r w:rsidRPr="00611F30">
              <w:rPr>
                <w:rFonts w:eastAsia="Times New Roman"/>
                <w:color w:val="000000"/>
              </w:rPr>
              <w:t>[.</w:t>
            </w:r>
            <w:r w:rsidR="00CA406D">
              <w:rPr>
                <w:rFonts w:eastAsia="Times New Roman"/>
                <w:color w:val="000000"/>
              </w:rPr>
              <w:t>4</w:t>
            </w:r>
            <w:r w:rsidR="00FB5702">
              <w:rPr>
                <w:rFonts w:eastAsia="Times New Roman"/>
                <w:color w:val="000000"/>
              </w:rPr>
              <w:t>2</w:t>
            </w:r>
            <w:r w:rsidRPr="00611F30">
              <w:rPr>
                <w:rFonts w:eastAsia="Times New Roman"/>
                <w:color w:val="000000"/>
              </w:rPr>
              <w:t>, .4</w:t>
            </w:r>
            <w:r w:rsidR="00FB5702">
              <w:rPr>
                <w:rFonts w:eastAsia="Times New Roman"/>
                <w:color w:val="000000"/>
              </w:rPr>
              <w:t>9</w:t>
            </w:r>
            <w:r w:rsidRPr="00611F30">
              <w:rPr>
                <w:rFonts w:eastAsia="Times New Roman"/>
                <w:color w:val="000000"/>
              </w:rPr>
              <w:t>]</w:t>
            </w:r>
          </w:p>
        </w:tc>
        <w:tc>
          <w:tcPr>
            <w:tcW w:w="569" w:type="dxa"/>
            <w:tcBorders>
              <w:top w:val="nil"/>
              <w:left w:val="nil"/>
              <w:bottom w:val="nil"/>
              <w:right w:val="nil"/>
            </w:tcBorders>
            <w:shd w:val="clear" w:color="auto" w:fill="auto"/>
            <w:noWrap/>
            <w:vAlign w:val="bottom"/>
          </w:tcPr>
          <w:p w14:paraId="17C0411A" w14:textId="77777777" w:rsidR="00611F30" w:rsidRPr="00611F30" w:rsidRDefault="00611F30" w:rsidP="00611F30">
            <w:pPr>
              <w:spacing w:line="240" w:lineRule="auto"/>
              <w:ind w:firstLine="0"/>
              <w:jc w:val="center"/>
              <w:rPr>
                <w:rFonts w:eastAsia="Times New Roman"/>
                <w:color w:val="000000"/>
              </w:rPr>
            </w:pPr>
            <w:r w:rsidRPr="00611F30">
              <w:rPr>
                <w:rFonts w:eastAsia="Times New Roman"/>
                <w:color w:val="000000"/>
              </w:rPr>
              <w:t>.002</w:t>
            </w:r>
          </w:p>
        </w:tc>
      </w:tr>
      <w:tr w:rsidR="004E0FDA" w:rsidRPr="00611F30" w14:paraId="1FD4840E" w14:textId="77777777" w:rsidTr="004E0FDA">
        <w:trPr>
          <w:trHeight w:val="315"/>
          <w:jc w:val="center"/>
        </w:trPr>
        <w:tc>
          <w:tcPr>
            <w:tcW w:w="3444" w:type="dxa"/>
            <w:tcBorders>
              <w:top w:val="nil"/>
              <w:left w:val="nil"/>
              <w:bottom w:val="single" w:sz="4" w:space="0" w:color="auto"/>
              <w:right w:val="nil"/>
            </w:tcBorders>
            <w:shd w:val="clear" w:color="auto" w:fill="auto"/>
            <w:noWrap/>
            <w:vAlign w:val="bottom"/>
          </w:tcPr>
          <w:p w14:paraId="00325CCF" w14:textId="77777777" w:rsidR="00611F30" w:rsidRPr="00611F30" w:rsidRDefault="00611F30" w:rsidP="00611F30">
            <w:pPr>
              <w:spacing w:line="240" w:lineRule="auto"/>
              <w:ind w:firstLine="0"/>
              <w:rPr>
                <w:rFonts w:eastAsia="Times New Roman"/>
                <w:color w:val="000000"/>
              </w:rPr>
            </w:pPr>
          </w:p>
        </w:tc>
        <w:tc>
          <w:tcPr>
            <w:tcW w:w="832" w:type="dxa"/>
            <w:tcBorders>
              <w:top w:val="nil"/>
              <w:left w:val="nil"/>
              <w:bottom w:val="single" w:sz="4" w:space="0" w:color="auto"/>
              <w:right w:val="nil"/>
            </w:tcBorders>
            <w:shd w:val="clear" w:color="auto" w:fill="auto"/>
            <w:noWrap/>
            <w:vAlign w:val="center"/>
          </w:tcPr>
          <w:p w14:paraId="271F298C" w14:textId="77777777" w:rsidR="00611F30" w:rsidRPr="00611F30" w:rsidRDefault="00611F30" w:rsidP="00611F30">
            <w:pPr>
              <w:spacing w:line="240" w:lineRule="auto"/>
              <w:ind w:firstLine="0"/>
              <w:jc w:val="center"/>
              <w:rPr>
                <w:rFonts w:eastAsia="Times New Roman"/>
                <w:color w:val="000000"/>
              </w:rPr>
            </w:pPr>
          </w:p>
        </w:tc>
        <w:tc>
          <w:tcPr>
            <w:tcW w:w="1766" w:type="dxa"/>
            <w:tcBorders>
              <w:top w:val="nil"/>
              <w:left w:val="nil"/>
              <w:bottom w:val="single" w:sz="4" w:space="0" w:color="auto"/>
              <w:right w:val="nil"/>
            </w:tcBorders>
            <w:shd w:val="clear" w:color="auto" w:fill="auto"/>
            <w:noWrap/>
            <w:vAlign w:val="center"/>
          </w:tcPr>
          <w:p w14:paraId="7189AA1D" w14:textId="77777777" w:rsidR="00611F30" w:rsidRPr="00611F30" w:rsidRDefault="00611F30" w:rsidP="00611F30">
            <w:pPr>
              <w:spacing w:line="240" w:lineRule="auto"/>
              <w:ind w:firstLine="0"/>
              <w:jc w:val="center"/>
              <w:rPr>
                <w:rFonts w:eastAsia="Times New Roman"/>
                <w:color w:val="000000"/>
              </w:rPr>
            </w:pPr>
          </w:p>
        </w:tc>
        <w:tc>
          <w:tcPr>
            <w:tcW w:w="594" w:type="dxa"/>
            <w:tcBorders>
              <w:top w:val="nil"/>
              <w:left w:val="nil"/>
              <w:bottom w:val="single" w:sz="4" w:space="0" w:color="auto"/>
              <w:right w:val="nil"/>
            </w:tcBorders>
            <w:shd w:val="clear" w:color="auto" w:fill="auto"/>
            <w:noWrap/>
            <w:vAlign w:val="center"/>
          </w:tcPr>
          <w:p w14:paraId="495002FC" w14:textId="77777777" w:rsidR="00611F30" w:rsidRPr="00611F30" w:rsidRDefault="00611F30" w:rsidP="00611F30">
            <w:pPr>
              <w:spacing w:line="240" w:lineRule="auto"/>
              <w:ind w:firstLine="0"/>
              <w:jc w:val="center"/>
              <w:rPr>
                <w:rFonts w:eastAsia="Times New Roman"/>
              </w:rPr>
            </w:pPr>
          </w:p>
        </w:tc>
        <w:tc>
          <w:tcPr>
            <w:tcW w:w="118" w:type="dxa"/>
            <w:tcBorders>
              <w:top w:val="nil"/>
              <w:left w:val="nil"/>
              <w:bottom w:val="single" w:sz="4" w:space="0" w:color="auto"/>
              <w:right w:val="nil"/>
            </w:tcBorders>
            <w:shd w:val="clear" w:color="auto" w:fill="auto"/>
            <w:noWrap/>
            <w:vAlign w:val="center"/>
          </w:tcPr>
          <w:p w14:paraId="1D8F5F7B" w14:textId="77777777" w:rsidR="00611F30" w:rsidRPr="00611F30" w:rsidRDefault="00611F30" w:rsidP="00611F30">
            <w:pPr>
              <w:spacing w:line="240" w:lineRule="auto"/>
              <w:ind w:firstLine="0"/>
              <w:jc w:val="center"/>
              <w:rPr>
                <w:rFonts w:eastAsia="Times New Roman"/>
                <w:color w:val="000000"/>
              </w:rPr>
            </w:pPr>
          </w:p>
        </w:tc>
        <w:tc>
          <w:tcPr>
            <w:tcW w:w="832" w:type="dxa"/>
            <w:tcBorders>
              <w:top w:val="nil"/>
              <w:left w:val="nil"/>
              <w:bottom w:val="single" w:sz="4" w:space="0" w:color="auto"/>
              <w:right w:val="nil"/>
            </w:tcBorders>
            <w:shd w:val="clear" w:color="auto" w:fill="auto"/>
            <w:noWrap/>
            <w:vAlign w:val="bottom"/>
          </w:tcPr>
          <w:p w14:paraId="204EB4AC" w14:textId="77777777" w:rsidR="00611F30" w:rsidRPr="00611F30" w:rsidRDefault="00611F30" w:rsidP="00611F30">
            <w:pPr>
              <w:spacing w:line="240" w:lineRule="auto"/>
              <w:ind w:firstLine="0"/>
              <w:rPr>
                <w:rFonts w:eastAsia="Times New Roman"/>
                <w:color w:val="000000"/>
              </w:rPr>
            </w:pPr>
          </w:p>
        </w:tc>
        <w:tc>
          <w:tcPr>
            <w:tcW w:w="1766" w:type="dxa"/>
            <w:tcBorders>
              <w:top w:val="nil"/>
              <w:left w:val="nil"/>
              <w:bottom w:val="single" w:sz="4" w:space="0" w:color="auto"/>
              <w:right w:val="nil"/>
            </w:tcBorders>
            <w:shd w:val="clear" w:color="auto" w:fill="auto"/>
            <w:noWrap/>
            <w:vAlign w:val="bottom"/>
            <w:hideMark/>
          </w:tcPr>
          <w:p w14:paraId="0675ECCD"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w:t>
            </w:r>
          </w:p>
        </w:tc>
        <w:tc>
          <w:tcPr>
            <w:tcW w:w="487" w:type="dxa"/>
            <w:tcBorders>
              <w:top w:val="nil"/>
              <w:left w:val="nil"/>
              <w:bottom w:val="single" w:sz="4" w:space="0" w:color="auto"/>
              <w:right w:val="nil"/>
            </w:tcBorders>
            <w:shd w:val="clear" w:color="auto" w:fill="auto"/>
            <w:noWrap/>
            <w:vAlign w:val="bottom"/>
            <w:hideMark/>
          </w:tcPr>
          <w:p w14:paraId="750A1E6E"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w:t>
            </w:r>
          </w:p>
        </w:tc>
        <w:tc>
          <w:tcPr>
            <w:tcW w:w="106" w:type="dxa"/>
            <w:tcBorders>
              <w:top w:val="nil"/>
              <w:left w:val="nil"/>
              <w:bottom w:val="single" w:sz="4" w:space="0" w:color="auto"/>
              <w:right w:val="nil"/>
            </w:tcBorders>
            <w:shd w:val="clear" w:color="auto" w:fill="auto"/>
            <w:noWrap/>
            <w:vAlign w:val="bottom"/>
            <w:hideMark/>
          </w:tcPr>
          <w:p w14:paraId="203E5760"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w:t>
            </w:r>
          </w:p>
        </w:tc>
        <w:tc>
          <w:tcPr>
            <w:tcW w:w="832" w:type="dxa"/>
            <w:tcBorders>
              <w:top w:val="nil"/>
              <w:left w:val="nil"/>
              <w:bottom w:val="single" w:sz="4" w:space="0" w:color="auto"/>
              <w:right w:val="nil"/>
            </w:tcBorders>
            <w:shd w:val="clear" w:color="auto" w:fill="auto"/>
            <w:noWrap/>
            <w:vAlign w:val="bottom"/>
            <w:hideMark/>
          </w:tcPr>
          <w:p w14:paraId="12AAC9A1"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w:t>
            </w:r>
          </w:p>
        </w:tc>
        <w:tc>
          <w:tcPr>
            <w:tcW w:w="1672" w:type="dxa"/>
            <w:tcBorders>
              <w:top w:val="nil"/>
              <w:left w:val="nil"/>
              <w:bottom w:val="single" w:sz="4" w:space="0" w:color="auto"/>
              <w:right w:val="nil"/>
            </w:tcBorders>
            <w:shd w:val="clear" w:color="auto" w:fill="auto"/>
            <w:noWrap/>
            <w:vAlign w:val="bottom"/>
            <w:hideMark/>
          </w:tcPr>
          <w:p w14:paraId="3D05F177"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w:t>
            </w:r>
          </w:p>
        </w:tc>
        <w:tc>
          <w:tcPr>
            <w:tcW w:w="569" w:type="dxa"/>
            <w:tcBorders>
              <w:top w:val="nil"/>
              <w:left w:val="nil"/>
              <w:bottom w:val="single" w:sz="4" w:space="0" w:color="auto"/>
              <w:right w:val="nil"/>
            </w:tcBorders>
            <w:shd w:val="clear" w:color="auto" w:fill="auto"/>
            <w:noWrap/>
            <w:vAlign w:val="bottom"/>
            <w:hideMark/>
          </w:tcPr>
          <w:p w14:paraId="280D431D" w14:textId="77777777" w:rsidR="00611F30" w:rsidRPr="00611F30" w:rsidRDefault="00611F30" w:rsidP="00611F30">
            <w:pPr>
              <w:spacing w:line="240" w:lineRule="auto"/>
              <w:ind w:firstLine="0"/>
              <w:rPr>
                <w:rFonts w:eastAsia="Times New Roman"/>
                <w:color w:val="000000"/>
              </w:rPr>
            </w:pPr>
            <w:r w:rsidRPr="00611F30">
              <w:rPr>
                <w:rFonts w:eastAsia="Times New Roman"/>
                <w:color w:val="000000"/>
              </w:rPr>
              <w:t> </w:t>
            </w:r>
          </w:p>
        </w:tc>
      </w:tr>
      <w:tr w:rsidR="00611F30" w:rsidRPr="00611F30" w14:paraId="0638EB04" w14:textId="77777777" w:rsidTr="004E0FDA">
        <w:trPr>
          <w:trHeight w:val="720"/>
          <w:jc w:val="center"/>
        </w:trPr>
        <w:tc>
          <w:tcPr>
            <w:tcW w:w="13018" w:type="dxa"/>
            <w:gridSpan w:val="12"/>
            <w:tcBorders>
              <w:top w:val="single" w:sz="4" w:space="0" w:color="auto"/>
              <w:left w:val="nil"/>
              <w:bottom w:val="nil"/>
              <w:right w:val="nil"/>
            </w:tcBorders>
            <w:shd w:val="clear" w:color="auto" w:fill="auto"/>
            <w:vAlign w:val="center"/>
            <w:hideMark/>
          </w:tcPr>
          <w:p w14:paraId="36DAE2BB" w14:textId="77777777" w:rsidR="00611F30" w:rsidRPr="00611F30" w:rsidRDefault="00611F30" w:rsidP="00611F30">
            <w:pPr>
              <w:spacing w:line="240" w:lineRule="auto"/>
              <w:ind w:firstLine="0"/>
              <w:rPr>
                <w:rFonts w:eastAsia="Times New Roman"/>
                <w:color w:val="000000"/>
              </w:rPr>
            </w:pPr>
            <w:r w:rsidRPr="00611F30">
              <w:rPr>
                <w:rFonts w:eastAsia="Times New Roman"/>
                <w:i/>
                <w:iCs/>
                <w:color w:val="000000"/>
              </w:rPr>
              <w:t>Note</w:t>
            </w:r>
            <w:r w:rsidRPr="00611F30">
              <w:rPr>
                <w:rFonts w:eastAsia="Times New Roman"/>
                <w:color w:val="000000"/>
              </w:rPr>
              <w:t xml:space="preserve">. PC = path coefficient; CI = confidence interval; </w:t>
            </w:r>
            <w:r w:rsidRPr="00611F30">
              <w:rPr>
                <w:rFonts w:eastAsia="Times New Roman"/>
                <w:color w:val="000000"/>
                <w:vertAlign w:val="superscript"/>
              </w:rPr>
              <w:t>a</w:t>
            </w:r>
            <w:r w:rsidRPr="00611F30">
              <w:rPr>
                <w:rFonts w:eastAsia="Times New Roman"/>
                <w:color w:val="000000"/>
              </w:rPr>
              <w:t>SI→SM→</w:t>
            </w:r>
            <w:r w:rsidR="004120A5">
              <w:rPr>
                <w:rFonts w:eastAsia="Times New Roman"/>
                <w:color w:val="000000"/>
              </w:rPr>
              <w:t>M</w:t>
            </w:r>
            <w:r w:rsidRPr="00611F30">
              <w:rPr>
                <w:rFonts w:eastAsia="Times New Roman"/>
                <w:color w:val="000000"/>
              </w:rPr>
              <w:t xml:space="preserve">I. </w:t>
            </w:r>
            <w:r w:rsidRPr="00611F30">
              <w:rPr>
                <w:rFonts w:eastAsia="Times New Roman"/>
                <w:color w:val="000000"/>
                <w:vertAlign w:val="superscript"/>
              </w:rPr>
              <w:t>b</w:t>
            </w:r>
            <w:r w:rsidRPr="00611F30">
              <w:rPr>
                <w:rFonts w:eastAsia="Times New Roman"/>
                <w:color w:val="000000"/>
              </w:rPr>
              <w:t>SI→SM→WB + SI→SM→</w:t>
            </w:r>
            <w:r w:rsidR="004120A5">
              <w:rPr>
                <w:rFonts w:eastAsia="Times New Roman"/>
                <w:color w:val="000000"/>
              </w:rPr>
              <w:t>M</w:t>
            </w:r>
            <w:r w:rsidRPr="00611F30">
              <w:rPr>
                <w:rFonts w:eastAsia="Times New Roman"/>
                <w:color w:val="000000"/>
              </w:rPr>
              <w:t xml:space="preserve">I→WB. </w:t>
            </w:r>
            <w:r w:rsidRPr="00611F30">
              <w:rPr>
                <w:rFonts w:eastAsia="Times New Roman"/>
                <w:color w:val="000000"/>
                <w:vertAlign w:val="superscript"/>
              </w:rPr>
              <w:t>c</w:t>
            </w:r>
            <w:r w:rsidRPr="00611F30">
              <w:rPr>
                <w:rFonts w:eastAsia="Times New Roman"/>
                <w:color w:val="000000"/>
              </w:rPr>
              <w:t>SM→</w:t>
            </w:r>
            <w:r w:rsidR="004120A5">
              <w:rPr>
                <w:rFonts w:eastAsia="Times New Roman"/>
                <w:color w:val="000000"/>
              </w:rPr>
              <w:t>M</w:t>
            </w:r>
            <w:r w:rsidRPr="00611F30">
              <w:rPr>
                <w:rFonts w:eastAsia="Times New Roman"/>
                <w:color w:val="000000"/>
              </w:rPr>
              <w:t>I→WB.</w:t>
            </w:r>
          </w:p>
        </w:tc>
      </w:tr>
    </w:tbl>
    <w:p w14:paraId="509CAC14" w14:textId="77777777" w:rsidR="006E763B" w:rsidRDefault="006E763B"/>
    <w:p w14:paraId="25825AE0" w14:textId="77777777" w:rsidR="00A91899" w:rsidRDefault="00A91899">
      <w:pPr>
        <w:sectPr w:rsidR="00A91899" w:rsidSect="001E408C">
          <w:pgSz w:w="15840" w:h="12240" w:orient="landscape"/>
          <w:pgMar w:top="2160" w:right="1440" w:bottom="1440" w:left="1440" w:header="720" w:footer="720" w:gutter="0"/>
          <w:cols w:space="720"/>
          <w:noEndnote/>
          <w:titlePg/>
          <w:docGrid w:linePitch="326"/>
        </w:sectPr>
      </w:pPr>
    </w:p>
    <w:p w14:paraId="14E51486" w14:textId="77777777" w:rsidR="004935BB" w:rsidRDefault="004935BB" w:rsidP="004935BB">
      <w:pPr>
        <w:keepNext/>
        <w:spacing w:line="240" w:lineRule="auto"/>
        <w:ind w:firstLine="0"/>
      </w:pPr>
      <w:r>
        <w:rPr>
          <w:noProof/>
          <w:lang w:eastAsia="en-US"/>
        </w:rPr>
        <w:drawing>
          <wp:inline distT="0" distB="0" distL="0" distR="0" wp14:anchorId="530776E2" wp14:editId="6068AFDD">
            <wp:extent cx="5566410" cy="35236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6410" cy="3523615"/>
                    </a:xfrm>
                    <a:prstGeom prst="rect">
                      <a:avLst/>
                    </a:prstGeom>
                    <a:noFill/>
                  </pic:spPr>
                </pic:pic>
              </a:graphicData>
            </a:graphic>
          </wp:inline>
        </w:drawing>
      </w:r>
    </w:p>
    <w:p w14:paraId="335127A8" w14:textId="77777777" w:rsidR="006A59A3" w:rsidRDefault="006A59A3" w:rsidP="004935BB">
      <w:pPr>
        <w:pStyle w:val="Caption"/>
        <w:rPr>
          <w:sz w:val="24"/>
          <w:szCs w:val="24"/>
        </w:rPr>
      </w:pPr>
    </w:p>
    <w:p w14:paraId="4B6B1CBD" w14:textId="0A0502FB" w:rsidR="004935BB" w:rsidRPr="00FF4AE7" w:rsidRDefault="004935BB" w:rsidP="007A2E07">
      <w:pPr>
        <w:widowControl w:val="0"/>
        <w:autoSpaceDE w:val="0"/>
        <w:autoSpaceDN w:val="0"/>
        <w:adjustRightInd w:val="0"/>
        <w:spacing w:line="240" w:lineRule="auto"/>
        <w:rPr>
          <w:i/>
          <w:lang w:eastAsia="en-US"/>
        </w:rPr>
      </w:pPr>
      <w:r w:rsidRPr="00FF4AE7">
        <w:rPr>
          <w:i/>
        </w:rPr>
        <w:t xml:space="preserve">Figure </w:t>
      </w:r>
      <w:r w:rsidRPr="00FF4AE7">
        <w:rPr>
          <w:i/>
        </w:rPr>
        <w:fldChar w:fldCharType="begin"/>
      </w:r>
      <w:r w:rsidRPr="00FF4AE7">
        <w:rPr>
          <w:i/>
        </w:rPr>
        <w:instrText xml:space="preserve"> SEQ Figure \* ARABIC </w:instrText>
      </w:r>
      <w:r w:rsidRPr="00FF4AE7">
        <w:rPr>
          <w:i/>
        </w:rPr>
        <w:fldChar w:fldCharType="separate"/>
      </w:r>
      <w:r w:rsidR="0059514F" w:rsidRPr="00FF4AE7">
        <w:rPr>
          <w:i/>
          <w:noProof/>
        </w:rPr>
        <w:t>1</w:t>
      </w:r>
      <w:r w:rsidRPr="00FF4AE7">
        <w:rPr>
          <w:i/>
        </w:rPr>
        <w:fldChar w:fldCharType="end"/>
      </w:r>
      <w:r w:rsidRPr="00FF4AE7">
        <w:rPr>
          <w:i/>
        </w:rPr>
        <w:t>.</w:t>
      </w:r>
      <w:r w:rsidRPr="000A520A">
        <w:t xml:space="preserve"> </w:t>
      </w:r>
      <w:r w:rsidR="000A520A" w:rsidRPr="000A520A">
        <w:t>Simple meditational model.</w:t>
      </w:r>
      <w:r w:rsidR="000A520A" w:rsidRPr="000A520A">
        <w:rPr>
          <w:i/>
        </w:rPr>
        <w:t xml:space="preserve"> </w:t>
      </w:r>
      <w:r w:rsidR="000A520A" w:rsidRPr="00FF4AE7">
        <w:rPr>
          <w:lang w:eastAsia="en-US"/>
        </w:rPr>
        <w:t xml:space="preserve">Our conceptual model posits that, for spiritually oriented married couples, spiritual meaning (i.e., </w:t>
      </w:r>
      <w:r w:rsidR="007F4FE8">
        <w:rPr>
          <w:lang w:eastAsia="en-US"/>
        </w:rPr>
        <w:t>“</w:t>
      </w:r>
      <w:r w:rsidR="000A520A" w:rsidRPr="00FF4AE7">
        <w:rPr>
          <w:lang w:eastAsia="en-US"/>
        </w:rPr>
        <w:t>the extent to which an individual believes that life or some force of which life is a function has a purpose, will, or way in</w:t>
      </w:r>
      <w:r w:rsidR="007F4FE8">
        <w:rPr>
          <w:lang w:eastAsia="en-US"/>
        </w:rPr>
        <w:t xml:space="preserve"> which individuals participate,”</w:t>
      </w:r>
      <w:r w:rsidR="000A520A" w:rsidRPr="00FF4AE7">
        <w:rPr>
          <w:lang w:eastAsia="en-US"/>
        </w:rPr>
        <w:t xml:space="preserve"> Mascaro et al., 2004, p. 845) is the mechanism through which both marital and spiritual intimacy </w:t>
      </w:r>
      <w:r w:rsidR="00C37558">
        <w:rPr>
          <w:lang w:eastAsia="en-US"/>
        </w:rPr>
        <w:t>are related to</w:t>
      </w:r>
      <w:r w:rsidR="000A520A" w:rsidRPr="00FF4AE7">
        <w:rPr>
          <w:lang w:eastAsia="en-US"/>
        </w:rPr>
        <w:t xml:space="preserve"> physical/psychological well-being. That is, variation in both marital and spiritual intimacy </w:t>
      </w:r>
      <w:r w:rsidR="00A560E1">
        <w:rPr>
          <w:lang w:eastAsia="en-US"/>
        </w:rPr>
        <w:t>predict</w:t>
      </w:r>
      <w:r w:rsidR="00A560E1" w:rsidRPr="00FF4AE7">
        <w:rPr>
          <w:lang w:eastAsia="en-US"/>
        </w:rPr>
        <w:t xml:space="preserve"> </w:t>
      </w:r>
      <w:r w:rsidR="000A520A" w:rsidRPr="00FF4AE7">
        <w:rPr>
          <w:lang w:eastAsia="en-US"/>
        </w:rPr>
        <w:t xml:space="preserve">variation in spiritual meaning, which in turn </w:t>
      </w:r>
      <w:r w:rsidR="00A560E1">
        <w:rPr>
          <w:lang w:eastAsia="en-US"/>
        </w:rPr>
        <w:t>predict</w:t>
      </w:r>
      <w:r w:rsidR="00A560E1" w:rsidRPr="00FF4AE7">
        <w:rPr>
          <w:lang w:eastAsia="en-US"/>
        </w:rPr>
        <w:t xml:space="preserve"> </w:t>
      </w:r>
      <w:r w:rsidR="000A520A" w:rsidRPr="00FF4AE7">
        <w:rPr>
          <w:lang w:eastAsia="en-US"/>
        </w:rPr>
        <w:t>variation in physical/psychological well-being. We argue this indirect effect occurs because spiritually oriented married</w:t>
      </w:r>
      <w:r w:rsidR="000A520A">
        <w:rPr>
          <w:lang w:eastAsia="en-US"/>
        </w:rPr>
        <w:t xml:space="preserve"> </w:t>
      </w:r>
      <w:r w:rsidR="000A520A" w:rsidRPr="00FF4AE7">
        <w:rPr>
          <w:lang w:eastAsia="en-US"/>
        </w:rPr>
        <w:t>couples cultivate marital and spiritual intimacy partly to nurture their sense of spiritual meaning, which in turn enhances their physical/psychological well-being.</w:t>
      </w:r>
    </w:p>
    <w:p w14:paraId="673A6E27" w14:textId="77777777" w:rsidR="006E763B" w:rsidRDefault="006E763B">
      <w:pPr>
        <w:spacing w:line="240" w:lineRule="auto"/>
        <w:ind w:firstLine="0"/>
      </w:pPr>
      <w:r>
        <w:br w:type="page"/>
      </w:r>
    </w:p>
    <w:p w14:paraId="47A0B2CC" w14:textId="77777777" w:rsidR="00134CD9" w:rsidRDefault="00134CD9" w:rsidP="00134CD9"/>
    <w:p w14:paraId="7AF813C6" w14:textId="77777777" w:rsidR="00134CD9" w:rsidRDefault="00121C9C" w:rsidP="00FF71F3">
      <w:pPr>
        <w:ind w:firstLine="0"/>
        <w:rPr>
          <w:noProof/>
          <w:lang w:eastAsia="en-US"/>
        </w:rPr>
      </w:pPr>
      <w:r>
        <w:rPr>
          <w:noProof/>
          <w:lang w:eastAsia="en-US"/>
        </w:rPr>
        <w:drawing>
          <wp:inline distT="0" distB="0" distL="0" distR="0" wp14:anchorId="2B2FA37A" wp14:editId="5D9F5244">
            <wp:extent cx="5486400" cy="35719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8" t="12693" b="36866"/>
                    <a:stretch/>
                  </pic:blipFill>
                  <pic:spPr bwMode="auto">
                    <a:xfrm>
                      <a:off x="0" y="0"/>
                      <a:ext cx="5486400" cy="357199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A1B80B4" w14:textId="7D1BC7B0" w:rsidR="00134CD9" w:rsidRPr="007905B2" w:rsidRDefault="00134CD9" w:rsidP="00134CD9">
      <w:pPr>
        <w:widowControl w:val="0"/>
        <w:spacing w:line="240" w:lineRule="auto"/>
        <w:sectPr w:rsidR="00134CD9" w:rsidRPr="007905B2" w:rsidSect="00204BE8">
          <w:pgSz w:w="12240" w:h="15840"/>
          <w:pgMar w:top="1440" w:right="1440" w:bottom="1440" w:left="2160" w:header="720" w:footer="720" w:gutter="0"/>
          <w:cols w:space="720"/>
          <w:noEndnote/>
          <w:titlePg/>
        </w:sectPr>
      </w:pPr>
      <w:r w:rsidRPr="000E24F3">
        <w:rPr>
          <w:rStyle w:val="FigureChar"/>
        </w:rPr>
        <w:t xml:space="preserve">Figure </w:t>
      </w:r>
      <w:r w:rsidR="006E763B">
        <w:rPr>
          <w:rStyle w:val="FigureChar"/>
        </w:rPr>
        <w:t>2</w:t>
      </w:r>
      <w:r w:rsidRPr="000E24F3">
        <w:rPr>
          <w:rStyle w:val="FigureChar"/>
        </w:rPr>
        <w:t>.</w:t>
      </w:r>
      <w:r w:rsidRPr="00CE2D44">
        <w:rPr>
          <w:i/>
        </w:rPr>
        <w:t xml:space="preserve"> </w:t>
      </w:r>
      <w:r w:rsidR="00A87996">
        <w:t>Original c</w:t>
      </w:r>
      <w:r>
        <w:t xml:space="preserve">ausal model </w:t>
      </w:r>
      <w:r w:rsidRPr="00CE2D44">
        <w:t>(</w:t>
      </w:r>
      <w:r w:rsidRPr="00CE2D44">
        <w:rPr>
          <w:i/>
        </w:rPr>
        <w:t xml:space="preserve">n </w:t>
      </w:r>
      <w:r w:rsidRPr="00CE2D44">
        <w:t xml:space="preserve">= </w:t>
      </w:r>
      <w:r w:rsidR="00FF71F3">
        <w:t>5,7</w:t>
      </w:r>
      <w:r w:rsidR="00C45B0A">
        <w:t>20</w:t>
      </w:r>
      <w:r w:rsidRPr="00CE2D44">
        <w:t xml:space="preserve">).  </w:t>
      </w:r>
      <w:r w:rsidR="00643E70">
        <w:t xml:space="preserve">This model </w:t>
      </w:r>
      <w:r w:rsidR="00FF4AE7">
        <w:t xml:space="preserve">demonstrates </w:t>
      </w:r>
      <w:r w:rsidR="00643E70">
        <w:t xml:space="preserve">that there </w:t>
      </w:r>
      <w:r w:rsidR="00A54DCF">
        <w:t>are</w:t>
      </w:r>
      <w:r w:rsidR="00643E70">
        <w:t xml:space="preserve"> significant association</w:t>
      </w:r>
      <w:r w:rsidR="00A54DCF">
        <w:t>s</w:t>
      </w:r>
      <w:r w:rsidR="00643E70">
        <w:t xml:space="preserve"> among spiritual intimacy, marital intimacy, and well-being in that one’s relationship with God can directly improve one’s marital intimacy and well-being.  Spiritual intimacy is also potentiated by improving marital intimacy which in turn improves well-being. </w:t>
      </w:r>
      <w:r w:rsidRPr="00CE2D44">
        <w:t xml:space="preserve">Standardized regression coefficients from structural model are shown.  </w:t>
      </w:r>
      <w:r>
        <w:t>Age</w:t>
      </w:r>
      <w:r w:rsidR="000930A4">
        <w:t xml:space="preserve"> and length of relationship</w:t>
      </w:r>
      <w:r w:rsidRPr="00CE2D44">
        <w:t xml:space="preserve"> </w:t>
      </w:r>
      <w:r w:rsidR="00D77D65">
        <w:t>are</w:t>
      </w:r>
      <w:r w:rsidRPr="00CE2D44">
        <w:t xml:space="preserve"> controlled. </w:t>
      </w:r>
      <w:r>
        <w:t>S</w:t>
      </w:r>
      <w:r w:rsidRPr="00CE2D44">
        <w:t xml:space="preserve">tructural model </w:t>
      </w:r>
      <w:r>
        <w:t>of relationship</w:t>
      </w:r>
      <w:r w:rsidRPr="00CE2D44">
        <w:t xml:space="preserve"> between latent variables is shown with bold-faced arrows and coefficients. All coefficients</w:t>
      </w:r>
      <w:r w:rsidR="00D77D65">
        <w:t xml:space="preserve"> </w:t>
      </w:r>
      <w:r w:rsidRPr="00CE2D44">
        <w:t xml:space="preserve">are statistically significant at </w:t>
      </w:r>
      <w:r w:rsidRPr="00CE2D44">
        <w:rPr>
          <w:i/>
        </w:rPr>
        <w:t>p</w:t>
      </w:r>
      <w:r w:rsidRPr="00CE2D44">
        <w:t xml:space="preserve"> &lt; .0</w:t>
      </w:r>
      <w:r w:rsidR="00E307BC">
        <w:t>01</w:t>
      </w:r>
      <w:r w:rsidR="00D77D65">
        <w:t xml:space="preserve"> (except for well-being to SF-12 physical which is not significant) </w:t>
      </w:r>
      <w:r w:rsidRPr="00CE2D44">
        <w:t xml:space="preserve">using bias-corrected 1,000 sample bootstrap. </w:t>
      </w:r>
      <w:r w:rsidRPr="00CE2D44">
        <w:rPr>
          <w:i/>
        </w:rPr>
        <w:t>x</w:t>
      </w:r>
      <w:r w:rsidRPr="00CE2D44">
        <w:rPr>
          <w:vertAlign w:val="superscript"/>
        </w:rPr>
        <w:t xml:space="preserve">2 </w:t>
      </w:r>
      <w:r w:rsidRPr="00CE2D44">
        <w:t>(</w:t>
      </w:r>
      <w:r w:rsidR="00D77D65">
        <w:t>73</w:t>
      </w:r>
      <w:r w:rsidRPr="00CE2D44">
        <w:t xml:space="preserve">) = </w:t>
      </w:r>
      <w:r w:rsidR="00C45B0A">
        <w:t>1288.</w:t>
      </w:r>
      <w:r w:rsidR="00EB7F67">
        <w:t>60</w:t>
      </w:r>
      <w:r w:rsidR="00D77D65">
        <w:t xml:space="preserve">, </w:t>
      </w:r>
      <w:r w:rsidRPr="00CE2D44">
        <w:rPr>
          <w:i/>
        </w:rPr>
        <w:t>p</w:t>
      </w:r>
      <w:r w:rsidRPr="00CE2D44">
        <w:t xml:space="preserve"> </w:t>
      </w:r>
      <w:r w:rsidR="00FF71F3">
        <w:t>=</w:t>
      </w:r>
      <w:r w:rsidRPr="00CE2D44">
        <w:t xml:space="preserve"> .00</w:t>
      </w:r>
      <w:r w:rsidR="00FF71F3">
        <w:t>0</w:t>
      </w:r>
      <w:r w:rsidRPr="00CE2D44">
        <w:t xml:space="preserve">, </w:t>
      </w:r>
      <w:r w:rsidRPr="00CE2D44">
        <w:rPr>
          <w:i/>
        </w:rPr>
        <w:t>RMSEA</w:t>
      </w:r>
      <w:r w:rsidRPr="00CE2D44">
        <w:t xml:space="preserve"> = .0</w:t>
      </w:r>
      <w:r w:rsidR="0090090D">
        <w:t>5</w:t>
      </w:r>
      <w:r w:rsidRPr="00CE2D44">
        <w:t xml:space="preserve"> (95% CI = .0</w:t>
      </w:r>
      <w:r w:rsidR="00D77D65">
        <w:t>5</w:t>
      </w:r>
      <w:r w:rsidR="0090090D">
        <w:t>, .</w:t>
      </w:r>
      <w:r w:rsidR="00EB7F67">
        <w:t>06</w:t>
      </w:r>
      <w:r w:rsidRPr="00CE2D44">
        <w:t xml:space="preserve">), </w:t>
      </w:r>
      <w:r>
        <w:t>S</w:t>
      </w:r>
      <w:r w:rsidRPr="00CE2D44">
        <w:rPr>
          <w:i/>
        </w:rPr>
        <w:t>RMR</w:t>
      </w:r>
      <w:r w:rsidRPr="00CE2D44">
        <w:t xml:space="preserve"> = </w:t>
      </w:r>
      <w:r w:rsidR="0090090D">
        <w:t>.0</w:t>
      </w:r>
      <w:r w:rsidR="00FF71F3">
        <w:t>4</w:t>
      </w:r>
      <w:r w:rsidR="001C5614">
        <w:t>, NFI .9</w:t>
      </w:r>
      <w:r w:rsidR="00EB7F67">
        <w:t>6</w:t>
      </w:r>
      <w:r w:rsidRPr="00CE2D44">
        <w:t>.  Numbers beside latent and manifest variables are squared multiple correlations for all arrows leading into that variable.  Numbers on arrows are standardized path coefficients</w:t>
      </w:r>
      <w:r w:rsidR="0055026C">
        <w:t>.</w:t>
      </w:r>
    </w:p>
    <w:p w14:paraId="2C2530EA" w14:textId="77777777" w:rsidR="00761A9F" w:rsidRDefault="00CE519A" w:rsidP="00FF4AE7">
      <w:pPr>
        <w:ind w:hanging="90"/>
        <w:jc w:val="center"/>
      </w:pPr>
      <w:r>
        <w:rPr>
          <w:noProof/>
          <w:lang w:eastAsia="en-US"/>
        </w:rPr>
        <w:drawing>
          <wp:inline distT="0" distB="0" distL="0" distR="0" wp14:anchorId="4423D777" wp14:editId="3F81A3F7">
            <wp:extent cx="5378134" cy="55045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704" b="7208"/>
                    <a:stretch/>
                  </pic:blipFill>
                  <pic:spPr bwMode="auto">
                    <a:xfrm>
                      <a:off x="0" y="0"/>
                      <a:ext cx="5378181" cy="550459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3A10347" w14:textId="009F065A" w:rsidR="00034DD6" w:rsidRPr="00CE519A" w:rsidRDefault="00761A9F" w:rsidP="007A2E07">
      <w:pPr>
        <w:widowControl w:val="0"/>
        <w:spacing w:line="240" w:lineRule="auto"/>
      </w:pPr>
      <w:r w:rsidRPr="000E24F3">
        <w:rPr>
          <w:rStyle w:val="FigureChar"/>
        </w:rPr>
        <w:t xml:space="preserve">Figure </w:t>
      </w:r>
      <w:r w:rsidR="006E763B">
        <w:rPr>
          <w:rStyle w:val="FigureChar"/>
        </w:rPr>
        <w:t>3</w:t>
      </w:r>
      <w:r w:rsidRPr="000E24F3">
        <w:rPr>
          <w:rStyle w:val="FigureChar"/>
        </w:rPr>
        <w:t>.</w:t>
      </w:r>
      <w:r w:rsidRPr="00CE2D44">
        <w:rPr>
          <w:i/>
        </w:rPr>
        <w:t xml:space="preserve"> </w:t>
      </w:r>
      <w:r>
        <w:t xml:space="preserve">Final causal model </w:t>
      </w:r>
      <w:r w:rsidRPr="00CE2D44">
        <w:t>(</w:t>
      </w:r>
      <w:r w:rsidRPr="00CE2D44">
        <w:rPr>
          <w:i/>
        </w:rPr>
        <w:t xml:space="preserve">n </w:t>
      </w:r>
      <w:r w:rsidRPr="00CE2D44">
        <w:t xml:space="preserve">= </w:t>
      </w:r>
      <w:r w:rsidR="00E307BC">
        <w:t>5,7</w:t>
      </w:r>
      <w:r w:rsidR="00894FB5">
        <w:t>20</w:t>
      </w:r>
      <w:r w:rsidRPr="00CE2D44">
        <w:t xml:space="preserve">). </w:t>
      </w:r>
      <w:r w:rsidR="00236195">
        <w:t>S</w:t>
      </w:r>
      <w:r w:rsidR="00643E70">
        <w:t xml:space="preserve">piritual intimacy </w:t>
      </w:r>
      <w:r w:rsidR="001B393C">
        <w:t xml:space="preserve">is the best predictor of </w:t>
      </w:r>
      <w:r w:rsidR="00643E70">
        <w:t xml:space="preserve">one’s marital intimacy and well-being </w:t>
      </w:r>
      <w:r w:rsidR="00FD76D2">
        <w:t>through the lens of spiritual meaning. When one’s relationship with God creates meaning and purpose in one’s life, it positively improves both marital intimacy and well-being.  The strongest positive change is seen for individual well-being in that spiritual intimacy, by improving marital intimacy, also improves well-being.  Without spiritual meaning in one’s life</w:t>
      </w:r>
      <w:r w:rsidR="00122EB7">
        <w:t>,</w:t>
      </w:r>
      <w:r w:rsidR="00FD76D2">
        <w:t xml:space="preserve"> </w:t>
      </w:r>
      <w:r w:rsidR="00122EB7">
        <w:t xml:space="preserve">one’s relationship with God </w:t>
      </w:r>
      <w:r w:rsidR="00236195">
        <w:t>is associated with</w:t>
      </w:r>
      <w:r w:rsidR="00122EB7">
        <w:t xml:space="preserve"> a decrease in </w:t>
      </w:r>
      <w:r w:rsidR="00FD76D2">
        <w:t xml:space="preserve">marital intimacy and well-being. </w:t>
      </w:r>
      <w:r w:rsidRPr="00CE2D44">
        <w:t xml:space="preserve">Standardized regression coefficients from structural model are shown.  </w:t>
      </w:r>
      <w:r w:rsidR="006231AB">
        <w:t>Age</w:t>
      </w:r>
      <w:r w:rsidRPr="00CE2D44">
        <w:t xml:space="preserve"> </w:t>
      </w:r>
      <w:r w:rsidR="00E128AC">
        <w:t>and length of relationship are</w:t>
      </w:r>
      <w:r w:rsidR="00E128AC" w:rsidRPr="00CE2D44">
        <w:t xml:space="preserve"> </w:t>
      </w:r>
      <w:r w:rsidRPr="00CE2D44">
        <w:t xml:space="preserve">controlled. </w:t>
      </w:r>
      <w:r>
        <w:t>S</w:t>
      </w:r>
      <w:r w:rsidRPr="00CE2D44">
        <w:t xml:space="preserve">tructural model </w:t>
      </w:r>
      <w:r>
        <w:t>of relationship</w:t>
      </w:r>
      <w:r w:rsidRPr="00CE2D44">
        <w:t xml:space="preserve"> between latent variables is shown with bold-faced arrows and coefficients. All coefficients are statistically significant at </w:t>
      </w:r>
      <w:r w:rsidRPr="00CE2D44">
        <w:rPr>
          <w:i/>
        </w:rPr>
        <w:t>p</w:t>
      </w:r>
      <w:r w:rsidRPr="00CE2D44">
        <w:t xml:space="preserve"> &lt; .</w:t>
      </w:r>
      <w:r w:rsidR="002D7D7B" w:rsidRPr="00CE2D44">
        <w:t>0</w:t>
      </w:r>
      <w:r w:rsidR="009A1620">
        <w:t>05</w:t>
      </w:r>
      <w:r w:rsidR="002D7D7B" w:rsidRPr="00CE2D44">
        <w:t xml:space="preserve"> </w:t>
      </w:r>
      <w:r w:rsidRPr="00CE2D44">
        <w:t xml:space="preserve">using bias-corrected 1,000 sample bootstrap. </w:t>
      </w:r>
      <w:r w:rsidRPr="00CE2D44">
        <w:rPr>
          <w:i/>
        </w:rPr>
        <w:t>x</w:t>
      </w:r>
      <w:r w:rsidRPr="00CE2D44">
        <w:rPr>
          <w:vertAlign w:val="superscript"/>
        </w:rPr>
        <w:t xml:space="preserve">2 </w:t>
      </w:r>
      <w:r w:rsidRPr="00CE2D44">
        <w:t>(</w:t>
      </w:r>
      <w:r w:rsidR="00E119C1">
        <w:t>1</w:t>
      </w:r>
      <w:r w:rsidR="00F41271">
        <w:t>47</w:t>
      </w:r>
      <w:r w:rsidRPr="00CE2D44">
        <w:t xml:space="preserve">) = </w:t>
      </w:r>
      <w:r w:rsidR="00E307BC">
        <w:t>2137</w:t>
      </w:r>
      <w:r>
        <w:t>.</w:t>
      </w:r>
      <w:r w:rsidR="00E307BC">
        <w:t>07</w:t>
      </w:r>
      <w:r w:rsidRPr="00CE2D44">
        <w:t xml:space="preserve">, </w:t>
      </w:r>
      <w:r w:rsidRPr="00CE2D44">
        <w:rPr>
          <w:i/>
        </w:rPr>
        <w:t>p</w:t>
      </w:r>
      <w:r w:rsidR="009A1620">
        <w:t xml:space="preserve"> &lt; .001</w:t>
      </w:r>
      <w:r w:rsidRPr="00CE2D44">
        <w:t xml:space="preserve">, </w:t>
      </w:r>
      <w:r w:rsidRPr="00CE2D44">
        <w:rPr>
          <w:i/>
        </w:rPr>
        <w:t>RMSEA</w:t>
      </w:r>
      <w:r w:rsidRPr="00CE2D44">
        <w:t xml:space="preserve"> = .</w:t>
      </w:r>
      <w:r w:rsidR="00E119C1" w:rsidRPr="00CE2D44">
        <w:t>0</w:t>
      </w:r>
      <w:r w:rsidR="00E119C1">
        <w:t>4</w:t>
      </w:r>
      <w:r w:rsidR="00894FB5">
        <w:t>9</w:t>
      </w:r>
      <w:r w:rsidR="00E119C1" w:rsidRPr="00CE2D44">
        <w:t xml:space="preserve"> </w:t>
      </w:r>
      <w:r w:rsidRPr="00CE2D44">
        <w:t>(95% CI = .</w:t>
      </w:r>
      <w:r w:rsidR="00E119C1" w:rsidRPr="00CE2D44">
        <w:t>0</w:t>
      </w:r>
      <w:r w:rsidR="00E119C1">
        <w:t>4</w:t>
      </w:r>
      <w:r w:rsidR="00F41271">
        <w:t>7</w:t>
      </w:r>
      <w:r>
        <w:t>, .</w:t>
      </w:r>
      <w:r w:rsidR="00E119C1">
        <w:t>0</w:t>
      </w:r>
      <w:r w:rsidR="00F41271">
        <w:t>50</w:t>
      </w:r>
      <w:r w:rsidRPr="00CE2D44">
        <w:t xml:space="preserve">), </w:t>
      </w:r>
      <w:r w:rsidR="00042FF5">
        <w:t>S</w:t>
      </w:r>
      <w:r w:rsidRPr="00CE2D44">
        <w:rPr>
          <w:i/>
        </w:rPr>
        <w:t>RMR</w:t>
      </w:r>
      <w:r w:rsidRPr="00CE2D44">
        <w:t xml:space="preserve"> = </w:t>
      </w:r>
      <w:r>
        <w:t>.</w:t>
      </w:r>
      <w:r w:rsidR="00F41271">
        <w:t>04</w:t>
      </w:r>
      <w:r w:rsidR="001C5614">
        <w:t>, NFI .95</w:t>
      </w:r>
      <w:r w:rsidRPr="00CE2D44">
        <w:t>.  Numbers beside latent and manifest variables are squared multiple correlations for all arrows leading into that variable.  Numbers on arrows are standardized path coefficient</w:t>
      </w:r>
      <w:r w:rsidR="00034DD6">
        <w:t>s.</w:t>
      </w:r>
    </w:p>
    <w:sectPr w:rsidR="00034DD6" w:rsidRPr="00CE519A" w:rsidSect="00204BE8">
      <w:pgSz w:w="12240" w:h="15840"/>
      <w:pgMar w:top="1440" w:right="1440" w:bottom="1440" w:left="21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016B1" w14:textId="77777777" w:rsidR="00604552" w:rsidRDefault="00604552" w:rsidP="00C54448">
      <w:r>
        <w:separator/>
      </w:r>
    </w:p>
  </w:endnote>
  <w:endnote w:type="continuationSeparator" w:id="0">
    <w:p w14:paraId="7AD1038B" w14:textId="77777777" w:rsidR="00604552" w:rsidRDefault="00604552" w:rsidP="00C54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lonna MT">
    <w:charset w:val="00"/>
    <w:family w:val="decorativ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7E53A" w14:textId="77777777" w:rsidR="00604552" w:rsidRDefault="00604552" w:rsidP="00511F5D">
      <w:r>
        <w:separator/>
      </w:r>
    </w:p>
  </w:footnote>
  <w:footnote w:type="continuationSeparator" w:id="0">
    <w:p w14:paraId="2E54225B" w14:textId="77777777" w:rsidR="00604552" w:rsidRDefault="00604552" w:rsidP="00C54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D0377" w14:textId="77777777" w:rsidR="006E3394" w:rsidRDefault="006E3394" w:rsidP="00A94B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1AD150" w14:textId="77777777" w:rsidR="006E3394" w:rsidRDefault="006E3394">
    <w:pPr>
      <w:pStyle w:val="Header"/>
      <w:ind w:right="360"/>
      <w:pPrChange w:id="0" w:author="Karen Holland" w:date="2015-05-14T06:21: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8467B" w14:textId="6FC7B507" w:rsidR="006E3394" w:rsidRDefault="006E3394" w:rsidP="00A94B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2877">
      <w:rPr>
        <w:rStyle w:val="PageNumber"/>
        <w:noProof/>
      </w:rPr>
      <w:t>20</w:t>
    </w:r>
    <w:r>
      <w:rPr>
        <w:rStyle w:val="PageNumber"/>
      </w:rPr>
      <w:fldChar w:fldCharType="end"/>
    </w:r>
  </w:p>
  <w:p w14:paraId="3C449DCC" w14:textId="77777777" w:rsidR="006E3394" w:rsidRDefault="006E3394" w:rsidP="00F336D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E4A2B" w14:textId="54C42C5A" w:rsidR="006E3394" w:rsidRPr="00204BE8" w:rsidRDefault="006E3394" w:rsidP="008033E5">
    <w:pPr>
      <w:pStyle w:val="Header"/>
      <w:ind w:firstLine="0"/>
    </w:pPr>
    <w:r>
      <w:t>SPIRITUAL AND MARITAL INTIMACY, WELL-BEING</w:t>
    </w:r>
    <w:r w:rsidDel="008033E5">
      <w:rPr>
        <w:rStyle w:val="PageNumber"/>
      </w:rPr>
      <w:t xml:space="preserve"> </w:t>
    </w:r>
    <w:r>
      <w:rPr>
        <w:rStyle w:val="PageNumber"/>
      </w:rPr>
      <w:tab/>
    </w:r>
    <w:r w:rsidRPr="008033E5">
      <w:rPr>
        <w:rStyle w:val="PageNumber"/>
      </w:rPr>
      <w:fldChar w:fldCharType="begin"/>
    </w:r>
    <w:r w:rsidRPr="008033E5">
      <w:rPr>
        <w:rStyle w:val="PageNumber"/>
      </w:rPr>
      <w:instrText xml:space="preserve"> PAGE   \* MERGEFORMAT </w:instrText>
    </w:r>
    <w:r w:rsidRPr="008033E5">
      <w:rPr>
        <w:rStyle w:val="PageNumber"/>
      </w:rPr>
      <w:fldChar w:fldCharType="separate"/>
    </w:r>
    <w:r w:rsidR="00662877">
      <w:rPr>
        <w:rStyle w:val="PageNumber"/>
        <w:noProof/>
      </w:rPr>
      <w:t>1</w:t>
    </w:r>
    <w:r w:rsidRPr="008033E5">
      <w:rPr>
        <w:rStyle w:val="PageNumbe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27A28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070A1"/>
    <w:multiLevelType w:val="hybridMultilevel"/>
    <w:tmpl w:val="512C86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244945"/>
    <w:multiLevelType w:val="hybridMultilevel"/>
    <w:tmpl w:val="57CCB3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ED567D"/>
    <w:multiLevelType w:val="hybridMultilevel"/>
    <w:tmpl w:val="0A084A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451E8D"/>
    <w:multiLevelType w:val="hybridMultilevel"/>
    <w:tmpl w:val="0A084A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460A12"/>
    <w:multiLevelType w:val="hybridMultilevel"/>
    <w:tmpl w:val="0A084A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875483"/>
    <w:multiLevelType w:val="hybridMultilevel"/>
    <w:tmpl w:val="C9B6D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D73F65"/>
    <w:multiLevelType w:val="hybridMultilevel"/>
    <w:tmpl w:val="7C765698"/>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8" w15:restartNumberingAfterBreak="0">
    <w:nsid w:val="674E73C4"/>
    <w:multiLevelType w:val="hybridMultilevel"/>
    <w:tmpl w:val="FE50DA1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8"/>
  </w:num>
  <w:num w:numId="5">
    <w:abstractNumId w:val="7"/>
  </w:num>
  <w:num w:numId="6">
    <w:abstractNumId w:val="5"/>
  </w:num>
  <w:num w:numId="7">
    <w:abstractNumId w:val="3"/>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en Holland">
    <w15:presenceInfo w15:providerId="Windows Live" w15:userId="5368f7aef77aca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olonna MT&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fsx9dzzdkefx0kew2wcp29axz00pddv0vfvt&quot;&gt;My EndNote Library&lt;record-ids&gt;&lt;item&gt;6&lt;/item&gt;&lt;item&gt;127&lt;/item&gt;&lt;item&gt;128&lt;/item&gt;&lt;item&gt;129&lt;/item&gt;&lt;item&gt;130&lt;/item&gt;&lt;/record-ids&gt;&lt;/item&gt;&lt;/Libraries&gt;"/>
  </w:docVars>
  <w:rsids>
    <w:rsidRoot w:val="00B8612F"/>
    <w:rsid w:val="000003D9"/>
    <w:rsid w:val="000021FA"/>
    <w:rsid w:val="0000655E"/>
    <w:rsid w:val="000074E4"/>
    <w:rsid w:val="00011458"/>
    <w:rsid w:val="00012BD2"/>
    <w:rsid w:val="000135DA"/>
    <w:rsid w:val="000136F3"/>
    <w:rsid w:val="0001423D"/>
    <w:rsid w:val="0001684A"/>
    <w:rsid w:val="00016C1D"/>
    <w:rsid w:val="00020567"/>
    <w:rsid w:val="00021091"/>
    <w:rsid w:val="0002192D"/>
    <w:rsid w:val="0002267B"/>
    <w:rsid w:val="00022C15"/>
    <w:rsid w:val="000248F8"/>
    <w:rsid w:val="00024B49"/>
    <w:rsid w:val="00025B8A"/>
    <w:rsid w:val="000279C9"/>
    <w:rsid w:val="00031BCF"/>
    <w:rsid w:val="00033DD8"/>
    <w:rsid w:val="00034DD6"/>
    <w:rsid w:val="00037499"/>
    <w:rsid w:val="00037554"/>
    <w:rsid w:val="0003774D"/>
    <w:rsid w:val="00042C42"/>
    <w:rsid w:val="00042FF5"/>
    <w:rsid w:val="00043AEA"/>
    <w:rsid w:val="000444F4"/>
    <w:rsid w:val="00044512"/>
    <w:rsid w:val="0004451D"/>
    <w:rsid w:val="00044D83"/>
    <w:rsid w:val="0004694E"/>
    <w:rsid w:val="00052388"/>
    <w:rsid w:val="00052CD4"/>
    <w:rsid w:val="000534FD"/>
    <w:rsid w:val="0005653C"/>
    <w:rsid w:val="00056F80"/>
    <w:rsid w:val="0005760F"/>
    <w:rsid w:val="000576FD"/>
    <w:rsid w:val="00060627"/>
    <w:rsid w:val="00060B5E"/>
    <w:rsid w:val="00065ABC"/>
    <w:rsid w:val="0006678A"/>
    <w:rsid w:val="00067A55"/>
    <w:rsid w:val="0007050F"/>
    <w:rsid w:val="00073898"/>
    <w:rsid w:val="00074ED6"/>
    <w:rsid w:val="00075D90"/>
    <w:rsid w:val="000767A9"/>
    <w:rsid w:val="00080226"/>
    <w:rsid w:val="00080376"/>
    <w:rsid w:val="00080716"/>
    <w:rsid w:val="00080CF3"/>
    <w:rsid w:val="00081943"/>
    <w:rsid w:val="00082475"/>
    <w:rsid w:val="00083690"/>
    <w:rsid w:val="00083F1E"/>
    <w:rsid w:val="00086816"/>
    <w:rsid w:val="000878EA"/>
    <w:rsid w:val="00087915"/>
    <w:rsid w:val="00090B29"/>
    <w:rsid w:val="00091250"/>
    <w:rsid w:val="00091AB1"/>
    <w:rsid w:val="00091BE2"/>
    <w:rsid w:val="00091FA6"/>
    <w:rsid w:val="00092854"/>
    <w:rsid w:val="0009308D"/>
    <w:rsid w:val="000930A4"/>
    <w:rsid w:val="0009367C"/>
    <w:rsid w:val="000936A1"/>
    <w:rsid w:val="00093E2F"/>
    <w:rsid w:val="00095258"/>
    <w:rsid w:val="0009629E"/>
    <w:rsid w:val="00097172"/>
    <w:rsid w:val="000A264D"/>
    <w:rsid w:val="000A26D7"/>
    <w:rsid w:val="000A32E4"/>
    <w:rsid w:val="000A3F6F"/>
    <w:rsid w:val="000A497C"/>
    <w:rsid w:val="000A4EF4"/>
    <w:rsid w:val="000A5119"/>
    <w:rsid w:val="000A520A"/>
    <w:rsid w:val="000A6524"/>
    <w:rsid w:val="000A65E8"/>
    <w:rsid w:val="000B0D19"/>
    <w:rsid w:val="000B1DA0"/>
    <w:rsid w:val="000B4FE9"/>
    <w:rsid w:val="000B67B3"/>
    <w:rsid w:val="000C28A5"/>
    <w:rsid w:val="000C2D23"/>
    <w:rsid w:val="000C3023"/>
    <w:rsid w:val="000C33B4"/>
    <w:rsid w:val="000C3567"/>
    <w:rsid w:val="000C3F8D"/>
    <w:rsid w:val="000C5289"/>
    <w:rsid w:val="000C5415"/>
    <w:rsid w:val="000C61FC"/>
    <w:rsid w:val="000C7580"/>
    <w:rsid w:val="000C789D"/>
    <w:rsid w:val="000D03C9"/>
    <w:rsid w:val="000D1927"/>
    <w:rsid w:val="000D213E"/>
    <w:rsid w:val="000D3E87"/>
    <w:rsid w:val="000D6B47"/>
    <w:rsid w:val="000D7322"/>
    <w:rsid w:val="000D7B96"/>
    <w:rsid w:val="000E24F3"/>
    <w:rsid w:val="000E3D85"/>
    <w:rsid w:val="000E4108"/>
    <w:rsid w:val="000E7964"/>
    <w:rsid w:val="000F1648"/>
    <w:rsid w:val="000F344F"/>
    <w:rsid w:val="000F46D4"/>
    <w:rsid w:val="000F4C14"/>
    <w:rsid w:val="000F5404"/>
    <w:rsid w:val="000F7651"/>
    <w:rsid w:val="001018BC"/>
    <w:rsid w:val="00101CFB"/>
    <w:rsid w:val="00102F5D"/>
    <w:rsid w:val="00103110"/>
    <w:rsid w:val="0010435C"/>
    <w:rsid w:val="0010480A"/>
    <w:rsid w:val="001057BB"/>
    <w:rsid w:val="001057BC"/>
    <w:rsid w:val="00105889"/>
    <w:rsid w:val="00105B57"/>
    <w:rsid w:val="00105D19"/>
    <w:rsid w:val="00111769"/>
    <w:rsid w:val="0011202A"/>
    <w:rsid w:val="00112D28"/>
    <w:rsid w:val="00114169"/>
    <w:rsid w:val="00114E39"/>
    <w:rsid w:val="00115C2C"/>
    <w:rsid w:val="00115EAD"/>
    <w:rsid w:val="00115FBE"/>
    <w:rsid w:val="00116941"/>
    <w:rsid w:val="00116B14"/>
    <w:rsid w:val="001170DC"/>
    <w:rsid w:val="001172E2"/>
    <w:rsid w:val="00120983"/>
    <w:rsid w:val="001210B8"/>
    <w:rsid w:val="00121C9C"/>
    <w:rsid w:val="00121EEB"/>
    <w:rsid w:val="00122EB7"/>
    <w:rsid w:val="00124473"/>
    <w:rsid w:val="00126282"/>
    <w:rsid w:val="00126661"/>
    <w:rsid w:val="00126CD9"/>
    <w:rsid w:val="001309F7"/>
    <w:rsid w:val="00131E50"/>
    <w:rsid w:val="00133083"/>
    <w:rsid w:val="00133C29"/>
    <w:rsid w:val="00134CD9"/>
    <w:rsid w:val="001366F0"/>
    <w:rsid w:val="00137C95"/>
    <w:rsid w:val="00140740"/>
    <w:rsid w:val="00142AB9"/>
    <w:rsid w:val="00142BA4"/>
    <w:rsid w:val="001470A0"/>
    <w:rsid w:val="001515AB"/>
    <w:rsid w:val="00151BA2"/>
    <w:rsid w:val="0015278F"/>
    <w:rsid w:val="00153259"/>
    <w:rsid w:val="001551CD"/>
    <w:rsid w:val="00157BAC"/>
    <w:rsid w:val="00163226"/>
    <w:rsid w:val="001642E5"/>
    <w:rsid w:val="001648EC"/>
    <w:rsid w:val="00164E5A"/>
    <w:rsid w:val="00165AF7"/>
    <w:rsid w:val="00166029"/>
    <w:rsid w:val="0017077A"/>
    <w:rsid w:val="0017099A"/>
    <w:rsid w:val="00173C8D"/>
    <w:rsid w:val="001740C2"/>
    <w:rsid w:val="001742C1"/>
    <w:rsid w:val="00175F18"/>
    <w:rsid w:val="00176D76"/>
    <w:rsid w:val="001770CF"/>
    <w:rsid w:val="0017766F"/>
    <w:rsid w:val="0017788D"/>
    <w:rsid w:val="00182823"/>
    <w:rsid w:val="0018792A"/>
    <w:rsid w:val="00187EFD"/>
    <w:rsid w:val="001904A4"/>
    <w:rsid w:val="00190B77"/>
    <w:rsid w:val="00191B73"/>
    <w:rsid w:val="00191E5F"/>
    <w:rsid w:val="00191EE7"/>
    <w:rsid w:val="0019227C"/>
    <w:rsid w:val="001935A9"/>
    <w:rsid w:val="00194B3A"/>
    <w:rsid w:val="00195BDA"/>
    <w:rsid w:val="001962F4"/>
    <w:rsid w:val="001A127A"/>
    <w:rsid w:val="001A1326"/>
    <w:rsid w:val="001A3576"/>
    <w:rsid w:val="001A53E1"/>
    <w:rsid w:val="001A66BF"/>
    <w:rsid w:val="001A7A1B"/>
    <w:rsid w:val="001B1508"/>
    <w:rsid w:val="001B1995"/>
    <w:rsid w:val="001B1D2E"/>
    <w:rsid w:val="001B2092"/>
    <w:rsid w:val="001B2F7D"/>
    <w:rsid w:val="001B3122"/>
    <w:rsid w:val="001B393C"/>
    <w:rsid w:val="001B4934"/>
    <w:rsid w:val="001B52D6"/>
    <w:rsid w:val="001B6982"/>
    <w:rsid w:val="001C03F5"/>
    <w:rsid w:val="001C0A55"/>
    <w:rsid w:val="001C2608"/>
    <w:rsid w:val="001C5003"/>
    <w:rsid w:val="001C5364"/>
    <w:rsid w:val="001C5614"/>
    <w:rsid w:val="001C79A3"/>
    <w:rsid w:val="001D19FF"/>
    <w:rsid w:val="001D2710"/>
    <w:rsid w:val="001D2DDE"/>
    <w:rsid w:val="001D6245"/>
    <w:rsid w:val="001D759D"/>
    <w:rsid w:val="001E33E0"/>
    <w:rsid w:val="001E408C"/>
    <w:rsid w:val="001E5355"/>
    <w:rsid w:val="001E6C79"/>
    <w:rsid w:val="001E7FB6"/>
    <w:rsid w:val="001F1708"/>
    <w:rsid w:val="001F303B"/>
    <w:rsid w:val="001F39AC"/>
    <w:rsid w:val="001F3D72"/>
    <w:rsid w:val="001F48D9"/>
    <w:rsid w:val="001F4D3D"/>
    <w:rsid w:val="00200815"/>
    <w:rsid w:val="00200F0E"/>
    <w:rsid w:val="0020356C"/>
    <w:rsid w:val="00203FF7"/>
    <w:rsid w:val="00204BE8"/>
    <w:rsid w:val="00206E97"/>
    <w:rsid w:val="00213501"/>
    <w:rsid w:val="002139CD"/>
    <w:rsid w:val="00213DB8"/>
    <w:rsid w:val="00216795"/>
    <w:rsid w:val="00217C39"/>
    <w:rsid w:val="00220E78"/>
    <w:rsid w:val="002212FD"/>
    <w:rsid w:val="0022270A"/>
    <w:rsid w:val="00222F90"/>
    <w:rsid w:val="002232B5"/>
    <w:rsid w:val="00223A0A"/>
    <w:rsid w:val="002249D9"/>
    <w:rsid w:val="002254EF"/>
    <w:rsid w:val="00226190"/>
    <w:rsid w:val="00231660"/>
    <w:rsid w:val="00232F70"/>
    <w:rsid w:val="00233C9B"/>
    <w:rsid w:val="00233D23"/>
    <w:rsid w:val="00236195"/>
    <w:rsid w:val="00241287"/>
    <w:rsid w:val="002436D0"/>
    <w:rsid w:val="00243BA3"/>
    <w:rsid w:val="00246A76"/>
    <w:rsid w:val="0024715A"/>
    <w:rsid w:val="00247B39"/>
    <w:rsid w:val="00250D51"/>
    <w:rsid w:val="0025341A"/>
    <w:rsid w:val="002564C5"/>
    <w:rsid w:val="00256CBD"/>
    <w:rsid w:val="00256CFC"/>
    <w:rsid w:val="00262866"/>
    <w:rsid w:val="00262D64"/>
    <w:rsid w:val="002646F4"/>
    <w:rsid w:val="00265064"/>
    <w:rsid w:val="002726B6"/>
    <w:rsid w:val="00273701"/>
    <w:rsid w:val="00273F01"/>
    <w:rsid w:val="002758F7"/>
    <w:rsid w:val="00276CDF"/>
    <w:rsid w:val="00276F0D"/>
    <w:rsid w:val="00276F8A"/>
    <w:rsid w:val="0028113D"/>
    <w:rsid w:val="00281805"/>
    <w:rsid w:val="00286DB6"/>
    <w:rsid w:val="002903C9"/>
    <w:rsid w:val="00293D60"/>
    <w:rsid w:val="00293ECF"/>
    <w:rsid w:val="00294A77"/>
    <w:rsid w:val="002958ED"/>
    <w:rsid w:val="002960F1"/>
    <w:rsid w:val="00296701"/>
    <w:rsid w:val="002A0353"/>
    <w:rsid w:val="002A3745"/>
    <w:rsid w:val="002A5338"/>
    <w:rsid w:val="002A56C7"/>
    <w:rsid w:val="002A598F"/>
    <w:rsid w:val="002A5FCA"/>
    <w:rsid w:val="002A5FF1"/>
    <w:rsid w:val="002A5FF9"/>
    <w:rsid w:val="002A65A1"/>
    <w:rsid w:val="002A6E70"/>
    <w:rsid w:val="002B09A4"/>
    <w:rsid w:val="002B0F25"/>
    <w:rsid w:val="002B2512"/>
    <w:rsid w:val="002B2C2E"/>
    <w:rsid w:val="002B2D14"/>
    <w:rsid w:val="002B309C"/>
    <w:rsid w:val="002B3D82"/>
    <w:rsid w:val="002B491F"/>
    <w:rsid w:val="002B5E01"/>
    <w:rsid w:val="002B634A"/>
    <w:rsid w:val="002B6402"/>
    <w:rsid w:val="002B6F8E"/>
    <w:rsid w:val="002C0015"/>
    <w:rsid w:val="002C21BB"/>
    <w:rsid w:val="002C7420"/>
    <w:rsid w:val="002C7BD7"/>
    <w:rsid w:val="002D045E"/>
    <w:rsid w:val="002D1474"/>
    <w:rsid w:val="002D2DBF"/>
    <w:rsid w:val="002D57D1"/>
    <w:rsid w:val="002D5D1E"/>
    <w:rsid w:val="002D67F1"/>
    <w:rsid w:val="002D7D7B"/>
    <w:rsid w:val="002D7E11"/>
    <w:rsid w:val="002E05A4"/>
    <w:rsid w:val="002E1277"/>
    <w:rsid w:val="002E6669"/>
    <w:rsid w:val="002E721C"/>
    <w:rsid w:val="002E7465"/>
    <w:rsid w:val="002E7FC2"/>
    <w:rsid w:val="002F03F5"/>
    <w:rsid w:val="002F0D72"/>
    <w:rsid w:val="002F1339"/>
    <w:rsid w:val="002F1487"/>
    <w:rsid w:val="002F2679"/>
    <w:rsid w:val="002F331D"/>
    <w:rsid w:val="002F491C"/>
    <w:rsid w:val="002F5E3E"/>
    <w:rsid w:val="002F6DFD"/>
    <w:rsid w:val="002F799F"/>
    <w:rsid w:val="002F7AD8"/>
    <w:rsid w:val="003042D2"/>
    <w:rsid w:val="003043CE"/>
    <w:rsid w:val="00305175"/>
    <w:rsid w:val="0030724C"/>
    <w:rsid w:val="003107D2"/>
    <w:rsid w:val="00312102"/>
    <w:rsid w:val="003137B6"/>
    <w:rsid w:val="00314D5F"/>
    <w:rsid w:val="0031593A"/>
    <w:rsid w:val="00317E05"/>
    <w:rsid w:val="00322123"/>
    <w:rsid w:val="00325A4D"/>
    <w:rsid w:val="0033013E"/>
    <w:rsid w:val="00330620"/>
    <w:rsid w:val="0033099C"/>
    <w:rsid w:val="00331873"/>
    <w:rsid w:val="00331ECB"/>
    <w:rsid w:val="00333F0F"/>
    <w:rsid w:val="00334A09"/>
    <w:rsid w:val="00335B75"/>
    <w:rsid w:val="00336B14"/>
    <w:rsid w:val="0033757E"/>
    <w:rsid w:val="00340F72"/>
    <w:rsid w:val="00341FF9"/>
    <w:rsid w:val="00342851"/>
    <w:rsid w:val="00345E36"/>
    <w:rsid w:val="00346341"/>
    <w:rsid w:val="00347539"/>
    <w:rsid w:val="00347F55"/>
    <w:rsid w:val="00350CC5"/>
    <w:rsid w:val="00351A77"/>
    <w:rsid w:val="00353A8E"/>
    <w:rsid w:val="00355CFC"/>
    <w:rsid w:val="0035746A"/>
    <w:rsid w:val="00360E58"/>
    <w:rsid w:val="00360FDE"/>
    <w:rsid w:val="00362581"/>
    <w:rsid w:val="0036426D"/>
    <w:rsid w:val="00364FB0"/>
    <w:rsid w:val="00366B53"/>
    <w:rsid w:val="00366DB0"/>
    <w:rsid w:val="003713E8"/>
    <w:rsid w:val="00371908"/>
    <w:rsid w:val="00372F8C"/>
    <w:rsid w:val="00373EA0"/>
    <w:rsid w:val="00375E79"/>
    <w:rsid w:val="00375FD4"/>
    <w:rsid w:val="003766B9"/>
    <w:rsid w:val="00376936"/>
    <w:rsid w:val="003834FF"/>
    <w:rsid w:val="00386F4B"/>
    <w:rsid w:val="0039150F"/>
    <w:rsid w:val="00391CCB"/>
    <w:rsid w:val="00392CFC"/>
    <w:rsid w:val="00393B4C"/>
    <w:rsid w:val="00394F2F"/>
    <w:rsid w:val="00397929"/>
    <w:rsid w:val="003A3778"/>
    <w:rsid w:val="003B02D5"/>
    <w:rsid w:val="003B0D94"/>
    <w:rsid w:val="003B7C10"/>
    <w:rsid w:val="003C13F5"/>
    <w:rsid w:val="003C1514"/>
    <w:rsid w:val="003C594F"/>
    <w:rsid w:val="003C7B1A"/>
    <w:rsid w:val="003D176C"/>
    <w:rsid w:val="003D3E42"/>
    <w:rsid w:val="003D4B09"/>
    <w:rsid w:val="003D4F57"/>
    <w:rsid w:val="003D555F"/>
    <w:rsid w:val="003D5B1D"/>
    <w:rsid w:val="003D5B44"/>
    <w:rsid w:val="003D6DBB"/>
    <w:rsid w:val="003D77B3"/>
    <w:rsid w:val="003E155D"/>
    <w:rsid w:val="003E180F"/>
    <w:rsid w:val="003E2772"/>
    <w:rsid w:val="003E2AAD"/>
    <w:rsid w:val="003E2F60"/>
    <w:rsid w:val="003E33FC"/>
    <w:rsid w:val="003E6822"/>
    <w:rsid w:val="003F0085"/>
    <w:rsid w:val="003F0403"/>
    <w:rsid w:val="003F0814"/>
    <w:rsid w:val="003F1B12"/>
    <w:rsid w:val="003F5ED7"/>
    <w:rsid w:val="003F6390"/>
    <w:rsid w:val="003F647F"/>
    <w:rsid w:val="003F6A85"/>
    <w:rsid w:val="003F7E24"/>
    <w:rsid w:val="004030DC"/>
    <w:rsid w:val="00403221"/>
    <w:rsid w:val="004032D1"/>
    <w:rsid w:val="00404AAD"/>
    <w:rsid w:val="00404F49"/>
    <w:rsid w:val="00406C80"/>
    <w:rsid w:val="00411FFC"/>
    <w:rsid w:val="004120A5"/>
    <w:rsid w:val="0041255C"/>
    <w:rsid w:val="0041445B"/>
    <w:rsid w:val="00415009"/>
    <w:rsid w:val="00415BF2"/>
    <w:rsid w:val="00416018"/>
    <w:rsid w:val="004164C2"/>
    <w:rsid w:val="00420188"/>
    <w:rsid w:val="00423675"/>
    <w:rsid w:val="00426F76"/>
    <w:rsid w:val="004271E1"/>
    <w:rsid w:val="0042784A"/>
    <w:rsid w:val="00431980"/>
    <w:rsid w:val="00433265"/>
    <w:rsid w:val="004339F6"/>
    <w:rsid w:val="00433E9A"/>
    <w:rsid w:val="004344EE"/>
    <w:rsid w:val="004366E3"/>
    <w:rsid w:val="00441C85"/>
    <w:rsid w:val="00443B40"/>
    <w:rsid w:val="00444D59"/>
    <w:rsid w:val="0044659D"/>
    <w:rsid w:val="00446D5F"/>
    <w:rsid w:val="004505E6"/>
    <w:rsid w:val="0045249A"/>
    <w:rsid w:val="00453C61"/>
    <w:rsid w:val="00455066"/>
    <w:rsid w:val="00456649"/>
    <w:rsid w:val="00467210"/>
    <w:rsid w:val="00470C6E"/>
    <w:rsid w:val="00471C89"/>
    <w:rsid w:val="0047209D"/>
    <w:rsid w:val="00474BB7"/>
    <w:rsid w:val="00474C4C"/>
    <w:rsid w:val="00476967"/>
    <w:rsid w:val="004777EE"/>
    <w:rsid w:val="00481971"/>
    <w:rsid w:val="0048235F"/>
    <w:rsid w:val="00482B40"/>
    <w:rsid w:val="004924D0"/>
    <w:rsid w:val="00492D4F"/>
    <w:rsid w:val="00492E8E"/>
    <w:rsid w:val="00493112"/>
    <w:rsid w:val="004935BB"/>
    <w:rsid w:val="00493A0C"/>
    <w:rsid w:val="00494AFE"/>
    <w:rsid w:val="00494B5F"/>
    <w:rsid w:val="004962E5"/>
    <w:rsid w:val="004972B1"/>
    <w:rsid w:val="0049748B"/>
    <w:rsid w:val="004975DB"/>
    <w:rsid w:val="00497AE8"/>
    <w:rsid w:val="004A098E"/>
    <w:rsid w:val="004A0DA9"/>
    <w:rsid w:val="004A1E47"/>
    <w:rsid w:val="004A2EC1"/>
    <w:rsid w:val="004A6889"/>
    <w:rsid w:val="004A6BC4"/>
    <w:rsid w:val="004B0ACA"/>
    <w:rsid w:val="004B2947"/>
    <w:rsid w:val="004B2DA3"/>
    <w:rsid w:val="004B37F8"/>
    <w:rsid w:val="004B3B7F"/>
    <w:rsid w:val="004B3BEB"/>
    <w:rsid w:val="004B55E3"/>
    <w:rsid w:val="004B5D0F"/>
    <w:rsid w:val="004B65CF"/>
    <w:rsid w:val="004B665A"/>
    <w:rsid w:val="004B7908"/>
    <w:rsid w:val="004C0E93"/>
    <w:rsid w:val="004C30E8"/>
    <w:rsid w:val="004C335A"/>
    <w:rsid w:val="004C369E"/>
    <w:rsid w:val="004C723C"/>
    <w:rsid w:val="004C737B"/>
    <w:rsid w:val="004D12BD"/>
    <w:rsid w:val="004D196A"/>
    <w:rsid w:val="004D256C"/>
    <w:rsid w:val="004D26BC"/>
    <w:rsid w:val="004D2A60"/>
    <w:rsid w:val="004D3ED1"/>
    <w:rsid w:val="004D6E5E"/>
    <w:rsid w:val="004D72D2"/>
    <w:rsid w:val="004D743C"/>
    <w:rsid w:val="004D7AE8"/>
    <w:rsid w:val="004E0FDA"/>
    <w:rsid w:val="004E5406"/>
    <w:rsid w:val="004E6519"/>
    <w:rsid w:val="004E6B21"/>
    <w:rsid w:val="004E6F72"/>
    <w:rsid w:val="004F1B52"/>
    <w:rsid w:val="004F431D"/>
    <w:rsid w:val="004F44E8"/>
    <w:rsid w:val="004F47A6"/>
    <w:rsid w:val="004F4DD7"/>
    <w:rsid w:val="004F4EB4"/>
    <w:rsid w:val="004F560D"/>
    <w:rsid w:val="004F59F3"/>
    <w:rsid w:val="004F5E05"/>
    <w:rsid w:val="004F641E"/>
    <w:rsid w:val="0050053F"/>
    <w:rsid w:val="005016EA"/>
    <w:rsid w:val="00503709"/>
    <w:rsid w:val="0050388C"/>
    <w:rsid w:val="005048F2"/>
    <w:rsid w:val="00506282"/>
    <w:rsid w:val="00510141"/>
    <w:rsid w:val="00511F5D"/>
    <w:rsid w:val="00513C25"/>
    <w:rsid w:val="005217CD"/>
    <w:rsid w:val="00522D42"/>
    <w:rsid w:val="0052535D"/>
    <w:rsid w:val="0052561D"/>
    <w:rsid w:val="00526FF1"/>
    <w:rsid w:val="00527A92"/>
    <w:rsid w:val="00531E52"/>
    <w:rsid w:val="005332D7"/>
    <w:rsid w:val="005347B9"/>
    <w:rsid w:val="00535A4F"/>
    <w:rsid w:val="0053633D"/>
    <w:rsid w:val="00537B95"/>
    <w:rsid w:val="00540A44"/>
    <w:rsid w:val="0054185A"/>
    <w:rsid w:val="005430F2"/>
    <w:rsid w:val="0055026C"/>
    <w:rsid w:val="005532A0"/>
    <w:rsid w:val="00555D3C"/>
    <w:rsid w:val="0055734D"/>
    <w:rsid w:val="00557B12"/>
    <w:rsid w:val="0056078A"/>
    <w:rsid w:val="005627FC"/>
    <w:rsid w:val="005628B7"/>
    <w:rsid w:val="00563B4B"/>
    <w:rsid w:val="00564002"/>
    <w:rsid w:val="00566651"/>
    <w:rsid w:val="0056748C"/>
    <w:rsid w:val="00570040"/>
    <w:rsid w:val="005730C0"/>
    <w:rsid w:val="00575CA8"/>
    <w:rsid w:val="00580B82"/>
    <w:rsid w:val="00581146"/>
    <w:rsid w:val="005834B4"/>
    <w:rsid w:val="00584333"/>
    <w:rsid w:val="00592193"/>
    <w:rsid w:val="00594371"/>
    <w:rsid w:val="00594E54"/>
    <w:rsid w:val="0059514F"/>
    <w:rsid w:val="005959EB"/>
    <w:rsid w:val="00596C5B"/>
    <w:rsid w:val="005A0EE9"/>
    <w:rsid w:val="005A1728"/>
    <w:rsid w:val="005A34DE"/>
    <w:rsid w:val="005A3C66"/>
    <w:rsid w:val="005A3C7C"/>
    <w:rsid w:val="005A44A4"/>
    <w:rsid w:val="005A60AA"/>
    <w:rsid w:val="005A7CD4"/>
    <w:rsid w:val="005B0441"/>
    <w:rsid w:val="005B30EB"/>
    <w:rsid w:val="005B34E0"/>
    <w:rsid w:val="005B3FA1"/>
    <w:rsid w:val="005B4E66"/>
    <w:rsid w:val="005B742F"/>
    <w:rsid w:val="005B766E"/>
    <w:rsid w:val="005C0F02"/>
    <w:rsid w:val="005C632F"/>
    <w:rsid w:val="005C6A58"/>
    <w:rsid w:val="005C70B2"/>
    <w:rsid w:val="005D0999"/>
    <w:rsid w:val="005D0E63"/>
    <w:rsid w:val="005D3685"/>
    <w:rsid w:val="005D4017"/>
    <w:rsid w:val="005E1CA8"/>
    <w:rsid w:val="005E354C"/>
    <w:rsid w:val="005E3F60"/>
    <w:rsid w:val="005E4B98"/>
    <w:rsid w:val="005E6BB0"/>
    <w:rsid w:val="005E76E8"/>
    <w:rsid w:val="005F2D4A"/>
    <w:rsid w:val="005F31CD"/>
    <w:rsid w:val="005F3A5B"/>
    <w:rsid w:val="005F496D"/>
    <w:rsid w:val="005F6B41"/>
    <w:rsid w:val="005F6D86"/>
    <w:rsid w:val="006017C1"/>
    <w:rsid w:val="00602BCD"/>
    <w:rsid w:val="00603595"/>
    <w:rsid w:val="00603B55"/>
    <w:rsid w:val="00604552"/>
    <w:rsid w:val="00605469"/>
    <w:rsid w:val="006058AF"/>
    <w:rsid w:val="00605B26"/>
    <w:rsid w:val="00606A42"/>
    <w:rsid w:val="00607446"/>
    <w:rsid w:val="0060749C"/>
    <w:rsid w:val="00607AB9"/>
    <w:rsid w:val="00610752"/>
    <w:rsid w:val="00611F30"/>
    <w:rsid w:val="00613A31"/>
    <w:rsid w:val="00613E5E"/>
    <w:rsid w:val="00614D79"/>
    <w:rsid w:val="00614E72"/>
    <w:rsid w:val="00615173"/>
    <w:rsid w:val="00615B68"/>
    <w:rsid w:val="00621841"/>
    <w:rsid w:val="006231AB"/>
    <w:rsid w:val="006240F1"/>
    <w:rsid w:val="00624862"/>
    <w:rsid w:val="006249E1"/>
    <w:rsid w:val="00624F25"/>
    <w:rsid w:val="00626E81"/>
    <w:rsid w:val="00630B71"/>
    <w:rsid w:val="00632853"/>
    <w:rsid w:val="00633E3A"/>
    <w:rsid w:val="00635A33"/>
    <w:rsid w:val="00640EB3"/>
    <w:rsid w:val="006413C0"/>
    <w:rsid w:val="00642367"/>
    <w:rsid w:val="006424EA"/>
    <w:rsid w:val="006431F9"/>
    <w:rsid w:val="00643E70"/>
    <w:rsid w:val="00644D1E"/>
    <w:rsid w:val="00645761"/>
    <w:rsid w:val="00646831"/>
    <w:rsid w:val="00646B61"/>
    <w:rsid w:val="0064776C"/>
    <w:rsid w:val="00647993"/>
    <w:rsid w:val="00650B30"/>
    <w:rsid w:val="006515BE"/>
    <w:rsid w:val="00652471"/>
    <w:rsid w:val="00656538"/>
    <w:rsid w:val="00657300"/>
    <w:rsid w:val="0066084E"/>
    <w:rsid w:val="006612AA"/>
    <w:rsid w:val="0066271E"/>
    <w:rsid w:val="00662877"/>
    <w:rsid w:val="00662C0C"/>
    <w:rsid w:val="0066312A"/>
    <w:rsid w:val="006642FB"/>
    <w:rsid w:val="00664D83"/>
    <w:rsid w:val="00666270"/>
    <w:rsid w:val="00667F27"/>
    <w:rsid w:val="00670AC8"/>
    <w:rsid w:val="00671343"/>
    <w:rsid w:val="006718B6"/>
    <w:rsid w:val="00671EB9"/>
    <w:rsid w:val="006720DB"/>
    <w:rsid w:val="006724D6"/>
    <w:rsid w:val="006739C2"/>
    <w:rsid w:val="00676394"/>
    <w:rsid w:val="00677382"/>
    <w:rsid w:val="00682596"/>
    <w:rsid w:val="00682B42"/>
    <w:rsid w:val="00682F17"/>
    <w:rsid w:val="00683CBA"/>
    <w:rsid w:val="0068532B"/>
    <w:rsid w:val="006853E4"/>
    <w:rsid w:val="00685569"/>
    <w:rsid w:val="00685FAB"/>
    <w:rsid w:val="006926B2"/>
    <w:rsid w:val="00692887"/>
    <w:rsid w:val="0069293A"/>
    <w:rsid w:val="00692F38"/>
    <w:rsid w:val="00694065"/>
    <w:rsid w:val="00694647"/>
    <w:rsid w:val="00695C63"/>
    <w:rsid w:val="0069642B"/>
    <w:rsid w:val="00696A35"/>
    <w:rsid w:val="006970A0"/>
    <w:rsid w:val="006A14C3"/>
    <w:rsid w:val="006A16A3"/>
    <w:rsid w:val="006A17DA"/>
    <w:rsid w:val="006A3169"/>
    <w:rsid w:val="006A59A3"/>
    <w:rsid w:val="006A78D2"/>
    <w:rsid w:val="006B1448"/>
    <w:rsid w:val="006B26ED"/>
    <w:rsid w:val="006B2F62"/>
    <w:rsid w:val="006B33C9"/>
    <w:rsid w:val="006B4B49"/>
    <w:rsid w:val="006B520F"/>
    <w:rsid w:val="006B5D81"/>
    <w:rsid w:val="006B730C"/>
    <w:rsid w:val="006C1C28"/>
    <w:rsid w:val="006C22AD"/>
    <w:rsid w:val="006C27F0"/>
    <w:rsid w:val="006C29B9"/>
    <w:rsid w:val="006C457D"/>
    <w:rsid w:val="006C485A"/>
    <w:rsid w:val="006C6C92"/>
    <w:rsid w:val="006C74EE"/>
    <w:rsid w:val="006D16B5"/>
    <w:rsid w:val="006D1A4A"/>
    <w:rsid w:val="006D2E7A"/>
    <w:rsid w:val="006D2EF1"/>
    <w:rsid w:val="006D30DE"/>
    <w:rsid w:val="006D459B"/>
    <w:rsid w:val="006D51E6"/>
    <w:rsid w:val="006D5B97"/>
    <w:rsid w:val="006D5BD9"/>
    <w:rsid w:val="006D63D3"/>
    <w:rsid w:val="006D6D42"/>
    <w:rsid w:val="006E0099"/>
    <w:rsid w:val="006E3394"/>
    <w:rsid w:val="006E3F6D"/>
    <w:rsid w:val="006E45A7"/>
    <w:rsid w:val="006E5344"/>
    <w:rsid w:val="006E763B"/>
    <w:rsid w:val="006E78AC"/>
    <w:rsid w:val="006F1ED4"/>
    <w:rsid w:val="006F2CAA"/>
    <w:rsid w:val="006F404A"/>
    <w:rsid w:val="006F7206"/>
    <w:rsid w:val="00702EBF"/>
    <w:rsid w:val="007048F2"/>
    <w:rsid w:val="007076E9"/>
    <w:rsid w:val="00707838"/>
    <w:rsid w:val="00710631"/>
    <w:rsid w:val="00710F8C"/>
    <w:rsid w:val="007116A1"/>
    <w:rsid w:val="00711F30"/>
    <w:rsid w:val="00712C92"/>
    <w:rsid w:val="0071325C"/>
    <w:rsid w:val="00713539"/>
    <w:rsid w:val="00714094"/>
    <w:rsid w:val="00714D2B"/>
    <w:rsid w:val="007150C5"/>
    <w:rsid w:val="0071584E"/>
    <w:rsid w:val="0071663D"/>
    <w:rsid w:val="007169E8"/>
    <w:rsid w:val="0072326C"/>
    <w:rsid w:val="007236FE"/>
    <w:rsid w:val="00727A05"/>
    <w:rsid w:val="007301FD"/>
    <w:rsid w:val="00730A01"/>
    <w:rsid w:val="00732E7B"/>
    <w:rsid w:val="00733862"/>
    <w:rsid w:val="007339B8"/>
    <w:rsid w:val="00735C87"/>
    <w:rsid w:val="00736669"/>
    <w:rsid w:val="0073752C"/>
    <w:rsid w:val="00737AD4"/>
    <w:rsid w:val="00737F02"/>
    <w:rsid w:val="00743F2E"/>
    <w:rsid w:val="007505AB"/>
    <w:rsid w:val="00750BC9"/>
    <w:rsid w:val="0075111F"/>
    <w:rsid w:val="00752983"/>
    <w:rsid w:val="00752CDE"/>
    <w:rsid w:val="00754121"/>
    <w:rsid w:val="00755B87"/>
    <w:rsid w:val="00755B8E"/>
    <w:rsid w:val="00755D8E"/>
    <w:rsid w:val="00755DDC"/>
    <w:rsid w:val="0075730C"/>
    <w:rsid w:val="00757DBF"/>
    <w:rsid w:val="00760D5D"/>
    <w:rsid w:val="00761A9F"/>
    <w:rsid w:val="00762281"/>
    <w:rsid w:val="007623C9"/>
    <w:rsid w:val="0076251A"/>
    <w:rsid w:val="0076714F"/>
    <w:rsid w:val="00767974"/>
    <w:rsid w:val="00770C4A"/>
    <w:rsid w:val="00772E11"/>
    <w:rsid w:val="007735AF"/>
    <w:rsid w:val="007747C2"/>
    <w:rsid w:val="00774DCA"/>
    <w:rsid w:val="007757D4"/>
    <w:rsid w:val="00775899"/>
    <w:rsid w:val="00775F8E"/>
    <w:rsid w:val="0077646B"/>
    <w:rsid w:val="00780BE3"/>
    <w:rsid w:val="00781379"/>
    <w:rsid w:val="007814FE"/>
    <w:rsid w:val="007822E7"/>
    <w:rsid w:val="007865D4"/>
    <w:rsid w:val="00790208"/>
    <w:rsid w:val="007905B2"/>
    <w:rsid w:val="0079121A"/>
    <w:rsid w:val="00792A23"/>
    <w:rsid w:val="00794060"/>
    <w:rsid w:val="007964AD"/>
    <w:rsid w:val="00796579"/>
    <w:rsid w:val="007A029D"/>
    <w:rsid w:val="007A065A"/>
    <w:rsid w:val="007A0D6B"/>
    <w:rsid w:val="007A13B2"/>
    <w:rsid w:val="007A2C9B"/>
    <w:rsid w:val="007A2E07"/>
    <w:rsid w:val="007A3399"/>
    <w:rsid w:val="007A3AFF"/>
    <w:rsid w:val="007A43D4"/>
    <w:rsid w:val="007A6EE1"/>
    <w:rsid w:val="007A6FD6"/>
    <w:rsid w:val="007B06AA"/>
    <w:rsid w:val="007B1126"/>
    <w:rsid w:val="007B223F"/>
    <w:rsid w:val="007B2717"/>
    <w:rsid w:val="007B2903"/>
    <w:rsid w:val="007B302F"/>
    <w:rsid w:val="007B7838"/>
    <w:rsid w:val="007B7B1C"/>
    <w:rsid w:val="007C0F61"/>
    <w:rsid w:val="007C0F75"/>
    <w:rsid w:val="007C4DA6"/>
    <w:rsid w:val="007D1B6F"/>
    <w:rsid w:val="007D265C"/>
    <w:rsid w:val="007D3431"/>
    <w:rsid w:val="007D654D"/>
    <w:rsid w:val="007D7025"/>
    <w:rsid w:val="007D749D"/>
    <w:rsid w:val="007E785C"/>
    <w:rsid w:val="007F0EE8"/>
    <w:rsid w:val="007F14FF"/>
    <w:rsid w:val="007F273E"/>
    <w:rsid w:val="007F2A63"/>
    <w:rsid w:val="007F4FE8"/>
    <w:rsid w:val="007F516C"/>
    <w:rsid w:val="007F72AF"/>
    <w:rsid w:val="007F776F"/>
    <w:rsid w:val="008000F2"/>
    <w:rsid w:val="008033E5"/>
    <w:rsid w:val="0080366B"/>
    <w:rsid w:val="00804A3A"/>
    <w:rsid w:val="008056C6"/>
    <w:rsid w:val="00805B5D"/>
    <w:rsid w:val="0080686D"/>
    <w:rsid w:val="0080715E"/>
    <w:rsid w:val="008072DD"/>
    <w:rsid w:val="00807C9F"/>
    <w:rsid w:val="00813526"/>
    <w:rsid w:val="00814019"/>
    <w:rsid w:val="00814632"/>
    <w:rsid w:val="0081594D"/>
    <w:rsid w:val="008166B5"/>
    <w:rsid w:val="00817A01"/>
    <w:rsid w:val="00822792"/>
    <w:rsid w:val="008229F5"/>
    <w:rsid w:val="00823199"/>
    <w:rsid w:val="0082366A"/>
    <w:rsid w:val="0082481B"/>
    <w:rsid w:val="008250BA"/>
    <w:rsid w:val="008251C5"/>
    <w:rsid w:val="008258C5"/>
    <w:rsid w:val="00826621"/>
    <w:rsid w:val="00827C12"/>
    <w:rsid w:val="00832E0C"/>
    <w:rsid w:val="00833F84"/>
    <w:rsid w:val="00837ACB"/>
    <w:rsid w:val="008403A1"/>
    <w:rsid w:val="00840DA4"/>
    <w:rsid w:val="00841800"/>
    <w:rsid w:val="008430F8"/>
    <w:rsid w:val="00845E81"/>
    <w:rsid w:val="00850263"/>
    <w:rsid w:val="00850963"/>
    <w:rsid w:val="00850D2D"/>
    <w:rsid w:val="00851BB2"/>
    <w:rsid w:val="00853225"/>
    <w:rsid w:val="00855B77"/>
    <w:rsid w:val="008564D6"/>
    <w:rsid w:val="00856659"/>
    <w:rsid w:val="0086004F"/>
    <w:rsid w:val="0086361E"/>
    <w:rsid w:val="0086395D"/>
    <w:rsid w:val="008642BF"/>
    <w:rsid w:val="008661E5"/>
    <w:rsid w:val="00867D1C"/>
    <w:rsid w:val="00872F94"/>
    <w:rsid w:val="00873B2A"/>
    <w:rsid w:val="00873EA7"/>
    <w:rsid w:val="008749D8"/>
    <w:rsid w:val="0087505B"/>
    <w:rsid w:val="00876921"/>
    <w:rsid w:val="00876FC5"/>
    <w:rsid w:val="00876FD0"/>
    <w:rsid w:val="00881049"/>
    <w:rsid w:val="00881730"/>
    <w:rsid w:val="0088296D"/>
    <w:rsid w:val="0088476B"/>
    <w:rsid w:val="0088688D"/>
    <w:rsid w:val="00891F10"/>
    <w:rsid w:val="008923C1"/>
    <w:rsid w:val="008927F8"/>
    <w:rsid w:val="00894275"/>
    <w:rsid w:val="008948E6"/>
    <w:rsid w:val="00894FB5"/>
    <w:rsid w:val="00895ABC"/>
    <w:rsid w:val="00895F49"/>
    <w:rsid w:val="00896B89"/>
    <w:rsid w:val="00897B5A"/>
    <w:rsid w:val="00897B65"/>
    <w:rsid w:val="008A2515"/>
    <w:rsid w:val="008A281E"/>
    <w:rsid w:val="008A3129"/>
    <w:rsid w:val="008A57AD"/>
    <w:rsid w:val="008B1D46"/>
    <w:rsid w:val="008B1DE6"/>
    <w:rsid w:val="008B2AD8"/>
    <w:rsid w:val="008B503D"/>
    <w:rsid w:val="008B589C"/>
    <w:rsid w:val="008B6297"/>
    <w:rsid w:val="008C090E"/>
    <w:rsid w:val="008C3D8E"/>
    <w:rsid w:val="008C5EF1"/>
    <w:rsid w:val="008D12D5"/>
    <w:rsid w:val="008D1AFC"/>
    <w:rsid w:val="008D2E45"/>
    <w:rsid w:val="008D34F7"/>
    <w:rsid w:val="008D48D1"/>
    <w:rsid w:val="008D4EBB"/>
    <w:rsid w:val="008D50F7"/>
    <w:rsid w:val="008D5413"/>
    <w:rsid w:val="008E12FE"/>
    <w:rsid w:val="008E2F4D"/>
    <w:rsid w:val="008E6649"/>
    <w:rsid w:val="008F1C6B"/>
    <w:rsid w:val="008F3399"/>
    <w:rsid w:val="008F484A"/>
    <w:rsid w:val="008F7BF9"/>
    <w:rsid w:val="0090031C"/>
    <w:rsid w:val="0090090D"/>
    <w:rsid w:val="00903F31"/>
    <w:rsid w:val="00904752"/>
    <w:rsid w:val="0090488E"/>
    <w:rsid w:val="0090495B"/>
    <w:rsid w:val="00906235"/>
    <w:rsid w:val="0090714A"/>
    <w:rsid w:val="0091071D"/>
    <w:rsid w:val="00911CAC"/>
    <w:rsid w:val="00914D08"/>
    <w:rsid w:val="00916291"/>
    <w:rsid w:val="009201DD"/>
    <w:rsid w:val="00924680"/>
    <w:rsid w:val="00924B37"/>
    <w:rsid w:val="00925F5B"/>
    <w:rsid w:val="00926136"/>
    <w:rsid w:val="009331C6"/>
    <w:rsid w:val="0093411D"/>
    <w:rsid w:val="009363DE"/>
    <w:rsid w:val="00942D0A"/>
    <w:rsid w:val="00943079"/>
    <w:rsid w:val="0094355D"/>
    <w:rsid w:val="00943A06"/>
    <w:rsid w:val="00944E0E"/>
    <w:rsid w:val="00946CBD"/>
    <w:rsid w:val="00950362"/>
    <w:rsid w:val="00951DEC"/>
    <w:rsid w:val="00954F00"/>
    <w:rsid w:val="009557C8"/>
    <w:rsid w:val="00957757"/>
    <w:rsid w:val="00960298"/>
    <w:rsid w:val="0096188F"/>
    <w:rsid w:val="0096333A"/>
    <w:rsid w:val="00965172"/>
    <w:rsid w:val="0096623B"/>
    <w:rsid w:val="009674AA"/>
    <w:rsid w:val="00967887"/>
    <w:rsid w:val="00970780"/>
    <w:rsid w:val="00970AC2"/>
    <w:rsid w:val="0097114B"/>
    <w:rsid w:val="00972AB0"/>
    <w:rsid w:val="00972DEC"/>
    <w:rsid w:val="0097325F"/>
    <w:rsid w:val="00973A24"/>
    <w:rsid w:val="00973C4E"/>
    <w:rsid w:val="0097425F"/>
    <w:rsid w:val="009746E2"/>
    <w:rsid w:val="009749EE"/>
    <w:rsid w:val="00976DA0"/>
    <w:rsid w:val="00980A97"/>
    <w:rsid w:val="009818C4"/>
    <w:rsid w:val="00981EF5"/>
    <w:rsid w:val="00982AA7"/>
    <w:rsid w:val="00984530"/>
    <w:rsid w:val="00984619"/>
    <w:rsid w:val="00986DE5"/>
    <w:rsid w:val="00987827"/>
    <w:rsid w:val="009915D0"/>
    <w:rsid w:val="00992BE0"/>
    <w:rsid w:val="00992C10"/>
    <w:rsid w:val="0099436F"/>
    <w:rsid w:val="009A00A2"/>
    <w:rsid w:val="009A07C2"/>
    <w:rsid w:val="009A1009"/>
    <w:rsid w:val="009A14B1"/>
    <w:rsid w:val="009A1620"/>
    <w:rsid w:val="009A46DC"/>
    <w:rsid w:val="009A6C10"/>
    <w:rsid w:val="009A7AB6"/>
    <w:rsid w:val="009A7C65"/>
    <w:rsid w:val="009B1DA5"/>
    <w:rsid w:val="009B252C"/>
    <w:rsid w:val="009B39FE"/>
    <w:rsid w:val="009B4F21"/>
    <w:rsid w:val="009B597C"/>
    <w:rsid w:val="009B7D8D"/>
    <w:rsid w:val="009C063F"/>
    <w:rsid w:val="009C06A6"/>
    <w:rsid w:val="009C1E06"/>
    <w:rsid w:val="009C26B1"/>
    <w:rsid w:val="009C41E9"/>
    <w:rsid w:val="009D03CA"/>
    <w:rsid w:val="009D0472"/>
    <w:rsid w:val="009D05CB"/>
    <w:rsid w:val="009D1165"/>
    <w:rsid w:val="009D30F0"/>
    <w:rsid w:val="009D6EB7"/>
    <w:rsid w:val="009D70FF"/>
    <w:rsid w:val="009D799F"/>
    <w:rsid w:val="009E0CFB"/>
    <w:rsid w:val="009E4041"/>
    <w:rsid w:val="009E4C09"/>
    <w:rsid w:val="009E746C"/>
    <w:rsid w:val="009E74D0"/>
    <w:rsid w:val="009E7AE3"/>
    <w:rsid w:val="009F035B"/>
    <w:rsid w:val="009F2B75"/>
    <w:rsid w:val="009F40DC"/>
    <w:rsid w:val="009F47E9"/>
    <w:rsid w:val="009F49D4"/>
    <w:rsid w:val="009F540E"/>
    <w:rsid w:val="009F7599"/>
    <w:rsid w:val="00A003F7"/>
    <w:rsid w:val="00A0056E"/>
    <w:rsid w:val="00A0162A"/>
    <w:rsid w:val="00A01B30"/>
    <w:rsid w:val="00A0214A"/>
    <w:rsid w:val="00A06BE9"/>
    <w:rsid w:val="00A10F25"/>
    <w:rsid w:val="00A110D9"/>
    <w:rsid w:val="00A1579E"/>
    <w:rsid w:val="00A15DA8"/>
    <w:rsid w:val="00A160E3"/>
    <w:rsid w:val="00A2065A"/>
    <w:rsid w:val="00A21CF4"/>
    <w:rsid w:val="00A23ECC"/>
    <w:rsid w:val="00A24064"/>
    <w:rsid w:val="00A339B3"/>
    <w:rsid w:val="00A36771"/>
    <w:rsid w:val="00A371C6"/>
    <w:rsid w:val="00A37AF2"/>
    <w:rsid w:val="00A37B4F"/>
    <w:rsid w:val="00A41087"/>
    <w:rsid w:val="00A41F9B"/>
    <w:rsid w:val="00A4225D"/>
    <w:rsid w:val="00A425A5"/>
    <w:rsid w:val="00A42B9A"/>
    <w:rsid w:val="00A42C13"/>
    <w:rsid w:val="00A42E63"/>
    <w:rsid w:val="00A43ACF"/>
    <w:rsid w:val="00A44253"/>
    <w:rsid w:val="00A50121"/>
    <w:rsid w:val="00A504F7"/>
    <w:rsid w:val="00A5081F"/>
    <w:rsid w:val="00A54DCF"/>
    <w:rsid w:val="00A55E52"/>
    <w:rsid w:val="00A560E1"/>
    <w:rsid w:val="00A56E34"/>
    <w:rsid w:val="00A571E0"/>
    <w:rsid w:val="00A61F1D"/>
    <w:rsid w:val="00A631FA"/>
    <w:rsid w:val="00A6657A"/>
    <w:rsid w:val="00A672CC"/>
    <w:rsid w:val="00A67B47"/>
    <w:rsid w:val="00A720F3"/>
    <w:rsid w:val="00A725D3"/>
    <w:rsid w:val="00A73CF2"/>
    <w:rsid w:val="00A74F78"/>
    <w:rsid w:val="00A75F9D"/>
    <w:rsid w:val="00A7618F"/>
    <w:rsid w:val="00A7622C"/>
    <w:rsid w:val="00A767DA"/>
    <w:rsid w:val="00A7683D"/>
    <w:rsid w:val="00A76F35"/>
    <w:rsid w:val="00A80816"/>
    <w:rsid w:val="00A80EFB"/>
    <w:rsid w:val="00A81EA0"/>
    <w:rsid w:val="00A82447"/>
    <w:rsid w:val="00A83011"/>
    <w:rsid w:val="00A8339B"/>
    <w:rsid w:val="00A84330"/>
    <w:rsid w:val="00A84C69"/>
    <w:rsid w:val="00A8695A"/>
    <w:rsid w:val="00A86AF1"/>
    <w:rsid w:val="00A87996"/>
    <w:rsid w:val="00A90942"/>
    <w:rsid w:val="00A917CB"/>
    <w:rsid w:val="00A91899"/>
    <w:rsid w:val="00A92150"/>
    <w:rsid w:val="00A935B1"/>
    <w:rsid w:val="00A94B96"/>
    <w:rsid w:val="00A95E6E"/>
    <w:rsid w:val="00AA3696"/>
    <w:rsid w:val="00AA380F"/>
    <w:rsid w:val="00AA3886"/>
    <w:rsid w:val="00AA59C7"/>
    <w:rsid w:val="00AA5E0D"/>
    <w:rsid w:val="00AB01C5"/>
    <w:rsid w:val="00AB3F17"/>
    <w:rsid w:val="00AB54D2"/>
    <w:rsid w:val="00AB54F7"/>
    <w:rsid w:val="00AB586E"/>
    <w:rsid w:val="00AB638D"/>
    <w:rsid w:val="00AB6F49"/>
    <w:rsid w:val="00AC57B7"/>
    <w:rsid w:val="00AD21A5"/>
    <w:rsid w:val="00AD301B"/>
    <w:rsid w:val="00AD4BB4"/>
    <w:rsid w:val="00AD71E7"/>
    <w:rsid w:val="00AD7DD3"/>
    <w:rsid w:val="00AE0E9D"/>
    <w:rsid w:val="00AE1BF7"/>
    <w:rsid w:val="00AE2186"/>
    <w:rsid w:val="00AE25CF"/>
    <w:rsid w:val="00AE4DF4"/>
    <w:rsid w:val="00AE5BA2"/>
    <w:rsid w:val="00AE5C54"/>
    <w:rsid w:val="00AF0E5B"/>
    <w:rsid w:val="00B01D8F"/>
    <w:rsid w:val="00B031CE"/>
    <w:rsid w:val="00B035EE"/>
    <w:rsid w:val="00B04917"/>
    <w:rsid w:val="00B0595C"/>
    <w:rsid w:val="00B077B8"/>
    <w:rsid w:val="00B1060C"/>
    <w:rsid w:val="00B10A39"/>
    <w:rsid w:val="00B11387"/>
    <w:rsid w:val="00B1199F"/>
    <w:rsid w:val="00B12D93"/>
    <w:rsid w:val="00B13D8B"/>
    <w:rsid w:val="00B148B7"/>
    <w:rsid w:val="00B14E26"/>
    <w:rsid w:val="00B15799"/>
    <w:rsid w:val="00B15989"/>
    <w:rsid w:val="00B17883"/>
    <w:rsid w:val="00B20115"/>
    <w:rsid w:val="00B21598"/>
    <w:rsid w:val="00B241D5"/>
    <w:rsid w:val="00B25D3C"/>
    <w:rsid w:val="00B25E34"/>
    <w:rsid w:val="00B25F34"/>
    <w:rsid w:val="00B27D93"/>
    <w:rsid w:val="00B30C6E"/>
    <w:rsid w:val="00B31A46"/>
    <w:rsid w:val="00B32EC8"/>
    <w:rsid w:val="00B350A7"/>
    <w:rsid w:val="00B36D71"/>
    <w:rsid w:val="00B36F7E"/>
    <w:rsid w:val="00B3720B"/>
    <w:rsid w:val="00B401E6"/>
    <w:rsid w:val="00B417DB"/>
    <w:rsid w:val="00B418D4"/>
    <w:rsid w:val="00B42ECF"/>
    <w:rsid w:val="00B458AF"/>
    <w:rsid w:val="00B4590D"/>
    <w:rsid w:val="00B46F86"/>
    <w:rsid w:val="00B50B22"/>
    <w:rsid w:val="00B51187"/>
    <w:rsid w:val="00B53E21"/>
    <w:rsid w:val="00B54879"/>
    <w:rsid w:val="00B552B2"/>
    <w:rsid w:val="00B55410"/>
    <w:rsid w:val="00B57651"/>
    <w:rsid w:val="00B577E2"/>
    <w:rsid w:val="00B609C4"/>
    <w:rsid w:val="00B61034"/>
    <w:rsid w:val="00B62441"/>
    <w:rsid w:val="00B667E9"/>
    <w:rsid w:val="00B66C7B"/>
    <w:rsid w:val="00B67920"/>
    <w:rsid w:val="00B6794E"/>
    <w:rsid w:val="00B717AB"/>
    <w:rsid w:val="00B71E13"/>
    <w:rsid w:val="00B71F10"/>
    <w:rsid w:val="00B72157"/>
    <w:rsid w:val="00B737C9"/>
    <w:rsid w:val="00B74B8F"/>
    <w:rsid w:val="00B75A87"/>
    <w:rsid w:val="00B80645"/>
    <w:rsid w:val="00B80848"/>
    <w:rsid w:val="00B83172"/>
    <w:rsid w:val="00B8612F"/>
    <w:rsid w:val="00B8668B"/>
    <w:rsid w:val="00B9026F"/>
    <w:rsid w:val="00B912AA"/>
    <w:rsid w:val="00B96489"/>
    <w:rsid w:val="00B9671A"/>
    <w:rsid w:val="00B969A7"/>
    <w:rsid w:val="00B9733B"/>
    <w:rsid w:val="00BA0EA8"/>
    <w:rsid w:val="00BA13ED"/>
    <w:rsid w:val="00BA31B5"/>
    <w:rsid w:val="00BA36B8"/>
    <w:rsid w:val="00BA7390"/>
    <w:rsid w:val="00BA7474"/>
    <w:rsid w:val="00BB1496"/>
    <w:rsid w:val="00BB1C27"/>
    <w:rsid w:val="00BB2CE3"/>
    <w:rsid w:val="00BB3F1C"/>
    <w:rsid w:val="00BB4380"/>
    <w:rsid w:val="00BB49D1"/>
    <w:rsid w:val="00BB6671"/>
    <w:rsid w:val="00BB733B"/>
    <w:rsid w:val="00BB74FD"/>
    <w:rsid w:val="00BB7714"/>
    <w:rsid w:val="00BC00B1"/>
    <w:rsid w:val="00BC2048"/>
    <w:rsid w:val="00BC20A8"/>
    <w:rsid w:val="00BC215B"/>
    <w:rsid w:val="00BC29C1"/>
    <w:rsid w:val="00BC375F"/>
    <w:rsid w:val="00BC40A9"/>
    <w:rsid w:val="00BC43EA"/>
    <w:rsid w:val="00BC5985"/>
    <w:rsid w:val="00BC59A4"/>
    <w:rsid w:val="00BC78AA"/>
    <w:rsid w:val="00BC795D"/>
    <w:rsid w:val="00BD00EC"/>
    <w:rsid w:val="00BD1572"/>
    <w:rsid w:val="00BD241C"/>
    <w:rsid w:val="00BD4111"/>
    <w:rsid w:val="00BD4C0A"/>
    <w:rsid w:val="00BD57D2"/>
    <w:rsid w:val="00BD677B"/>
    <w:rsid w:val="00BD784D"/>
    <w:rsid w:val="00BD7B89"/>
    <w:rsid w:val="00BE4434"/>
    <w:rsid w:val="00BE6EA7"/>
    <w:rsid w:val="00BE6F3B"/>
    <w:rsid w:val="00BE72CD"/>
    <w:rsid w:val="00BE7C41"/>
    <w:rsid w:val="00BF0D6F"/>
    <w:rsid w:val="00BF0DCD"/>
    <w:rsid w:val="00BF1E06"/>
    <w:rsid w:val="00BF21A6"/>
    <w:rsid w:val="00BF3EB8"/>
    <w:rsid w:val="00BF42D1"/>
    <w:rsid w:val="00C001D5"/>
    <w:rsid w:val="00C0068A"/>
    <w:rsid w:val="00C006D3"/>
    <w:rsid w:val="00C0314E"/>
    <w:rsid w:val="00C03766"/>
    <w:rsid w:val="00C03AE5"/>
    <w:rsid w:val="00C041B5"/>
    <w:rsid w:val="00C04D98"/>
    <w:rsid w:val="00C05DDA"/>
    <w:rsid w:val="00C06B2D"/>
    <w:rsid w:val="00C10225"/>
    <w:rsid w:val="00C10644"/>
    <w:rsid w:val="00C11CBA"/>
    <w:rsid w:val="00C14C60"/>
    <w:rsid w:val="00C14D3E"/>
    <w:rsid w:val="00C16254"/>
    <w:rsid w:val="00C169D2"/>
    <w:rsid w:val="00C21997"/>
    <w:rsid w:val="00C21F80"/>
    <w:rsid w:val="00C233A4"/>
    <w:rsid w:val="00C23419"/>
    <w:rsid w:val="00C240AD"/>
    <w:rsid w:val="00C26331"/>
    <w:rsid w:val="00C268B2"/>
    <w:rsid w:val="00C279BD"/>
    <w:rsid w:val="00C3108A"/>
    <w:rsid w:val="00C33AB8"/>
    <w:rsid w:val="00C35A07"/>
    <w:rsid w:val="00C37558"/>
    <w:rsid w:val="00C4144B"/>
    <w:rsid w:val="00C42B42"/>
    <w:rsid w:val="00C43CEA"/>
    <w:rsid w:val="00C44FFC"/>
    <w:rsid w:val="00C4509D"/>
    <w:rsid w:val="00C45B0A"/>
    <w:rsid w:val="00C464D4"/>
    <w:rsid w:val="00C467D3"/>
    <w:rsid w:val="00C4742C"/>
    <w:rsid w:val="00C5119F"/>
    <w:rsid w:val="00C512E6"/>
    <w:rsid w:val="00C517A9"/>
    <w:rsid w:val="00C51EB3"/>
    <w:rsid w:val="00C52E43"/>
    <w:rsid w:val="00C54448"/>
    <w:rsid w:val="00C55F17"/>
    <w:rsid w:val="00C560A0"/>
    <w:rsid w:val="00C5705B"/>
    <w:rsid w:val="00C60167"/>
    <w:rsid w:val="00C60D05"/>
    <w:rsid w:val="00C6142E"/>
    <w:rsid w:val="00C62428"/>
    <w:rsid w:val="00C62981"/>
    <w:rsid w:val="00C666D4"/>
    <w:rsid w:val="00C66EAA"/>
    <w:rsid w:val="00C672AB"/>
    <w:rsid w:val="00C71450"/>
    <w:rsid w:val="00C72535"/>
    <w:rsid w:val="00C72D61"/>
    <w:rsid w:val="00C73026"/>
    <w:rsid w:val="00C7347F"/>
    <w:rsid w:val="00C734DF"/>
    <w:rsid w:val="00C75B2C"/>
    <w:rsid w:val="00C76600"/>
    <w:rsid w:val="00C779E8"/>
    <w:rsid w:val="00C77A88"/>
    <w:rsid w:val="00C80063"/>
    <w:rsid w:val="00C80C5A"/>
    <w:rsid w:val="00C81D42"/>
    <w:rsid w:val="00C820CE"/>
    <w:rsid w:val="00C8294F"/>
    <w:rsid w:val="00C83522"/>
    <w:rsid w:val="00C83DAB"/>
    <w:rsid w:val="00C85587"/>
    <w:rsid w:val="00C856EE"/>
    <w:rsid w:val="00C863DC"/>
    <w:rsid w:val="00C87802"/>
    <w:rsid w:val="00C87993"/>
    <w:rsid w:val="00C902BF"/>
    <w:rsid w:val="00C90B62"/>
    <w:rsid w:val="00C92EB1"/>
    <w:rsid w:val="00C93819"/>
    <w:rsid w:val="00C95351"/>
    <w:rsid w:val="00C956BF"/>
    <w:rsid w:val="00C9701F"/>
    <w:rsid w:val="00C97260"/>
    <w:rsid w:val="00C97623"/>
    <w:rsid w:val="00C979AE"/>
    <w:rsid w:val="00CA04A3"/>
    <w:rsid w:val="00CA141E"/>
    <w:rsid w:val="00CA2394"/>
    <w:rsid w:val="00CA242E"/>
    <w:rsid w:val="00CA3BD7"/>
    <w:rsid w:val="00CA406D"/>
    <w:rsid w:val="00CA4D06"/>
    <w:rsid w:val="00CA7B6A"/>
    <w:rsid w:val="00CB0045"/>
    <w:rsid w:val="00CB02C1"/>
    <w:rsid w:val="00CB0B29"/>
    <w:rsid w:val="00CB2793"/>
    <w:rsid w:val="00CB4213"/>
    <w:rsid w:val="00CB4B74"/>
    <w:rsid w:val="00CB5858"/>
    <w:rsid w:val="00CB59E7"/>
    <w:rsid w:val="00CB5EEC"/>
    <w:rsid w:val="00CB656D"/>
    <w:rsid w:val="00CB65A9"/>
    <w:rsid w:val="00CB6969"/>
    <w:rsid w:val="00CC06BF"/>
    <w:rsid w:val="00CC132A"/>
    <w:rsid w:val="00CC1462"/>
    <w:rsid w:val="00CC14DF"/>
    <w:rsid w:val="00CC1A0B"/>
    <w:rsid w:val="00CC2331"/>
    <w:rsid w:val="00CC33AE"/>
    <w:rsid w:val="00CC44A5"/>
    <w:rsid w:val="00CC478C"/>
    <w:rsid w:val="00CC5AF7"/>
    <w:rsid w:val="00CC6B69"/>
    <w:rsid w:val="00CD2313"/>
    <w:rsid w:val="00CD27BE"/>
    <w:rsid w:val="00CD2A0F"/>
    <w:rsid w:val="00CD3082"/>
    <w:rsid w:val="00CD316B"/>
    <w:rsid w:val="00CD335E"/>
    <w:rsid w:val="00CD402E"/>
    <w:rsid w:val="00CD4615"/>
    <w:rsid w:val="00CD56A1"/>
    <w:rsid w:val="00CD67BB"/>
    <w:rsid w:val="00CD7A77"/>
    <w:rsid w:val="00CE0321"/>
    <w:rsid w:val="00CE1196"/>
    <w:rsid w:val="00CE2050"/>
    <w:rsid w:val="00CE2116"/>
    <w:rsid w:val="00CE226D"/>
    <w:rsid w:val="00CE3907"/>
    <w:rsid w:val="00CE3E8E"/>
    <w:rsid w:val="00CE4174"/>
    <w:rsid w:val="00CE519A"/>
    <w:rsid w:val="00CE6BD2"/>
    <w:rsid w:val="00CF21BD"/>
    <w:rsid w:val="00CF290B"/>
    <w:rsid w:val="00CF33C8"/>
    <w:rsid w:val="00CF3B79"/>
    <w:rsid w:val="00CF41D2"/>
    <w:rsid w:val="00CF5572"/>
    <w:rsid w:val="00CF6C08"/>
    <w:rsid w:val="00D044A6"/>
    <w:rsid w:val="00D04E65"/>
    <w:rsid w:val="00D06CB2"/>
    <w:rsid w:val="00D10351"/>
    <w:rsid w:val="00D12608"/>
    <w:rsid w:val="00D12652"/>
    <w:rsid w:val="00D13189"/>
    <w:rsid w:val="00D15419"/>
    <w:rsid w:val="00D155CC"/>
    <w:rsid w:val="00D174AF"/>
    <w:rsid w:val="00D21659"/>
    <w:rsid w:val="00D22969"/>
    <w:rsid w:val="00D23909"/>
    <w:rsid w:val="00D2473D"/>
    <w:rsid w:val="00D24CE0"/>
    <w:rsid w:val="00D250D7"/>
    <w:rsid w:val="00D25386"/>
    <w:rsid w:val="00D25FA1"/>
    <w:rsid w:val="00D2613E"/>
    <w:rsid w:val="00D31D29"/>
    <w:rsid w:val="00D33385"/>
    <w:rsid w:val="00D33686"/>
    <w:rsid w:val="00D34B96"/>
    <w:rsid w:val="00D34E67"/>
    <w:rsid w:val="00D362CE"/>
    <w:rsid w:val="00D37939"/>
    <w:rsid w:val="00D429E0"/>
    <w:rsid w:val="00D42B34"/>
    <w:rsid w:val="00D433D9"/>
    <w:rsid w:val="00D43D9F"/>
    <w:rsid w:val="00D4428B"/>
    <w:rsid w:val="00D4590B"/>
    <w:rsid w:val="00D459DF"/>
    <w:rsid w:val="00D45BCF"/>
    <w:rsid w:val="00D45F79"/>
    <w:rsid w:val="00D46096"/>
    <w:rsid w:val="00D476BF"/>
    <w:rsid w:val="00D50067"/>
    <w:rsid w:val="00D50DE2"/>
    <w:rsid w:val="00D5109C"/>
    <w:rsid w:val="00D53264"/>
    <w:rsid w:val="00D54BEE"/>
    <w:rsid w:val="00D61073"/>
    <w:rsid w:val="00D614A4"/>
    <w:rsid w:val="00D61816"/>
    <w:rsid w:val="00D62698"/>
    <w:rsid w:val="00D65EB7"/>
    <w:rsid w:val="00D66F4A"/>
    <w:rsid w:val="00D70A3B"/>
    <w:rsid w:val="00D7158F"/>
    <w:rsid w:val="00D72AC7"/>
    <w:rsid w:val="00D73311"/>
    <w:rsid w:val="00D733AE"/>
    <w:rsid w:val="00D76E38"/>
    <w:rsid w:val="00D77634"/>
    <w:rsid w:val="00D77D65"/>
    <w:rsid w:val="00D8113E"/>
    <w:rsid w:val="00D9010C"/>
    <w:rsid w:val="00D901B0"/>
    <w:rsid w:val="00D93970"/>
    <w:rsid w:val="00D95C38"/>
    <w:rsid w:val="00D9659F"/>
    <w:rsid w:val="00D97AA2"/>
    <w:rsid w:val="00D97ED6"/>
    <w:rsid w:val="00DA1697"/>
    <w:rsid w:val="00DA303C"/>
    <w:rsid w:val="00DB0D4E"/>
    <w:rsid w:val="00DB1A42"/>
    <w:rsid w:val="00DB324F"/>
    <w:rsid w:val="00DB36A0"/>
    <w:rsid w:val="00DB3E78"/>
    <w:rsid w:val="00DB3ED7"/>
    <w:rsid w:val="00DB477A"/>
    <w:rsid w:val="00DB51DA"/>
    <w:rsid w:val="00DB6FD5"/>
    <w:rsid w:val="00DB758A"/>
    <w:rsid w:val="00DB785A"/>
    <w:rsid w:val="00DC1EAA"/>
    <w:rsid w:val="00DC466C"/>
    <w:rsid w:val="00DC4EC9"/>
    <w:rsid w:val="00DC7B90"/>
    <w:rsid w:val="00DD07B3"/>
    <w:rsid w:val="00DD1F05"/>
    <w:rsid w:val="00DD361F"/>
    <w:rsid w:val="00DD3826"/>
    <w:rsid w:val="00DD3FC2"/>
    <w:rsid w:val="00DD5804"/>
    <w:rsid w:val="00DD7915"/>
    <w:rsid w:val="00DD7E38"/>
    <w:rsid w:val="00DE03C6"/>
    <w:rsid w:val="00DE0BEF"/>
    <w:rsid w:val="00DE4BFB"/>
    <w:rsid w:val="00DE4F70"/>
    <w:rsid w:val="00DE64B3"/>
    <w:rsid w:val="00DF116C"/>
    <w:rsid w:val="00DF1B32"/>
    <w:rsid w:val="00DF1FB3"/>
    <w:rsid w:val="00DF3D34"/>
    <w:rsid w:val="00DF45B2"/>
    <w:rsid w:val="00DF55C9"/>
    <w:rsid w:val="00DF5796"/>
    <w:rsid w:val="00DF7805"/>
    <w:rsid w:val="00E00E65"/>
    <w:rsid w:val="00E019F2"/>
    <w:rsid w:val="00E01D9B"/>
    <w:rsid w:val="00E05443"/>
    <w:rsid w:val="00E05ACA"/>
    <w:rsid w:val="00E05C65"/>
    <w:rsid w:val="00E07766"/>
    <w:rsid w:val="00E079A3"/>
    <w:rsid w:val="00E07CFE"/>
    <w:rsid w:val="00E11313"/>
    <w:rsid w:val="00E119C1"/>
    <w:rsid w:val="00E1223B"/>
    <w:rsid w:val="00E128AC"/>
    <w:rsid w:val="00E12BC5"/>
    <w:rsid w:val="00E14080"/>
    <w:rsid w:val="00E1475F"/>
    <w:rsid w:val="00E15410"/>
    <w:rsid w:val="00E15E6A"/>
    <w:rsid w:val="00E16137"/>
    <w:rsid w:val="00E16430"/>
    <w:rsid w:val="00E17BBA"/>
    <w:rsid w:val="00E17D53"/>
    <w:rsid w:val="00E201A2"/>
    <w:rsid w:val="00E242C3"/>
    <w:rsid w:val="00E25887"/>
    <w:rsid w:val="00E25E66"/>
    <w:rsid w:val="00E2683C"/>
    <w:rsid w:val="00E30345"/>
    <w:rsid w:val="00E30623"/>
    <w:rsid w:val="00E307BC"/>
    <w:rsid w:val="00E31CF8"/>
    <w:rsid w:val="00E3272A"/>
    <w:rsid w:val="00E33CEA"/>
    <w:rsid w:val="00E35BA0"/>
    <w:rsid w:val="00E35C77"/>
    <w:rsid w:val="00E35E25"/>
    <w:rsid w:val="00E373C4"/>
    <w:rsid w:val="00E37455"/>
    <w:rsid w:val="00E41B42"/>
    <w:rsid w:val="00E41D6F"/>
    <w:rsid w:val="00E43C07"/>
    <w:rsid w:val="00E44150"/>
    <w:rsid w:val="00E515DE"/>
    <w:rsid w:val="00E51663"/>
    <w:rsid w:val="00E51833"/>
    <w:rsid w:val="00E53383"/>
    <w:rsid w:val="00E536F6"/>
    <w:rsid w:val="00E548F6"/>
    <w:rsid w:val="00E55735"/>
    <w:rsid w:val="00E55EFE"/>
    <w:rsid w:val="00E56AC5"/>
    <w:rsid w:val="00E57A47"/>
    <w:rsid w:val="00E57ED3"/>
    <w:rsid w:val="00E60647"/>
    <w:rsid w:val="00E61BD8"/>
    <w:rsid w:val="00E62012"/>
    <w:rsid w:val="00E62776"/>
    <w:rsid w:val="00E64150"/>
    <w:rsid w:val="00E647B1"/>
    <w:rsid w:val="00E70064"/>
    <w:rsid w:val="00E70251"/>
    <w:rsid w:val="00E702AD"/>
    <w:rsid w:val="00E70DCD"/>
    <w:rsid w:val="00E71C5D"/>
    <w:rsid w:val="00E75F65"/>
    <w:rsid w:val="00E77027"/>
    <w:rsid w:val="00E80026"/>
    <w:rsid w:val="00E80DC8"/>
    <w:rsid w:val="00E82920"/>
    <w:rsid w:val="00E849DB"/>
    <w:rsid w:val="00E84A79"/>
    <w:rsid w:val="00E86FCD"/>
    <w:rsid w:val="00E873B0"/>
    <w:rsid w:val="00E91DAF"/>
    <w:rsid w:val="00E923A7"/>
    <w:rsid w:val="00E93604"/>
    <w:rsid w:val="00E94739"/>
    <w:rsid w:val="00EA0F99"/>
    <w:rsid w:val="00EA17D5"/>
    <w:rsid w:val="00EA1837"/>
    <w:rsid w:val="00EA36D0"/>
    <w:rsid w:val="00EA3E2E"/>
    <w:rsid w:val="00EA3EE7"/>
    <w:rsid w:val="00EA481C"/>
    <w:rsid w:val="00EA5DB0"/>
    <w:rsid w:val="00EA6DA6"/>
    <w:rsid w:val="00EA792F"/>
    <w:rsid w:val="00EB066F"/>
    <w:rsid w:val="00EB18D4"/>
    <w:rsid w:val="00EB2A75"/>
    <w:rsid w:val="00EB51FD"/>
    <w:rsid w:val="00EB5649"/>
    <w:rsid w:val="00EB5DBE"/>
    <w:rsid w:val="00EB6B1D"/>
    <w:rsid w:val="00EB77A9"/>
    <w:rsid w:val="00EB7F67"/>
    <w:rsid w:val="00EC0307"/>
    <w:rsid w:val="00EC05EC"/>
    <w:rsid w:val="00EC5C85"/>
    <w:rsid w:val="00ED06E2"/>
    <w:rsid w:val="00ED124D"/>
    <w:rsid w:val="00ED3012"/>
    <w:rsid w:val="00ED4028"/>
    <w:rsid w:val="00ED6659"/>
    <w:rsid w:val="00EE1336"/>
    <w:rsid w:val="00EE1E9B"/>
    <w:rsid w:val="00EE23C2"/>
    <w:rsid w:val="00EE354C"/>
    <w:rsid w:val="00EE4448"/>
    <w:rsid w:val="00EE5553"/>
    <w:rsid w:val="00EE5607"/>
    <w:rsid w:val="00EE5C87"/>
    <w:rsid w:val="00EF1A9C"/>
    <w:rsid w:val="00EF2007"/>
    <w:rsid w:val="00EF2A03"/>
    <w:rsid w:val="00EF435C"/>
    <w:rsid w:val="00EF5F15"/>
    <w:rsid w:val="00EF6BCD"/>
    <w:rsid w:val="00EF72B0"/>
    <w:rsid w:val="00F01050"/>
    <w:rsid w:val="00F02CFB"/>
    <w:rsid w:val="00F0530C"/>
    <w:rsid w:val="00F0692C"/>
    <w:rsid w:val="00F11D26"/>
    <w:rsid w:val="00F11F93"/>
    <w:rsid w:val="00F12287"/>
    <w:rsid w:val="00F12CC3"/>
    <w:rsid w:val="00F1546F"/>
    <w:rsid w:val="00F1559B"/>
    <w:rsid w:val="00F20D36"/>
    <w:rsid w:val="00F20D3E"/>
    <w:rsid w:val="00F20F26"/>
    <w:rsid w:val="00F21584"/>
    <w:rsid w:val="00F22636"/>
    <w:rsid w:val="00F23B46"/>
    <w:rsid w:val="00F2573C"/>
    <w:rsid w:val="00F25B63"/>
    <w:rsid w:val="00F25BE6"/>
    <w:rsid w:val="00F25F3B"/>
    <w:rsid w:val="00F270FE"/>
    <w:rsid w:val="00F30461"/>
    <w:rsid w:val="00F336D4"/>
    <w:rsid w:val="00F34300"/>
    <w:rsid w:val="00F35DE8"/>
    <w:rsid w:val="00F3611E"/>
    <w:rsid w:val="00F41053"/>
    <w:rsid w:val="00F41271"/>
    <w:rsid w:val="00F41835"/>
    <w:rsid w:val="00F45F61"/>
    <w:rsid w:val="00F46192"/>
    <w:rsid w:val="00F4695E"/>
    <w:rsid w:val="00F47494"/>
    <w:rsid w:val="00F4762D"/>
    <w:rsid w:val="00F47DF4"/>
    <w:rsid w:val="00F527EE"/>
    <w:rsid w:val="00F54149"/>
    <w:rsid w:val="00F5557F"/>
    <w:rsid w:val="00F5626D"/>
    <w:rsid w:val="00F569CA"/>
    <w:rsid w:val="00F57F51"/>
    <w:rsid w:val="00F606C8"/>
    <w:rsid w:val="00F6298D"/>
    <w:rsid w:val="00F63E5E"/>
    <w:rsid w:val="00F642E6"/>
    <w:rsid w:val="00F64DF3"/>
    <w:rsid w:val="00F65243"/>
    <w:rsid w:val="00F70BCD"/>
    <w:rsid w:val="00F714CD"/>
    <w:rsid w:val="00F73BD7"/>
    <w:rsid w:val="00F80A55"/>
    <w:rsid w:val="00F82A81"/>
    <w:rsid w:val="00F85182"/>
    <w:rsid w:val="00F8576F"/>
    <w:rsid w:val="00F86059"/>
    <w:rsid w:val="00F8623E"/>
    <w:rsid w:val="00F86453"/>
    <w:rsid w:val="00F86638"/>
    <w:rsid w:val="00F86754"/>
    <w:rsid w:val="00F87FCF"/>
    <w:rsid w:val="00F90B51"/>
    <w:rsid w:val="00F9115A"/>
    <w:rsid w:val="00F94F36"/>
    <w:rsid w:val="00FA02B7"/>
    <w:rsid w:val="00FA0814"/>
    <w:rsid w:val="00FA1EEB"/>
    <w:rsid w:val="00FA2DEC"/>
    <w:rsid w:val="00FA327E"/>
    <w:rsid w:val="00FA3504"/>
    <w:rsid w:val="00FA3A52"/>
    <w:rsid w:val="00FA41E7"/>
    <w:rsid w:val="00FA4562"/>
    <w:rsid w:val="00FA5307"/>
    <w:rsid w:val="00FA638C"/>
    <w:rsid w:val="00FA7FAE"/>
    <w:rsid w:val="00FB3CAA"/>
    <w:rsid w:val="00FB43CE"/>
    <w:rsid w:val="00FB5702"/>
    <w:rsid w:val="00FB6E09"/>
    <w:rsid w:val="00FB7ED2"/>
    <w:rsid w:val="00FC2940"/>
    <w:rsid w:val="00FC2C33"/>
    <w:rsid w:val="00FC573C"/>
    <w:rsid w:val="00FC5EFB"/>
    <w:rsid w:val="00FD0223"/>
    <w:rsid w:val="00FD089E"/>
    <w:rsid w:val="00FD09CA"/>
    <w:rsid w:val="00FD09FF"/>
    <w:rsid w:val="00FD114C"/>
    <w:rsid w:val="00FD120B"/>
    <w:rsid w:val="00FD210F"/>
    <w:rsid w:val="00FD2E5B"/>
    <w:rsid w:val="00FD4583"/>
    <w:rsid w:val="00FD6581"/>
    <w:rsid w:val="00FD6881"/>
    <w:rsid w:val="00FD76D2"/>
    <w:rsid w:val="00FD7CBC"/>
    <w:rsid w:val="00FD7FD5"/>
    <w:rsid w:val="00FE0435"/>
    <w:rsid w:val="00FE04FE"/>
    <w:rsid w:val="00FE0D3B"/>
    <w:rsid w:val="00FE1D43"/>
    <w:rsid w:val="00FE1E6A"/>
    <w:rsid w:val="00FE29A5"/>
    <w:rsid w:val="00FE2B77"/>
    <w:rsid w:val="00FE336A"/>
    <w:rsid w:val="00FE3420"/>
    <w:rsid w:val="00FE3A13"/>
    <w:rsid w:val="00FE3E5C"/>
    <w:rsid w:val="00FE7627"/>
    <w:rsid w:val="00FE7F30"/>
    <w:rsid w:val="00FF019C"/>
    <w:rsid w:val="00FF12A0"/>
    <w:rsid w:val="00FF12F2"/>
    <w:rsid w:val="00FF1F73"/>
    <w:rsid w:val="00FF25C1"/>
    <w:rsid w:val="00FF264B"/>
    <w:rsid w:val="00FF30F1"/>
    <w:rsid w:val="00FF4AE7"/>
    <w:rsid w:val="00FF71F3"/>
    <w:rsid w:val="00FF7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5B4085C"/>
  <w14:defaultImageDpi w14:val="300"/>
  <w15:docId w15:val="{8266DE8F-162F-456A-9E8B-B1B9A375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lonna MT" w:eastAsia="MS Mincho" w:hAnsi="Colonna MT"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448"/>
    <w:pPr>
      <w:spacing w:line="480" w:lineRule="auto"/>
      <w:ind w:firstLine="720"/>
    </w:pPr>
    <w:rPr>
      <w:rFonts w:ascii="Times New Roman" w:hAnsi="Times New Roman"/>
      <w:sz w:val="24"/>
      <w:szCs w:val="24"/>
      <w:lang w:eastAsia="ja-JP"/>
    </w:rPr>
  </w:style>
  <w:style w:type="paragraph" w:styleId="Heading1">
    <w:name w:val="heading 1"/>
    <w:basedOn w:val="Normal"/>
    <w:next w:val="Normal"/>
    <w:link w:val="Heading1Char"/>
    <w:uiPriority w:val="9"/>
    <w:qFormat/>
    <w:rsid w:val="007F72AF"/>
    <w:pPr>
      <w:keepNext/>
      <w:keepLines/>
      <w:spacing w:before="480"/>
      <w:outlineLvl w:val="0"/>
    </w:pPr>
    <w:rPr>
      <w:rFonts w:ascii="Calibri" w:eastAsia="MS Gothic" w:hAnsi="Calibri"/>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FBE"/>
    <w:pPr>
      <w:tabs>
        <w:tab w:val="center" w:pos="4320"/>
        <w:tab w:val="right" w:pos="8640"/>
      </w:tabs>
    </w:pPr>
  </w:style>
  <w:style w:type="character" w:customStyle="1" w:styleId="HeaderChar">
    <w:name w:val="Header Char"/>
    <w:basedOn w:val="DefaultParagraphFont"/>
    <w:link w:val="Header"/>
    <w:uiPriority w:val="99"/>
    <w:rsid w:val="00115FBE"/>
  </w:style>
  <w:style w:type="paragraph" w:styleId="Footer">
    <w:name w:val="footer"/>
    <w:basedOn w:val="Normal"/>
    <w:link w:val="FooterChar"/>
    <w:uiPriority w:val="99"/>
    <w:unhideWhenUsed/>
    <w:rsid w:val="00115FBE"/>
    <w:pPr>
      <w:tabs>
        <w:tab w:val="center" w:pos="4320"/>
        <w:tab w:val="right" w:pos="8640"/>
      </w:tabs>
    </w:pPr>
  </w:style>
  <w:style w:type="character" w:customStyle="1" w:styleId="FooterChar">
    <w:name w:val="Footer Char"/>
    <w:basedOn w:val="DefaultParagraphFont"/>
    <w:link w:val="Footer"/>
    <w:uiPriority w:val="99"/>
    <w:rsid w:val="00115FBE"/>
  </w:style>
  <w:style w:type="character" w:styleId="PageNumber">
    <w:name w:val="page number"/>
    <w:basedOn w:val="DefaultParagraphFont"/>
    <w:uiPriority w:val="99"/>
    <w:semiHidden/>
    <w:unhideWhenUsed/>
    <w:rsid w:val="00CB5858"/>
  </w:style>
  <w:style w:type="paragraph" w:customStyle="1" w:styleId="SPHParagraph">
    <w:name w:val="SPH Paragraph"/>
    <w:basedOn w:val="Normal"/>
    <w:link w:val="SPHParagraphChar"/>
    <w:uiPriority w:val="1"/>
    <w:qFormat/>
    <w:rsid w:val="00916291"/>
    <w:rPr>
      <w:color w:val="000000"/>
      <w:lang w:eastAsia="en-US"/>
    </w:rPr>
  </w:style>
  <w:style w:type="paragraph" w:customStyle="1" w:styleId="EndNoteBibliographyTitle">
    <w:name w:val="EndNote Bibliography Title"/>
    <w:basedOn w:val="Normal"/>
    <w:rsid w:val="00C93819"/>
    <w:pPr>
      <w:jc w:val="center"/>
    </w:pPr>
  </w:style>
  <w:style w:type="paragraph" w:customStyle="1" w:styleId="EndNoteBibliography">
    <w:name w:val="EndNote Bibliography"/>
    <w:basedOn w:val="Normal"/>
    <w:rsid w:val="00C93819"/>
  </w:style>
  <w:style w:type="paragraph" w:customStyle="1" w:styleId="MediumGrid1-Accent21">
    <w:name w:val="Medium Grid 1 - Accent 21"/>
    <w:basedOn w:val="Normal"/>
    <w:uiPriority w:val="34"/>
    <w:qFormat/>
    <w:rsid w:val="00EA6DA6"/>
    <w:pPr>
      <w:ind w:left="720"/>
      <w:contextualSpacing/>
    </w:pPr>
    <w:rPr>
      <w:color w:val="000000"/>
      <w:lang w:eastAsia="en-US"/>
    </w:rPr>
  </w:style>
  <w:style w:type="character" w:styleId="CommentReference">
    <w:name w:val="annotation reference"/>
    <w:uiPriority w:val="99"/>
    <w:semiHidden/>
    <w:unhideWhenUsed/>
    <w:rsid w:val="00CE226D"/>
    <w:rPr>
      <w:sz w:val="18"/>
      <w:szCs w:val="18"/>
    </w:rPr>
  </w:style>
  <w:style w:type="paragraph" w:styleId="CommentText">
    <w:name w:val="annotation text"/>
    <w:basedOn w:val="Normal"/>
    <w:link w:val="CommentTextChar"/>
    <w:uiPriority w:val="99"/>
    <w:unhideWhenUsed/>
    <w:rsid w:val="00CE226D"/>
  </w:style>
  <w:style w:type="character" w:customStyle="1" w:styleId="CommentTextChar">
    <w:name w:val="Comment Text Char"/>
    <w:basedOn w:val="DefaultParagraphFont"/>
    <w:link w:val="CommentText"/>
    <w:uiPriority w:val="99"/>
    <w:rsid w:val="00CE226D"/>
  </w:style>
  <w:style w:type="paragraph" w:styleId="CommentSubject">
    <w:name w:val="annotation subject"/>
    <w:basedOn w:val="CommentText"/>
    <w:next w:val="CommentText"/>
    <w:link w:val="CommentSubjectChar"/>
    <w:uiPriority w:val="99"/>
    <w:semiHidden/>
    <w:unhideWhenUsed/>
    <w:rsid w:val="00CE226D"/>
    <w:rPr>
      <w:b/>
      <w:bCs/>
      <w:sz w:val="20"/>
      <w:szCs w:val="20"/>
    </w:rPr>
  </w:style>
  <w:style w:type="character" w:customStyle="1" w:styleId="CommentSubjectChar">
    <w:name w:val="Comment Subject Char"/>
    <w:link w:val="CommentSubject"/>
    <w:uiPriority w:val="99"/>
    <w:semiHidden/>
    <w:rsid w:val="00CE226D"/>
    <w:rPr>
      <w:b/>
      <w:bCs/>
      <w:sz w:val="20"/>
      <w:szCs w:val="20"/>
    </w:rPr>
  </w:style>
  <w:style w:type="paragraph" w:styleId="BalloonText">
    <w:name w:val="Balloon Text"/>
    <w:basedOn w:val="Normal"/>
    <w:link w:val="BalloonTextChar"/>
    <w:uiPriority w:val="99"/>
    <w:semiHidden/>
    <w:unhideWhenUsed/>
    <w:rsid w:val="00CE226D"/>
    <w:rPr>
      <w:rFonts w:ascii="Lucida Grande" w:hAnsi="Lucida Grande" w:cs="Lucida Grande"/>
      <w:sz w:val="18"/>
      <w:szCs w:val="18"/>
    </w:rPr>
  </w:style>
  <w:style w:type="character" w:customStyle="1" w:styleId="BalloonTextChar">
    <w:name w:val="Balloon Text Char"/>
    <w:link w:val="BalloonText"/>
    <w:uiPriority w:val="99"/>
    <w:semiHidden/>
    <w:rsid w:val="00CE226D"/>
    <w:rPr>
      <w:rFonts w:ascii="Lucida Grande" w:hAnsi="Lucida Grande" w:cs="Lucida Grande"/>
      <w:sz w:val="18"/>
      <w:szCs w:val="18"/>
    </w:rPr>
  </w:style>
  <w:style w:type="character" w:styleId="Hyperlink">
    <w:name w:val="Hyperlink"/>
    <w:uiPriority w:val="99"/>
    <w:unhideWhenUsed/>
    <w:rsid w:val="00022C15"/>
    <w:rPr>
      <w:color w:val="0000FF"/>
      <w:u w:val="single"/>
    </w:rPr>
  </w:style>
  <w:style w:type="character" w:customStyle="1" w:styleId="Heading1Char">
    <w:name w:val="Heading 1 Char"/>
    <w:link w:val="Heading1"/>
    <w:uiPriority w:val="9"/>
    <w:rsid w:val="007F72AF"/>
    <w:rPr>
      <w:rFonts w:ascii="Calibri" w:eastAsia="MS Gothic" w:hAnsi="Calibri" w:cs="Times New Roman"/>
      <w:b/>
      <w:bCs/>
      <w:color w:val="345A8A"/>
      <w:sz w:val="32"/>
      <w:szCs w:val="32"/>
    </w:rPr>
  </w:style>
  <w:style w:type="paragraph" w:customStyle="1" w:styleId="APALevel1">
    <w:name w:val="APA Level 1"/>
    <w:basedOn w:val="Normal"/>
    <w:next w:val="SPHParagraph"/>
    <w:qFormat/>
    <w:rsid w:val="000D3E87"/>
    <w:pPr>
      <w:keepNext/>
      <w:ind w:firstLine="0"/>
      <w:jc w:val="center"/>
      <w:outlineLvl w:val="0"/>
    </w:pPr>
    <w:rPr>
      <w:b/>
    </w:rPr>
  </w:style>
  <w:style w:type="paragraph" w:customStyle="1" w:styleId="APALevel2">
    <w:name w:val="APA Level 2"/>
    <w:basedOn w:val="Normal"/>
    <w:next w:val="SPHParagraph"/>
    <w:link w:val="APALevel2Char"/>
    <w:qFormat/>
    <w:rsid w:val="00C54448"/>
    <w:pPr>
      <w:keepNext/>
      <w:ind w:firstLine="0"/>
      <w:outlineLvl w:val="1"/>
    </w:pPr>
    <w:rPr>
      <w:b/>
    </w:rPr>
  </w:style>
  <w:style w:type="paragraph" w:customStyle="1" w:styleId="APALevel3">
    <w:name w:val="APA Level 3"/>
    <w:basedOn w:val="Normal"/>
    <w:next w:val="SPHParagraph"/>
    <w:link w:val="APALevel3Char"/>
    <w:qFormat/>
    <w:rsid w:val="00E75F65"/>
    <w:pPr>
      <w:keepNext/>
      <w:outlineLvl w:val="2"/>
    </w:pPr>
    <w:rPr>
      <w:b/>
    </w:rPr>
  </w:style>
  <w:style w:type="character" w:customStyle="1" w:styleId="APALevel2Char">
    <w:name w:val="APA Level 2 Char"/>
    <w:link w:val="APALevel2"/>
    <w:rsid w:val="00C54448"/>
    <w:rPr>
      <w:rFonts w:ascii="Times New Roman" w:hAnsi="Times New Roman"/>
      <w:b/>
    </w:rPr>
  </w:style>
  <w:style w:type="paragraph" w:customStyle="1" w:styleId="APALevel4">
    <w:name w:val="APA Level 4"/>
    <w:basedOn w:val="SPHParagraph"/>
    <w:next w:val="SPHParagraph"/>
    <w:link w:val="APALevel4Char"/>
    <w:qFormat/>
    <w:rsid w:val="00EE1336"/>
    <w:pPr>
      <w:keepNext/>
      <w:outlineLvl w:val="3"/>
    </w:pPr>
    <w:rPr>
      <w:b/>
      <w:i/>
    </w:rPr>
  </w:style>
  <w:style w:type="character" w:customStyle="1" w:styleId="APALevel3Char">
    <w:name w:val="APA Level 3 Char"/>
    <w:link w:val="APALevel3"/>
    <w:rsid w:val="00E75F65"/>
    <w:rPr>
      <w:rFonts w:ascii="Times New Roman" w:hAnsi="Times New Roman"/>
      <w:b/>
    </w:rPr>
  </w:style>
  <w:style w:type="paragraph" w:customStyle="1" w:styleId="APALevel5">
    <w:name w:val="APA Level 5"/>
    <w:basedOn w:val="Normal"/>
    <w:next w:val="SPHParagraph"/>
    <w:link w:val="APALevel5Char"/>
    <w:qFormat/>
    <w:rsid w:val="00511F5D"/>
    <w:pPr>
      <w:keepNext/>
      <w:outlineLvl w:val="4"/>
    </w:pPr>
    <w:rPr>
      <w:i/>
    </w:rPr>
  </w:style>
  <w:style w:type="character" w:customStyle="1" w:styleId="SPHParagraphChar">
    <w:name w:val="SPH Paragraph Char"/>
    <w:link w:val="SPHParagraph"/>
    <w:uiPriority w:val="1"/>
    <w:rsid w:val="00916291"/>
    <w:rPr>
      <w:rFonts w:ascii="Times New Roman" w:eastAsia="MS Mincho" w:hAnsi="Times New Roman"/>
      <w:color w:val="000000"/>
      <w:lang w:eastAsia="en-US"/>
    </w:rPr>
  </w:style>
  <w:style w:type="character" w:customStyle="1" w:styleId="APALevel4Char">
    <w:name w:val="APA Level 4 Char"/>
    <w:link w:val="APALevel4"/>
    <w:rsid w:val="00EE1336"/>
    <w:rPr>
      <w:rFonts w:ascii="Times New Roman" w:eastAsia="MS Mincho" w:hAnsi="Times New Roman"/>
      <w:b/>
      <w:i/>
      <w:color w:val="000000"/>
      <w:lang w:eastAsia="en-US"/>
    </w:rPr>
  </w:style>
  <w:style w:type="character" w:customStyle="1" w:styleId="APALevel5Char">
    <w:name w:val="APA Level 5 Char"/>
    <w:link w:val="APALevel5"/>
    <w:rsid w:val="00511F5D"/>
    <w:rPr>
      <w:rFonts w:ascii="Times New Roman" w:hAnsi="Times New Roman"/>
      <w:i/>
    </w:rPr>
  </w:style>
  <w:style w:type="paragraph" w:styleId="DocumentMap">
    <w:name w:val="Document Map"/>
    <w:basedOn w:val="Normal"/>
    <w:link w:val="DocumentMapChar"/>
    <w:uiPriority w:val="99"/>
    <w:semiHidden/>
    <w:unhideWhenUsed/>
    <w:rsid w:val="002B2512"/>
    <w:pPr>
      <w:spacing w:line="240" w:lineRule="auto"/>
    </w:pPr>
    <w:rPr>
      <w:rFonts w:ascii="Lucida Grande" w:hAnsi="Lucida Grande" w:cs="Lucida Grande"/>
    </w:rPr>
  </w:style>
  <w:style w:type="character" w:customStyle="1" w:styleId="DocumentMapChar">
    <w:name w:val="Document Map Char"/>
    <w:link w:val="DocumentMap"/>
    <w:uiPriority w:val="99"/>
    <w:semiHidden/>
    <w:rsid w:val="002B2512"/>
    <w:rPr>
      <w:rFonts w:ascii="Lucida Grande" w:hAnsi="Lucida Grande" w:cs="Lucida Grande"/>
    </w:rPr>
  </w:style>
  <w:style w:type="paragraph" w:customStyle="1" w:styleId="MediumList2-Accent21">
    <w:name w:val="Medium List 2 - Accent 21"/>
    <w:hidden/>
    <w:uiPriority w:val="99"/>
    <w:semiHidden/>
    <w:rsid w:val="00C87802"/>
    <w:rPr>
      <w:rFonts w:ascii="Times New Roman" w:hAnsi="Times New Roman"/>
      <w:sz w:val="24"/>
      <w:szCs w:val="24"/>
      <w:lang w:eastAsia="ja-JP"/>
    </w:rPr>
  </w:style>
  <w:style w:type="paragraph" w:customStyle="1" w:styleId="Table">
    <w:name w:val="Table"/>
    <w:basedOn w:val="Normal"/>
    <w:next w:val="Normal"/>
    <w:link w:val="TableChar"/>
    <w:qFormat/>
    <w:rsid w:val="00F25F3B"/>
    <w:pPr>
      <w:autoSpaceDE w:val="0"/>
      <w:autoSpaceDN w:val="0"/>
      <w:adjustRightInd w:val="0"/>
      <w:spacing w:line="240" w:lineRule="auto"/>
      <w:ind w:firstLine="0"/>
      <w:outlineLvl w:val="1"/>
    </w:pPr>
    <w:rPr>
      <w:rFonts w:cs="Calibri"/>
      <w:color w:val="000000"/>
    </w:rPr>
  </w:style>
  <w:style w:type="paragraph" w:customStyle="1" w:styleId="Figure">
    <w:name w:val="Figure"/>
    <w:basedOn w:val="Normal"/>
    <w:link w:val="FigureChar"/>
    <w:qFormat/>
    <w:rsid w:val="00F25F3B"/>
    <w:pPr>
      <w:outlineLvl w:val="0"/>
    </w:pPr>
    <w:rPr>
      <w:i/>
    </w:rPr>
  </w:style>
  <w:style w:type="character" w:customStyle="1" w:styleId="TableChar">
    <w:name w:val="Table Char"/>
    <w:link w:val="Table"/>
    <w:rsid w:val="00F25F3B"/>
    <w:rPr>
      <w:rFonts w:ascii="Times New Roman" w:hAnsi="Times New Roman" w:cs="Calibri"/>
      <w:color w:val="000000"/>
    </w:rPr>
  </w:style>
  <w:style w:type="character" w:customStyle="1" w:styleId="FigureChar">
    <w:name w:val="Figure Char"/>
    <w:link w:val="Figure"/>
    <w:rsid w:val="00F25F3B"/>
    <w:rPr>
      <w:rFonts w:ascii="Times New Roman" w:hAnsi="Times New Roman"/>
      <w:i/>
    </w:rPr>
  </w:style>
  <w:style w:type="paragraph" w:customStyle="1" w:styleId="ColorfulShading-Accent11">
    <w:name w:val="Colorful Shading - Accent 11"/>
    <w:hidden/>
    <w:uiPriority w:val="71"/>
    <w:unhideWhenUsed/>
    <w:rsid w:val="00823199"/>
    <w:rPr>
      <w:rFonts w:ascii="Times New Roman" w:hAnsi="Times New Roman"/>
      <w:sz w:val="24"/>
      <w:szCs w:val="24"/>
      <w:lang w:eastAsia="ja-JP"/>
    </w:rPr>
  </w:style>
  <w:style w:type="paragraph" w:styleId="Revision">
    <w:name w:val="Revision"/>
    <w:hidden/>
    <w:uiPriority w:val="99"/>
    <w:semiHidden/>
    <w:rsid w:val="00E55735"/>
    <w:rPr>
      <w:rFonts w:ascii="Times New Roman" w:hAnsi="Times New Roman"/>
      <w:sz w:val="24"/>
      <w:szCs w:val="24"/>
      <w:lang w:eastAsia="ja-JP"/>
    </w:rPr>
  </w:style>
  <w:style w:type="paragraph" w:styleId="Caption">
    <w:name w:val="caption"/>
    <w:basedOn w:val="Normal"/>
    <w:next w:val="Normal"/>
    <w:uiPriority w:val="35"/>
    <w:unhideWhenUsed/>
    <w:qFormat/>
    <w:rsid w:val="004935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88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rel000006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A3A50-2659-45DC-879C-9F74A546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7933</Words>
  <Characters>45223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53050</CharactersWithSpaces>
  <SharedDoc>false</SharedDoc>
  <HLinks>
    <vt:vector size="6" baseType="variant">
      <vt:variant>
        <vt:i4>917525</vt:i4>
      </vt:variant>
      <vt:variant>
        <vt:i4>10</vt:i4>
      </vt:variant>
      <vt:variant>
        <vt:i4>0</vt:i4>
      </vt:variant>
      <vt:variant>
        <vt:i4>5</vt:i4>
      </vt:variant>
      <vt:variant>
        <vt:lpwstr>http://psycnet.apa.org/doi/10.1037/0022-0167.52.4.574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 holland</dc:creator>
  <cp:lastModifiedBy>Denise Draggoo</cp:lastModifiedBy>
  <cp:revision>2</cp:revision>
  <cp:lastPrinted>2015-06-01T03:36:00Z</cp:lastPrinted>
  <dcterms:created xsi:type="dcterms:W3CDTF">2020-06-09T09:30:00Z</dcterms:created>
  <dcterms:modified xsi:type="dcterms:W3CDTF">2020-06-09T09:30:00Z</dcterms:modified>
</cp:coreProperties>
</file>