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fphu9b5sh0o" w:id="0"/>
      <w:bookmarkEnd w:id="0"/>
      <w:r w:rsidDel="00000000" w:rsidR="00000000" w:rsidRPr="00000000">
        <w:rPr>
          <w:rtl w:val="0"/>
        </w:rPr>
        <w:t xml:space="preserve">Introduction to Alteryx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There is no getting away from it. We now live in a world where data dominates. Decisions in business, government, the economy, which music to listen to or new shows to watch, it's all about data.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Happily, there is a growing number of tools to help make sense of the volume of raw data now available. Alteryx is one of those.</w:t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 this Introduction to Alteryx course, we show you how to get started with the Alteryx Designer and set you on a path to becoming an Alteryx developer.</w:t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You don't need any previous knowledge of Alteryx to take this course. An intermediate to advanced Excel understanding is useful.</w:t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 this course, you will learn:</w:t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use Alteryx workflows to cut out repetitive tasks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build visual workflows in Alteryx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make the most of 'Favorite Tools' as core Alteryx building blocks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filter data in Alteryx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use the basic functions in Alteryx to match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dynamically rename datasets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parse data in Alteryx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create reports in Alteryx that run on demand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use the predictive tools in Alteryx to perform data analysis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build a k-centroid clustering model using Alteryx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build a logistic regression in Alteryx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build a decision tree-based regression in Alteryx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build a random forest-based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CE8E5E5-AACF-4E5E-B2EE-EADE7F64D213}"/>
</file>

<file path=customXml/itemProps2.xml><?xml version="1.0" encoding="utf-8"?>
<ds:datastoreItem xmlns:ds="http://schemas.openxmlformats.org/officeDocument/2006/customXml" ds:itemID="{51F02B66-2B9E-4CD7-BB2B-E1E750F03E9C}"/>
</file>

<file path=customXml/itemProps3.xml><?xml version="1.0" encoding="utf-8"?>
<ds:datastoreItem xmlns:ds="http://schemas.openxmlformats.org/officeDocument/2006/customXml" ds:itemID="{E2604C8B-14EF-47DF-8213-3DDC243BE90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