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Etapa 1: Extracción, Filtro y pre-procesamiento</w:t>
      </w:r>
    </w:p>
    <w:p w:rsidR="00000000" w:rsidDel="00000000" w:rsidP="00000000" w:rsidRDefault="00000000" w:rsidRPr="00000000" w14:paraId="0000000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 Ingesta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del Gmail Trigger en n8n para la conexión mediante OAuth2 y la monitorización de correos minuto a minuto.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905000"/>
                  <wp:effectExtent b="0" l="0" r="0" t="0"/>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771650" cy="190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Filtrado Avanzado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 un filtro SQL avanzado (</w:t>
            </w:r>
            <w:r w:rsidDel="00000000" w:rsidR="00000000" w:rsidRPr="00000000">
              <w:rPr>
                <w:rFonts w:ascii="Roboto Mono" w:cs="Roboto Mono" w:eastAsia="Roboto Mono" w:hAnsi="Roboto Mono"/>
                <w:color w:val="188038"/>
                <w:rtl w:val="0"/>
              </w:rPr>
              <w:t xml:space="preserve">in:anywhere newer_than:60d...</w:t>
            </w:r>
            <w:r w:rsidDel="00000000" w:rsidR="00000000" w:rsidRPr="00000000">
              <w:rPr>
                <w:rtl w:val="0"/>
              </w:rPr>
              <w:t xml:space="preserve">) para segregar los correos desde el origen entre </w:t>
            </w:r>
            <w:r w:rsidDel="00000000" w:rsidR="00000000" w:rsidRPr="00000000">
              <w:rPr>
                <w:rtl w:val="0"/>
              </w:rPr>
              <w:t xml:space="preserve">Reportes de Cierre (con PDF) y Alertas de Seguridad (sin adjunto).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028700"/>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1650" cy="1028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Detección y Limpieza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del primer nodo </w:t>
            </w:r>
            <w:r w:rsidDel="00000000" w:rsidR="00000000" w:rsidRPr="00000000">
              <w:rPr>
                <w:rtl w:val="0"/>
              </w:rPr>
              <w:t xml:space="preserve">Code in JavaScrip</w:t>
            </w:r>
            <w:r w:rsidDel="00000000" w:rsidR="00000000" w:rsidRPr="00000000">
              <w:rPr>
                <w:b w:val="1"/>
                <w:bCs w:val="1"/>
                <w:rtl w:val="0"/>
              </w:rPr>
              <w:t xml:space="preserve">t</w:t>
            </w:r>
            <w:r w:rsidDel="00000000" w:rsidR="00000000" w:rsidRPr="00000000">
              <w:rPr>
                <w:rtl w:val="0"/>
              </w:rPr>
              <w:t xml:space="preserve"> para limpiar el cuerpo HTML del correo, crear la clave de decisión (</w:t>
            </w:r>
            <w:r w:rsidDel="00000000" w:rsidR="00000000" w:rsidRPr="00000000">
              <w:rPr>
                <w:rFonts w:ascii="Roboto Mono" w:cs="Roboto Mono" w:eastAsia="Roboto Mono" w:hAnsi="Roboto Mono"/>
                <w:color w:val="188038"/>
                <w:rtl w:val="0"/>
              </w:rPr>
              <w:t xml:space="preserve">hasPdf</w:t>
            </w:r>
            <w:r w:rsidDel="00000000" w:rsidR="00000000" w:rsidRPr="00000000">
              <w:rPr>
                <w:rtl w:val="0"/>
              </w:rPr>
              <w:t xml:space="preserve">) y generar el </w:t>
            </w:r>
            <w:r w:rsidDel="00000000" w:rsidR="00000000" w:rsidRPr="00000000">
              <w:rPr>
                <w:i w:val="1"/>
                <w:iCs w:val="1"/>
                <w:rtl w:val="0"/>
              </w:rPr>
              <w:t xml:space="preserve">payload</w:t>
            </w:r>
            <w:r w:rsidDel="00000000" w:rsidR="00000000" w:rsidRPr="00000000">
              <w:rPr>
                <w:rtl w:val="0"/>
              </w:rPr>
              <w:t xml:space="preserve"> de texto plano (</w:t>
            </w:r>
            <w:r w:rsidDel="00000000" w:rsidR="00000000" w:rsidRPr="00000000">
              <w:rPr>
                <w:rFonts w:ascii="Roboto Mono" w:cs="Roboto Mono" w:eastAsia="Roboto Mono" w:hAnsi="Roboto Mono"/>
                <w:color w:val="188038"/>
                <w:rtl w:val="0"/>
              </w:rPr>
              <w:t xml:space="preserve">textForGemini</w:t>
            </w:r>
            <w:r w:rsidDel="00000000" w:rsidR="00000000" w:rsidRPr="00000000">
              <w:rPr>
                <w:rtl w:val="0"/>
              </w:rPr>
              <w:t xml:space="preserve">) para la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2768600"/>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1771650" cy="2768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Condición del Flujo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Implementación del nodo </w:t>
            </w:r>
            <w:r w:rsidDel="00000000" w:rsidR="00000000" w:rsidRPr="00000000">
              <w:rPr>
                <w:rtl w:val="0"/>
              </w:rPr>
              <w:t xml:space="preserve">If (Decisión) para dividir el </w:t>
            </w:r>
            <w:r w:rsidDel="00000000" w:rsidR="00000000" w:rsidRPr="00000000">
              <w:rPr>
                <w:i w:val="1"/>
                <w:iCs w:val="1"/>
                <w:rtl w:val="0"/>
              </w:rPr>
              <w:t xml:space="preserve">pipeline</w:t>
            </w:r>
            <w:r w:rsidDel="00000000" w:rsidR="00000000" w:rsidRPr="00000000">
              <w:rPr>
                <w:rtl w:val="0"/>
              </w:rPr>
              <w:t xml:space="preserve"> en dos ramas de procesamiento: TRUE (PDF) y FALSE (Alerta).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371600"/>
                  <wp:effectExtent b="0" l="0" r="0" t="0"/>
                  <wp:docPr id="8"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771650" cy="137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Etapa 2: Rama True y false</w:t>
      </w:r>
    </w:p>
    <w:p w:rsidR="00000000" w:rsidDel="00000000" w:rsidP="00000000" w:rsidRDefault="00000000" w:rsidRPr="00000000" w14:paraId="00000015">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Almacenamiento en GCS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Configuración del nodo HTTP Request para enviar el PDF original a Google Cloud Storage (GCS), asegurando la trazabilidad al nombrar el archivo con el </w:t>
            </w:r>
            <w:r w:rsidDel="00000000" w:rsidR="00000000" w:rsidRPr="00000000">
              <w:rPr>
                <w:rFonts w:ascii="Roboto Mono" w:cs="Roboto Mono" w:eastAsia="Roboto Mono" w:hAnsi="Roboto Mono"/>
                <w:color w:val="188038"/>
                <w:rtl w:val="0"/>
              </w:rPr>
              <w:t xml:space="preserve">analista_name</w:t>
            </w:r>
            <w:r w:rsidDel="00000000" w:rsidR="00000000" w:rsidRPr="00000000">
              <w:rPr>
                <w:rtl w:val="0"/>
              </w:rPr>
              <w:t xml:space="preserve"> y la fecha.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843088" cy="2340236"/>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843088" cy="234023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22860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771650" cy="2286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Extracción de Metadatos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Analyze Document IA (Header) para extraer datos estables (Analista, Fecha, Clasificación de Turno).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2362200"/>
                  <wp:effectExtent b="0" l="0" r="0" t="0"/>
                  <wp:docPr id="1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771650" cy="2362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Extracción de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Analyze Document IA (Observaciones) para extraer </w:t>
            </w:r>
            <w:r w:rsidDel="00000000" w:rsidR="00000000" w:rsidRPr="00000000">
              <w:rPr>
                <w:i w:val="1"/>
                <w:iCs w:val="1"/>
                <w:rtl w:val="0"/>
              </w:rPr>
              <w:t xml:space="preserve">arrays</w:t>
            </w:r>
            <w:r w:rsidDel="00000000" w:rsidR="00000000" w:rsidRPr="00000000">
              <w:rPr>
                <w:rFonts w:ascii="Arial Unicode MS" w:cs="Arial Unicode MS" w:eastAsia="Arial Unicode MS" w:hAnsi="Arial Unicode MS"/>
                <w:rtl w:val="0"/>
              </w:rPr>
              <w:t xml:space="preserve"> de eventos de seguridad del texto libre, incluyendo inferencia de cliente (HOST → CLIENTE).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2362200"/>
                  <wp:effectExtent b="0" l="0" r="0" t="0"/>
                  <wp:docPr id="1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771650" cy="2362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Análisis Visual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Uso de Analyze Document IA (Logs/Visual) para interpretar gráficos dentro del PDF, extrayendo el estado de ingesta de logs y estimaciones de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2362200"/>
                  <wp:effectExtent b="0" l="0" r="0" t="0"/>
                  <wp:docPr id="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771650" cy="2362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Extracción de 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Analyze Document IA (Rama FALSE) para estructurar el texto plano de los correos de alerta, extrayendo IPs, host y tipo de incidente.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2603500"/>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771650" cy="260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Etapa 3: Limpieza y Carga a Bigquery</w:t>
      </w:r>
    </w:p>
    <w:p w:rsidR="00000000" w:rsidDel="00000000" w:rsidP="00000000" w:rsidRDefault="00000000" w:rsidRPr="00000000" w14:paraId="00000036">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Limpieza post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Implementación de nodos </w:t>
            </w:r>
            <w:r w:rsidDel="00000000" w:rsidR="00000000" w:rsidRPr="00000000">
              <w:rPr>
                <w:rFonts w:ascii="Roboto Mono" w:cs="Roboto Mono" w:eastAsia="Roboto Mono" w:hAnsi="Roboto Mono"/>
                <w:color w:val="188038"/>
                <w:rtl w:val="0"/>
              </w:rPr>
              <w:t xml:space="preserve">Code in JavaScript</w:t>
            </w:r>
            <w:r w:rsidDel="00000000" w:rsidR="00000000" w:rsidRPr="00000000">
              <w:rPr>
                <w:rtl w:val="0"/>
              </w:rPr>
              <w:t xml:space="preserve"> de saneamiento después de </w:t>
            </w:r>
            <w:r w:rsidDel="00000000" w:rsidR="00000000" w:rsidRPr="00000000">
              <w:rPr>
                <w:i w:val="1"/>
                <w:iCs w:val="1"/>
                <w:rtl w:val="0"/>
              </w:rPr>
              <w:t xml:space="preserve">cada</w:t>
            </w:r>
            <w:r w:rsidDel="00000000" w:rsidR="00000000" w:rsidRPr="00000000">
              <w:rPr>
                <w:rtl w:val="0"/>
              </w:rPr>
              <w:t xml:space="preserve"> llamada a la IA para limpiar </w:t>
            </w:r>
            <w:r w:rsidDel="00000000" w:rsidR="00000000" w:rsidRPr="00000000">
              <w:rPr>
                <w:i w:val="1"/>
                <w:iCs w:val="1"/>
                <w:rtl w:val="0"/>
              </w:rPr>
              <w:t xml:space="preserve">wrappers</w:t>
            </w:r>
            <w:r w:rsidDel="00000000" w:rsidR="00000000" w:rsidRPr="00000000">
              <w:rPr>
                <w:rtl w:val="0"/>
              </w:rPr>
              <w:t xml:space="preserve"> JSON (````json</w:t>
            </w:r>
            <w:r w:rsidDel="00000000" w:rsidR="00000000" w:rsidRPr="00000000">
              <w:rPr>
                <w:rFonts w:ascii="Roboto Mono" w:cs="Roboto Mono" w:eastAsia="Roboto Mono" w:hAnsi="Roboto Mono"/>
                <w:color w:val="188038"/>
                <w:rtl w:val="0"/>
              </w:rPr>
              <w:t xml:space="preserve">), validar la estructura (</w:t>
            </w:r>
            <w:r w:rsidDel="00000000" w:rsidR="00000000" w:rsidRPr="00000000">
              <w:rPr>
                <w:rtl w:val="0"/>
              </w:rPr>
              <w:t xml:space="preserve">try...catch`) y normalizar la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524000"/>
                  <wp:effectExtent b="0" l="0" r="0" t="0"/>
                  <wp:docPr id="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771650" cy="152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Relacionar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nodos Set para crear y propagar las claves primarias (</w:t>
            </w:r>
            <w:r w:rsidDel="00000000" w:rsidR="00000000" w:rsidRPr="00000000">
              <w:rPr>
                <w:rFonts w:ascii="Roboto Mono" w:cs="Roboto Mono" w:eastAsia="Roboto Mono" w:hAnsi="Roboto Mono"/>
                <w:color w:val="188038"/>
                <w:rtl w:val="0"/>
              </w:rPr>
              <w:t xml:space="preserve">cierre_id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evento_id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log_id</w:t>
            </w:r>
            <w:r w:rsidDel="00000000" w:rsidR="00000000" w:rsidRPr="00000000">
              <w:rPr>
                <w:rtl w:val="0"/>
              </w:rPr>
              <w:t xml:space="preserve">) y las claves foráneas necesarias para el modelo dimensional.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2184400"/>
                  <wp:effectExtent b="0" l="0" r="0" t="0"/>
                  <wp:docPr id="14"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771650" cy="2184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Carga en Bigquery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de nodos </w:t>
            </w:r>
            <w:r w:rsidDel="00000000" w:rsidR="00000000" w:rsidRPr="00000000">
              <w:rPr>
                <w:b w:val="1"/>
                <w:bCs w:val="1"/>
                <w:rtl w:val="0"/>
              </w:rPr>
              <w:t xml:space="preserve">Execute SQL Query</w:t>
            </w:r>
            <w:r w:rsidDel="00000000" w:rsidR="00000000" w:rsidRPr="00000000">
              <w:rPr>
                <w:rtl w:val="0"/>
              </w:rPr>
              <w:t xml:space="preserve"> con sentencia </w:t>
            </w:r>
            <w:r w:rsidDel="00000000" w:rsidR="00000000" w:rsidRPr="00000000">
              <w:rPr>
                <w:rFonts w:ascii="Roboto Mono" w:cs="Roboto Mono" w:eastAsia="Roboto Mono" w:hAnsi="Roboto Mono"/>
                <w:b w:val="1"/>
                <w:bCs w:val="1"/>
                <w:color w:val="188038"/>
                <w:rtl w:val="0"/>
              </w:rPr>
              <w:t xml:space="preserve">MERGE INTO</w:t>
            </w:r>
            <w:r w:rsidDel="00000000" w:rsidR="00000000" w:rsidRPr="00000000">
              <w:rPr>
                <w:rtl w:val="0"/>
              </w:rPr>
              <w:t xml:space="preserve"> para cargar los datos en el modelo de datos estrella (Tablas de Hechos </w:t>
            </w:r>
            <w:r w:rsidDel="00000000" w:rsidR="00000000" w:rsidRPr="00000000">
              <w:rPr>
                <w:rFonts w:ascii="Roboto Mono" w:cs="Roboto Mono" w:eastAsia="Roboto Mono" w:hAnsi="Roboto Mono"/>
                <w:color w:val="188038"/>
                <w:rtl w:val="0"/>
              </w:rPr>
              <w:t xml:space="preserve">Fact_Cierres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Fact_Eventos_SOC</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Fact_Logs</w:t>
            </w:r>
            <w:r w:rsidDel="00000000" w:rsidR="00000000" w:rsidRPr="00000000">
              <w:rPr>
                <w:rtl w:val="0"/>
              </w:rPr>
              <w:t xml:space="preserve">), incluyendo </w:t>
            </w:r>
            <w:r w:rsidDel="00000000" w:rsidR="00000000" w:rsidRPr="00000000">
              <w:rPr>
                <w:i w:val="1"/>
                <w:iCs w:val="1"/>
                <w:rtl w:val="0"/>
              </w:rPr>
              <w:t xml:space="preserve">lookups</w:t>
            </w:r>
            <w:r w:rsidDel="00000000" w:rsidR="00000000" w:rsidRPr="00000000">
              <w:rPr>
                <w:rtl w:val="0"/>
              </w:rPr>
              <w:t xml:space="preserve"> y lógica de </w:t>
            </w:r>
            <w:r w:rsidDel="00000000" w:rsidR="00000000" w:rsidRPr="00000000">
              <w:rPr>
                <w:i w:val="1"/>
                <w:iCs w:val="1"/>
                <w:rtl w:val="0"/>
              </w:rPr>
              <w:t xml:space="preserve">fuzzy matching</w:t>
            </w:r>
            <w:r w:rsidDel="00000000" w:rsidR="00000000" w:rsidRPr="00000000">
              <w:rPr>
                <w:rtl w:val="0"/>
              </w:rPr>
              <w:t xml:space="preserve"> para obtener las claves de dimensión.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447800"/>
                  <wp:effectExtent b="0" l="0" r="0" t="0"/>
                  <wp:docPr id="13"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1771650" cy="144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Etapa 4: Visualización</w:t>
      </w:r>
    </w:p>
    <w:p w:rsidR="00000000" w:rsidDel="00000000" w:rsidP="00000000" w:rsidRDefault="00000000" w:rsidRPr="00000000" w14:paraId="00000046">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Fact_eventos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 todos los hallazgos de seguridad sin importar si provienen de un reporte de cierre o de una alerta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320800"/>
                  <wp:effectExtent b="0" l="0" r="0" t="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771650" cy="1320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Fact_logs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Almacena la información de monitoreo sobre la ingesta de logs por clientes,extraída de los gráficos del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346200"/>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771650" cy="1346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Fact_cierres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Almacena los metadatos de alto nivel de cada reporte de cierre de turno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771650" cy="1295400"/>
                  <wp:effectExtent b="0" l="0" r="0" t="0"/>
                  <wp:docPr id="1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1771650" cy="1295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Elementos/ Aspectos Facilitadores</w:t>
      </w:r>
    </w:p>
    <w:p w:rsidR="00000000" w:rsidDel="00000000" w:rsidP="00000000" w:rsidRDefault="00000000" w:rsidRPr="00000000" w14:paraId="00000056">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detalles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Orquestador n8n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Facilito la conexión rápida y la construcción del flujo. el flujo visual permitio organizar la logica del if y la distribucion de los cuatro caminos de la 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Gemini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La capacidad de gemini flash para naalizar tanto texto de un pdf y alertas de seguridad como las imagenes y graficos, fue el motor clave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uso de bigquery simplifico la fase de carga, debido a su velocidad de ingesta.</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Dificultades enfrentadas</w:t>
      </w:r>
    </w:p>
    <w:p w:rsidR="00000000" w:rsidDel="00000000" w:rsidP="00000000" w:rsidRDefault="00000000" w:rsidRPr="00000000" w14:paraId="00000062">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Dificultad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Impacto y problematica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credenciades OAuth2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proceso de generar y configurar la credenciales Oauth2 para conectar gmail con n8n fue mas complejo de lo provisto ya que no se sabia con exactitud que debiamos comprar un dominio por temas de seguridad para gcp por lo que se detuvo el desarrollo inicial hasta su correcta configuración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Imprecisión de la IA y tipo de extractor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habia consiedrado usar el nodo mas genericos como HTTP Request para la extracción de PDF y Alertas de seguridad. Se confirmo que la IA aveces no es precisa y entrega formatos inconsistentes y fificultanto la extracción es por ello que se eligio el nodo analyze document que es especificamente para extraer datos de distintos formatos.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mal Estructurados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asume que la salida de la ia de los datos cargaria directamente a bigquery. lo que descubrimos que la salida del los datos llagaba desordenada y mal estructurada lo cual rompió la inserción a bigquery</w:t>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Ajustes realizados</w:t>
      </w:r>
    </w:p>
    <w:p w:rsidR="00000000" w:rsidDel="00000000" w:rsidP="00000000" w:rsidRDefault="00000000" w:rsidRPr="00000000" w14:paraId="0000006F">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Ajuste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Juatificación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Imprecisión de la ia y tipo de extractor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Cambio de extractor se opcto por el nodo nativo analyze document ia en lugar de un HTTP Request generico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priorizo la comodidad y la capacidad nativa de n8n/Gemini para manejar el PDF sobre soluciones mas genericas ,acelerando la integración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Imprecisión de la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dividio la extraccion de los PDF en tres partes llamadas a distintas ia con prompt muy especificos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 dividir la tarea, se mejoro significativamente la precision de la ia en cada variable , resolvierdo la dificultad de extracción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masl estructurados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Introducción de nodo code in javascript de saneamiento y validación despies de cada salida de la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codigo se encarga de limpiar la salida, validar la estructura y normalizar los campos a un formato consistente antes de la carga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credenciales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agrego un domino para que la credencial sea usada en el sistema de n8n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GCP no deja acceder a cualquiera es por ello que debimos proveer un dominio y concectarlo para mayor seguridad de los datos.</w:t>
            </w:r>
          </w:p>
        </w:tc>
      </w:tr>
    </w:tbl>
    <w:p w:rsidR="00000000" w:rsidDel="00000000" w:rsidP="00000000" w:rsidRDefault="00000000" w:rsidRPr="00000000" w14:paraId="000000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4.png"/><Relationship Id="rId10" Type="http://schemas.openxmlformats.org/officeDocument/2006/relationships/image" Target="media/image13.png"/><Relationship Id="rId21" Type="http://schemas.openxmlformats.org/officeDocument/2006/relationships/image" Target="media/image9.png"/><Relationship Id="rId13" Type="http://schemas.openxmlformats.org/officeDocument/2006/relationships/image" Target="media/image1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6.png"/><Relationship Id="rId17"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2.png"/><Relationship Id="rId18"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