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each is (reference and value type)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181717"/>
          <w:highlight w:val="white"/>
        </w:rPr>
      </w:pPr>
      <w:r w:rsidDel="00000000" w:rsidR="00000000" w:rsidRPr="00000000">
        <w:rPr>
          <w:color w:val="181717"/>
          <w:highlight w:val="white"/>
          <w:rtl w:val="0"/>
        </w:rPr>
        <w:t xml:space="preserve">A Value Type stores its contents in memory allocated on the stack.</w:t>
      </w:r>
    </w:p>
    <w:p w:rsidR="00000000" w:rsidDel="00000000" w:rsidP="00000000" w:rsidRDefault="00000000" w:rsidRPr="00000000" w14:paraId="00000005">
      <w:pPr>
        <w:jc w:val="both"/>
        <w:rPr>
          <w:color w:val="181717"/>
          <w:highlight w:val="white"/>
        </w:rPr>
      </w:pPr>
      <w:r w:rsidDel="00000000" w:rsidR="00000000" w:rsidRPr="00000000">
        <w:rPr>
          <w:color w:val="181717"/>
          <w:highlight w:val="white"/>
          <w:rtl w:val="0"/>
        </w:rPr>
        <w:t xml:space="preserve">When I created a Value Type, a single space in memory is allocated to store the value and that variable directly holds a value. If I assign it to another variable, the value is copied directly and both variables work independently.</w:t>
      </w:r>
    </w:p>
    <w:p w:rsidR="00000000" w:rsidDel="00000000" w:rsidP="00000000" w:rsidRDefault="00000000" w:rsidRPr="00000000" w14:paraId="00000006">
      <w:pPr>
        <w:jc w:val="both"/>
        <w:rPr>
          <w:color w:val="181717"/>
          <w:highlight w:val="white"/>
        </w:rPr>
      </w:pPr>
      <w:r w:rsidDel="00000000" w:rsidR="00000000" w:rsidRPr="00000000">
        <w:rPr>
          <w:color w:val="181717"/>
          <w:highlight w:val="white"/>
          <w:rtl w:val="0"/>
        </w:rPr>
        <w:t xml:space="preserve">If value got changed in the one method, it wouldn't affect the variable in another method. </w:t>
      </w:r>
      <w:r w:rsidDel="00000000" w:rsidR="00000000" w:rsidRPr="00000000">
        <w:rPr>
          <w:color w:val="181717"/>
          <w:highlight w:val="white"/>
          <w:rtl w:val="0"/>
        </w:rPr>
        <w:t xml:space="preserve">For example Predefined datatypes, structures, </w:t>
      </w:r>
      <w:r w:rsidDel="00000000" w:rsidR="00000000" w:rsidRPr="00000000">
        <w:rPr>
          <w:color w:val="181717"/>
          <w:rtl w:val="0"/>
        </w:rPr>
        <w:t xml:space="preserve">int, float, double, struct, enum</w:t>
      </w:r>
      <w:r w:rsidDel="00000000" w:rsidR="00000000" w:rsidRPr="00000000">
        <w:rPr>
          <w:color w:val="181717"/>
          <w:highlight w:val="white"/>
          <w:rtl w:val="0"/>
        </w:rPr>
        <w:t xml:space="preserve">. It can be created at compile time and Stored in stack memory, because of this, Garbage collector can't access the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20" w:before="32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Reference Type </w:t>
      </w:r>
      <w:r w:rsidDel="00000000" w:rsidR="00000000" w:rsidRPr="00000000">
        <w:rPr>
          <w:color w:val="181717"/>
          <w:highlight w:val="white"/>
          <w:rtl w:val="0"/>
        </w:rPr>
        <w:t xml:space="preserve">contains a pointer to another memory location that holds the data, </w:t>
      </w:r>
      <w:r w:rsidDel="00000000" w:rsidR="00000000" w:rsidRPr="00000000">
        <w:rPr>
          <w:highlight w:val="white"/>
          <w:rtl w:val="0"/>
        </w:rPr>
        <w:t xml:space="preserve">it is</w:t>
      </w:r>
      <w:r w:rsidDel="00000000" w:rsidR="00000000" w:rsidRPr="00000000">
        <w:rPr>
          <w:highlight w:val="white"/>
          <w:rtl w:val="0"/>
        </w:rPr>
        <w:t xml:space="preserve"> used by a reference which holds a reference (address) to the object but not the object itself. Because reference types represent the address of the variable rather than the data itself, assigning a reference variable to another doesn't copy the data. Instead it creates a second copy of the reference, which refers to the same location of the heap as the original value. Reference Type variables are stored in a different area of memory called the heap. This means that when a reference type variable is no longer used, it can be marked for garbage collection. For example Classes, Objects, Arrays, Indexers, Interfaces etc.</w:t>
      </w:r>
    </w:p>
    <w:p w:rsidR="00000000" w:rsidDel="00000000" w:rsidP="00000000" w:rsidRDefault="00000000" w:rsidRPr="00000000" w14:paraId="00000008">
      <w:pPr>
        <w:shd w:fill="ffffff" w:val="clear"/>
        <w:spacing w:after="320" w:before="320" w:lineRule="auto"/>
        <w:jc w:val="both"/>
        <w:rPr>
          <w:highlight w:val="white"/>
        </w:rPr>
      </w:pPr>
      <w:r w:rsidDel="00000000" w:rsidR="00000000" w:rsidRPr="00000000">
        <w:rPr>
          <w:shd w:fill="f9f9f9" w:val="clear"/>
          <w:rtl w:val="0"/>
        </w:rPr>
        <w:t xml:space="preserve">R</w:t>
      </w:r>
      <w:r w:rsidDel="00000000" w:rsidR="00000000" w:rsidRPr="00000000">
        <w:rPr>
          <w:shd w:fill="f9f9f9" w:val="clear"/>
          <w:rtl w:val="0"/>
        </w:rPr>
        <w:t xml:space="preserve">eference type copies memory address and modify the data in that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How are they different</w:t>
      </w:r>
    </w:p>
    <w:p w:rsidR="00000000" w:rsidDel="00000000" w:rsidP="00000000" w:rsidRDefault="00000000" w:rsidRPr="00000000" w14:paraId="0000000A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 value type holds a data value within its own memory space.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 reference type holds a pointer to another memory location that holds the data.</w:t>
      </w:r>
    </w:p>
    <w:p w:rsidR="00000000" w:rsidDel="00000000" w:rsidP="00000000" w:rsidRDefault="00000000" w:rsidRPr="00000000" w14:paraId="0000000D">
      <w:pPr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 value type, the value is copied to the new location, so there are two identical copies of the same value in the memory.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 reference type, the reference is copied while the actual value remains the same.</w:t>
      </w:r>
    </w:p>
    <w:p w:rsidR="00000000" w:rsidDel="00000000" w:rsidP="00000000" w:rsidRDefault="00000000" w:rsidRPr="00000000" w14:paraId="00000010">
      <w:pPr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 value type is stored in the stack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 reference type is stored on the heap.</w:t>
      </w:r>
    </w:p>
    <w:p w:rsidR="00000000" w:rsidDel="00000000" w:rsidP="00000000" w:rsidRDefault="00000000" w:rsidRPr="00000000" w14:paraId="00000013">
      <w:pPr>
        <w:jc w:val="both"/>
        <w:rPr>
          <w:color w:val="333333"/>
          <w:sz w:val="24"/>
          <w:szCs w:val="24"/>
          <w:shd w:fill="f7f9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How they are utilized in iOS, swift and Objective-C</w:t>
      </w:r>
    </w:p>
    <w:p w:rsidR="00000000" w:rsidDel="00000000" w:rsidP="00000000" w:rsidRDefault="00000000" w:rsidRPr="00000000" w14:paraId="00000015">
      <w:pPr>
        <w:jc w:val="both"/>
        <w:rPr>
          <w:color w:val="333333"/>
          <w:sz w:val="24"/>
          <w:szCs w:val="24"/>
          <w:shd w:fill="f7f9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333333"/>
        </w:rPr>
      </w:pPr>
      <w:r w:rsidDel="00000000" w:rsidR="00000000" w:rsidRPr="00000000">
        <w:rPr>
          <w:color w:val="1d1d1f"/>
          <w:rtl w:val="0"/>
        </w:rPr>
        <w:t xml:space="preserve">In swift </w:t>
      </w:r>
      <w:r w:rsidDel="00000000" w:rsidR="00000000" w:rsidRPr="00000000">
        <w:rPr>
          <w:color w:val="1d1d1f"/>
          <w:rtl w:val="0"/>
        </w:rPr>
        <w:t xml:space="preserve">“value types”, where each instance keeps a unique copy of its data, usually defined as a </w:t>
      </w:r>
      <w:r w:rsidDel="00000000" w:rsidR="00000000" w:rsidRPr="00000000">
        <w:rPr>
          <w:b w:val="1"/>
          <w:color w:val="333333"/>
          <w:rtl w:val="0"/>
        </w:rPr>
        <w:t xml:space="preserve">struct</w:t>
      </w:r>
      <w:r w:rsidDel="00000000" w:rsidR="00000000" w:rsidRPr="00000000">
        <w:rPr>
          <w:b w:val="1"/>
          <w:color w:val="1d1d1f"/>
          <w:rtl w:val="0"/>
        </w:rPr>
        <w:t xml:space="preserve">, </w:t>
      </w:r>
      <w:r w:rsidDel="00000000" w:rsidR="00000000" w:rsidRPr="00000000">
        <w:rPr>
          <w:b w:val="1"/>
          <w:color w:val="333333"/>
          <w:rtl w:val="0"/>
        </w:rPr>
        <w:t xml:space="preserve">enum</w:t>
      </w:r>
      <w:r w:rsidDel="00000000" w:rsidR="00000000" w:rsidRPr="00000000">
        <w:rPr>
          <w:b w:val="1"/>
          <w:color w:val="1d1d1f"/>
          <w:rtl w:val="0"/>
        </w:rPr>
        <w:t xml:space="preserve">, or tuple.</w:t>
      </w:r>
      <w:r w:rsidDel="00000000" w:rsidR="00000000" w:rsidRPr="00000000">
        <w:rPr>
          <w:color w:val="1d1d1f"/>
          <w:rtl w:val="0"/>
        </w:rPr>
        <w:t xml:space="preserve"> The second, “reference types”, where instances share a single copy of the data, and the type is usually defined as a</w:t>
      </w:r>
      <w:r w:rsidDel="00000000" w:rsidR="00000000" w:rsidRPr="00000000">
        <w:rPr>
          <w:b w:val="1"/>
          <w:color w:val="1d1d1f"/>
          <w:rtl w:val="0"/>
        </w:rPr>
        <w:t xml:space="preserve"> </w:t>
      </w:r>
      <w:r w:rsidDel="00000000" w:rsidR="00000000" w:rsidRPr="00000000">
        <w:rPr>
          <w:b w:val="1"/>
          <w:color w:val="333333"/>
          <w:rtl w:val="0"/>
        </w:rPr>
        <w:t xml:space="preserve">class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7">
      <w:pPr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In Objective-C, compound data types are represented using </w:t>
      </w:r>
      <w:r w:rsidDel="00000000" w:rsidR="00000000" w:rsidRPr="00000000">
        <w:rPr>
          <w:b w:val="1"/>
          <w:i w:val="1"/>
          <w:color w:val="292929"/>
          <w:highlight w:val="white"/>
          <w:rtl w:val="0"/>
        </w:rPr>
        <w:t xml:space="preserve">@class</w:t>
      </w:r>
      <w:r w:rsidDel="00000000" w:rsidR="00000000" w:rsidRPr="00000000">
        <w:rPr>
          <w:color w:val="292929"/>
          <w:highlight w:val="white"/>
          <w:rtl w:val="0"/>
        </w:rPr>
        <w:t xml:space="preserve"> instances, which are handled using reference semantics. This means that when an instance is assigned or passed as a parameter to a function, the memory allocation represented by the object instance is not copied or duplicated, and can be changed, or mutated, by operations performed on any reference to the instance.</w:t>
      </w:r>
    </w:p>
    <w:p w:rsidR="00000000" w:rsidDel="00000000" w:rsidP="00000000" w:rsidRDefault="00000000" w:rsidRPr="00000000" w14:paraId="00000019">
      <w:pPr>
        <w:jc w:val="both"/>
        <w:rPr>
          <w:color w:val="292929"/>
          <w:highlight w:val="white"/>
        </w:rPr>
      </w:pPr>
      <w:r w:rsidDel="00000000" w:rsidR="00000000" w:rsidRPr="00000000">
        <w:rPr>
          <w:color w:val="292929"/>
          <w:shd w:fill="f9f9f9" w:val="clear"/>
          <w:rtl w:val="0"/>
        </w:rPr>
        <w:t xml:space="preserve">In Objective-C, we can use </w:t>
      </w:r>
      <w:r w:rsidDel="00000000" w:rsidR="00000000" w:rsidRPr="00000000">
        <w:rPr>
          <w:b w:val="1"/>
          <w:color w:val="292929"/>
          <w:shd w:fill="f9f9f9" w:val="clear"/>
          <w:rtl w:val="0"/>
        </w:rPr>
        <w:t xml:space="preserve">NSLog(@"%p", variable)</w:t>
      </w:r>
      <w:r w:rsidDel="00000000" w:rsidR="00000000" w:rsidRPr="00000000">
        <w:rPr>
          <w:color w:val="292929"/>
          <w:shd w:fill="f9f9f9" w:val="clear"/>
          <w:rtl w:val="0"/>
        </w:rPr>
        <w:t xml:space="preserve"> to print out the memory address. Reference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Use a </w:t>
      </w:r>
      <w:r w:rsidDel="00000000" w:rsidR="00000000" w:rsidRPr="00000000">
        <w:rPr>
          <w:b w:val="1"/>
          <w:i w:val="1"/>
          <w:color w:val="444444"/>
          <w:highlight w:val="white"/>
          <w:rtl w:val="0"/>
        </w:rPr>
        <w:t xml:space="preserve">value type</w:t>
      </w:r>
      <w:r w:rsidDel="00000000" w:rsidR="00000000" w:rsidRPr="00000000">
        <w:rPr>
          <w:color w:val="444444"/>
          <w:highlight w:val="white"/>
          <w:rtl w:val="0"/>
        </w:rPr>
        <w:t xml:space="preserve"> when you want copies to have an independent state, and the data will be used in code across multiple threads. </w:t>
      </w:r>
    </w:p>
    <w:p w:rsidR="00000000" w:rsidDel="00000000" w:rsidP="00000000" w:rsidRDefault="00000000" w:rsidRPr="00000000" w14:paraId="0000001C">
      <w:pPr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Use a </w:t>
      </w:r>
      <w:r w:rsidDel="00000000" w:rsidR="00000000" w:rsidRPr="00000000">
        <w:rPr>
          <w:b w:val="1"/>
          <w:i w:val="1"/>
          <w:color w:val="444444"/>
          <w:highlight w:val="white"/>
          <w:rtl w:val="0"/>
        </w:rPr>
        <w:t xml:space="preserve">reference type</w:t>
      </w:r>
      <w:r w:rsidDel="00000000" w:rsidR="00000000" w:rsidRPr="00000000">
        <w:rPr>
          <w:color w:val="444444"/>
          <w:highlight w:val="white"/>
          <w:rtl w:val="0"/>
        </w:rPr>
        <w:t xml:space="preserve"> when comparing instance identity with </w:t>
      </w:r>
      <w:r w:rsidDel="00000000" w:rsidR="00000000" w:rsidRPr="00000000">
        <w:rPr>
          <w:color w:val="444444"/>
          <w:shd w:fill="f8f8f8" w:val="clear"/>
          <w:rtl w:val="0"/>
        </w:rPr>
        <w:t xml:space="preserve">===</w:t>
      </w:r>
      <w:r w:rsidDel="00000000" w:rsidR="00000000" w:rsidRPr="00000000">
        <w:rPr>
          <w:color w:val="444444"/>
          <w:highlight w:val="white"/>
          <w:rtl w:val="0"/>
        </w:rPr>
        <w:t xml:space="preserve"> makes sense. </w:t>
      </w:r>
      <w:r w:rsidDel="00000000" w:rsidR="00000000" w:rsidRPr="00000000">
        <w:rPr>
          <w:color w:val="444444"/>
          <w:shd w:fill="f8f8f8" w:val="clear"/>
          <w:rtl w:val="0"/>
        </w:rPr>
        <w:t xml:space="preserve">===</w:t>
      </w:r>
      <w:r w:rsidDel="00000000" w:rsidR="00000000" w:rsidRPr="00000000">
        <w:rPr>
          <w:color w:val="444444"/>
          <w:highlight w:val="white"/>
          <w:rtl w:val="0"/>
        </w:rPr>
        <w:t xml:space="preserve"> checks if two objects share the same memory address.</w:t>
      </w:r>
    </w:p>
    <w:p w:rsidR="00000000" w:rsidDel="00000000" w:rsidP="00000000" w:rsidRDefault="00000000" w:rsidRPr="00000000" w14:paraId="0000001E">
      <w:pPr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Pros and Cons to either</w:t>
      </w:r>
    </w:p>
    <w:p w:rsidR="00000000" w:rsidDel="00000000" w:rsidP="00000000" w:rsidRDefault="00000000" w:rsidRPr="00000000" w14:paraId="00000020">
      <w:pPr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Pros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independent state in value type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share the same memory address reference type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too many points with the same reference type</w:t>
      </w:r>
    </w:p>
    <w:p w:rsidR="00000000" w:rsidDel="00000000" w:rsidP="00000000" w:rsidRDefault="00000000" w:rsidRPr="00000000" w14:paraId="00000025">
      <w:pPr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Cons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color w:val="444444"/>
          <w:highlight w:val="white"/>
        </w:rPr>
      </w:pPr>
      <w:r w:rsidDel="00000000" w:rsidR="00000000" w:rsidRPr="00000000">
        <w:rPr>
          <w:color w:val="333333"/>
          <w:rtl w:val="0"/>
        </w:rPr>
        <w:t xml:space="preserve">memory space in value type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the value change in value type when the same variable is used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142875</wp:posOffset>
            </wp:positionV>
            <wp:extent cx="5731200" cy="44323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152400</wp:posOffset>
            </wp:positionV>
            <wp:extent cx="5731200" cy="44323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