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02_Research_Objectives</w:t>
      </w:r>
    </w:p>
    <w:p>
      <w:pPr>
        <w:jc w:val="center"/>
      </w:pPr>
      <w:r>
        <w:rPr>
          <w:b/>
          <w:sz w:val="36"/>
        </w:rPr>
        <w:t>ОБЪЕКТ, ПРЕДМЕТ, ЦЕЛЬ И ГРАНИЦЫ ИССЛЕДОВАНИЯ</w:t>
      </w:r>
    </w:p>
    <w:p>
      <w:pPr>
        <w:jc w:val="center"/>
      </w:pPr>
      <w:r>
        <w:rPr>
          <w:i/>
        </w:rPr>
        <w:t>Тема: «Исследование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авиации»</w:t>
      </w:r>
    </w:p>
    <w:p>
      <w:pPr>
        <w:jc w:val="center"/>
      </w:pPr>
      <w:r>
        <w:rPr>
          <w:sz w:val="20"/>
        </w:rPr>
        <w:t>Магистратура · системный анализ и управление · рабочая версия 1.0</w:t>
      </w:r>
    </w:p>
    <w:p>
      <w:r>
        <w:rPr>
          <w:b/>
        </w:rPr>
        <w:t xml:space="preserve">Назначение документа. </w:t>
      </w:r>
      <w:r>
        <w:t>Этот документ фиксирует результат второго рабочего дня: точное разделение объекта, предмета, цели и границ магистерского исследования. Формулировки должны быть достаточно узкими для выполнения работы в условиях ограниченного доступа к корпоративным системам, но достаточно широкими, чтобы будущая подсистема не превратилась в надстройку, привязанную к одному продукту или одному предприятию.</w:t>
      </w:r>
    </w:p>
    <w:p>
      <w:pPr>
        <w:pStyle w:val="Heading1"/>
      </w:pPr>
      <w:r>
        <w:t>1. Рабочая формулировка темы</w:t>
      </w:r>
    </w:p>
    <w:p>
      <w:pPr>
        <w:spacing w:after="160"/>
      </w:pPr>
      <w:r>
        <w:t>«Исследование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cantSplit/>
          <w:tblHeader w:val="true"/>
        </w:trPr>
        <w:tc>
          <w:tcPr>
            <w:tcW w:type="dxa" w:w="3248"/>
            <w:shd w:fill="EDEDED"/>
            <w:vAlign w:val="center"/>
          </w:tcPr>
          <w:p>
            <w:r>
              <w:rPr>
                <w:rFonts w:ascii="Times New Roman" w:hAnsi="Times New Roman"/>
                <w:sz w:val="21"/>
              </w:rPr>
              <w:t>Элемент темы</w:t>
            </w:r>
          </w:p>
        </w:tc>
        <w:tc>
          <w:tcPr>
            <w:tcW w:type="dxa" w:w="3248"/>
            <w:shd w:fill="EDEDED"/>
            <w:vAlign w:val="center"/>
          </w:tcPr>
          <w:p>
            <w:r>
              <w:rPr>
                <w:rFonts w:ascii="Times New Roman" w:hAnsi="Times New Roman"/>
                <w:sz w:val="21"/>
              </w:rPr>
              <w:t>Что он означает в исследовании</w:t>
            </w:r>
          </w:p>
        </w:tc>
        <w:tc>
          <w:tcPr>
            <w:tcW w:type="dxa" w:w="3248"/>
            <w:shd w:fill="EDEDED"/>
            <w:vAlign w:val="center"/>
          </w:tcPr>
          <w:p>
            <w:r>
              <w:rPr>
                <w:rFonts w:ascii="Times New Roman" w:hAnsi="Times New Roman"/>
                <w:sz w:val="21"/>
              </w:rPr>
              <w:t>Что это запрещает делать слишком рано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Исследование проблемы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Выявление и обоснование конкретных проблем управления процессами ТОиР, а не просто описание предметной области.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Нельзя заранее считать выбранное решение эффективным до анализа фактического процесса.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Подсистема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Дополнительный программный/аналитический слой, который взаимодействует с существующей инфраструктурой.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Не требуется создавать замену корпоративной MRO/ERP-системе.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Интеллектуальное управление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Использование анализа событий, показателей, правил и/или моделей для выявления отклонений и поддержки решений.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Нельзя называть систему «интеллектуальной» только из-за наличия интерфейса или отчетов.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Бизнес-процессы ТОиР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Последовательности работ, ролей, решений и информационных обменов, сопровождающих техническое обслуживание и ремонт.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Конструкция двигателя и физическая диагностика оборудования не становятся автоматически объектом диплома.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Предприятие гражданской авиации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Контекст, в котором проблема наиболее наглядна и где выполняется апробация подхода.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Times New Roman" w:hAnsi="Times New Roman"/>
                <w:sz w:val="21"/>
              </w:rPr>
              <w:t>Результат не должен быть концептуально применим только к одной внутренней системе предприятия.</w:t>
            </w:r>
          </w:p>
        </w:tc>
      </w:tr>
    </w:tbl>
    <w:p>
      <w:pPr>
        <w:pStyle w:val="Heading1"/>
      </w:pPr>
      <w:r>
        <w:t>2. Объект исследования</w:t>
      </w:r>
    </w:p>
    <w:p>
      <w:r>
        <w:rPr>
          <w:b/>
        </w:rPr>
        <w:t xml:space="preserve">Основная формулировка: </w:t>
      </w:r>
      <w:r>
        <w:t>«Объектом исследования являются бизнес-процессы технического обслуживания и ремонта авиационной техники на предприятии гражданской авиации».</w:t>
      </w:r>
    </w:p>
    <w:p>
      <w:r>
        <w:t>В объект включаются прежде всего управленческие и информационные стороны выполнения технических работ: возникновение потребности, формирование и движение задач, планирование, назначение исполнителей, выполнение, контроль, закрытие, передача информации между участниками и системами. При этом само техническое состояние двигателя, конструкция агрегатов и физические методы ремонта рассматриваются только в той мере, в какой они непосредственно влияют на исследуемый процесс.</w:t>
      </w:r>
    </w:p>
    <w:p>
      <w:r>
        <w:t>Такое определение позволяет сохранить связь с реальной эксплуатацией авиационной техники, но не превращать магистерскую работу в исследование авиационной инженерии. Центральным объектом остается именно процесс как управляемая последовательность действий, состояний, событий и информационных взаимодействий.</w:t>
      </w:r>
    </w:p>
    <w:p>
      <w:pPr>
        <w:pStyle w:val="Heading1"/>
      </w:pPr>
      <w:r>
        <w:t>3. Предмет исследования</w:t>
      </w:r>
    </w:p>
    <w:p>
      <w:r>
        <w:rPr>
          <w:b/>
        </w:rPr>
        <w:t xml:space="preserve">Основная формулировка: </w:t>
      </w:r>
      <w:r>
        <w:t>«Предметом исследования являются методы и информационные средства анализа, мониторинга и интеллектуальной поддержки управления бизнес-процессами технического обслуживания и ремонта авиационной техники».</w:t>
      </w:r>
    </w:p>
    <w:p>
      <w:r>
        <w:t>Предмет намеренно сформулирован уже объекта. Исследование не предполагает изучать все свойства процессов ТОиР. Нас интересует тот их аспект, который связан с тем, как процесс можно представить в данных, наблюдать по событиям и состояниям, анализировать, обнаруживать отклонения и использовать полученную информацию для управленческого решения.</w:t>
      </w:r>
    </w:p>
    <w:p>
      <w:pPr>
        <w:pStyle w:val="Heading1"/>
      </w:pPr>
      <w:r>
        <w:t>4. Разделение объекта и предмета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cantSplit/>
          <w:tblHeader w:val="true"/>
        </w:trPr>
        <w:tc>
          <w:tcPr>
            <w:tcW w:type="dxa" w:w="3248"/>
            <w:shd w:fill="EDEDED"/>
          </w:tcPr>
          <w:p>
            <w:r>
              <w:rPr>
                <w:rFonts w:ascii="Times New Roman" w:hAnsi="Times New Roman"/>
                <w:sz w:val="21"/>
              </w:rPr>
              <w:t>Вопрос</w:t>
            </w:r>
          </w:p>
        </w:tc>
        <w:tc>
          <w:tcPr>
            <w:tcW w:type="dxa" w:w="3248"/>
            <w:shd w:fill="EDEDED"/>
          </w:tcPr>
          <w:p>
            <w:r>
              <w:rPr>
                <w:rFonts w:ascii="Times New Roman" w:hAnsi="Times New Roman"/>
                <w:sz w:val="21"/>
              </w:rPr>
              <w:t>Ответ</w:t>
            </w:r>
          </w:p>
        </w:tc>
        <w:tc>
          <w:tcPr>
            <w:tcW w:type="dxa" w:w="3248"/>
            <w:shd w:fill="EDEDED"/>
          </w:tcPr>
          <w:p>
            <w:r>
              <w:rPr>
                <w:rFonts w:ascii="Times New Roman" w:hAnsi="Times New Roman"/>
                <w:sz w:val="21"/>
              </w:rPr>
              <w:t>Практическое следствие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Что исследуется?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Бизнес-процессы ТОиР авиационной техники.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Нужно исследовать реальные последовательности работ, участников, состояния, информационные потоки и отклонения.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Какой аспект исследуется?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Анализ, мониторинг и интеллектуальная поддержка управления.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Нужны методы представления событий, контроля состояния процесса и поддержки решений.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Что не является самостоятельным объектом?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Конкретная корпоративная система, ее исходный код или БД.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Закрытость КУПОЛ и других систем не блокирует диплом.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Что является результатом применения предмета?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Обоснованная подсистема дополнительной поддержки управления.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Архитектура решения должна допускать разные источники данных и существующую инфраструктуру.</w:t>
            </w:r>
          </w:p>
        </w:tc>
      </w:tr>
    </w:tbl>
    <w:p>
      <w:pPr>
        <w:pStyle w:val="Heading1"/>
      </w:pPr>
      <w:r>
        <w:t>5. Цель исследования</w:t>
      </w:r>
    </w:p>
    <w:p>
      <w:r>
        <w:rPr>
          <w:b/>
        </w:rPr>
        <w:t xml:space="preserve">Рабочая формулировка цели: </w:t>
      </w:r>
      <w:r>
        <w:t>«Исследование проблем управления бизнес-процессами технического обслуживания и ремонта авиационной техники и разработка подсистемы интеллектуальной поддержки управления данными процессами на основе анализа их фактического выполнения».</w:t>
      </w:r>
    </w:p>
    <w:p>
      <w:r>
        <w:t>В этой формулировке есть две связанные части. Первая — исследовательская: необходимо понять, какие проблемы возникают при управлении процессом, где находятся задержки, информационные разрывы, повторные действия и другие отклонения. Вторая — прикладная: на основе результатов анализа обосновать и в дальнейшем разработать дополнительную подсистему, которая помогает своевременно видеть состояние процесса и поддерживает принятие решений.</w:t>
      </w:r>
    </w:p>
    <w:p>
      <w:r>
        <w:t>Ключевым является выражение «на основе анализа фактического выполнения». Это означает, что будущая работа должна учитывать не только нормативную или идеальную схему процесса, но и реально возникающие события: начало и окончание операций, ожидания, возвраты, передачи между исполнителями, изменение статусов и другие наблюдаемые признаки течения процесса.</w:t>
      </w:r>
    </w:p>
    <w:p>
      <w:pPr>
        <w:pStyle w:val="Heading1"/>
      </w:pPr>
      <w:r>
        <w:t>6. Декомпозиция цели на рабочие направления</w:t>
      </w:r>
    </w:p>
    <w:p>
      <w:pPr>
        <w:spacing w:after="80"/>
      </w:pPr>
      <w:r>
        <w:rPr>
          <w:b/>
        </w:rPr>
        <w:t xml:space="preserve">Исследовательское направление: </w:t>
      </w:r>
      <w:r>
        <w:t>Уточнить предметную область, выбрать основной процесс и описать его фактическую организацию.</w:t>
      </w:r>
    </w:p>
    <w:p>
      <w:pPr>
        <w:spacing w:after="80"/>
      </w:pPr>
      <w:r>
        <w:rPr>
          <w:b/>
        </w:rPr>
        <w:t xml:space="preserve">Аналитическое направление: </w:t>
      </w:r>
      <w:r>
        <w:t>Выявить отклонения, информационные разрывы, узкие места, зависимости сроков и другие факторы, влияющие на управление процессом.</w:t>
      </w:r>
    </w:p>
    <w:p>
      <w:pPr>
        <w:spacing w:after="80"/>
      </w:pPr>
      <w:r>
        <w:rPr>
          <w:b/>
        </w:rPr>
        <w:t xml:space="preserve">Информационное направление: </w:t>
      </w:r>
      <w:r>
        <w:t>Определить, какие данные, события, статусы, документы и показатели необходимы для наблюдения за процессом.</w:t>
      </w:r>
    </w:p>
    <w:p>
      <w:pPr>
        <w:spacing w:after="80"/>
      </w:pPr>
      <w:r>
        <w:rPr>
          <w:b/>
        </w:rPr>
        <w:t xml:space="preserve">Системное направление: </w:t>
      </w:r>
      <w:r>
        <w:t>Определить место будущей подсистемы относительно существующих корпоративных систем и ручных операций.</w:t>
      </w:r>
    </w:p>
    <w:p>
      <w:pPr>
        <w:spacing w:after="80"/>
      </w:pPr>
      <w:r>
        <w:rPr>
          <w:b/>
        </w:rPr>
        <w:t xml:space="preserve">Прикладное направление: </w:t>
      </w:r>
      <w:r>
        <w:t>Обосновать функции будущей подсистемы и условия ее применения без замены существующей MRO/ERP-инфраструктуры.</w:t>
      </w:r>
    </w:p>
    <w:p>
      <w:pPr>
        <w:pStyle w:val="Heading1"/>
      </w:pPr>
      <w:r>
        <w:t>7. Границы исследования</w:t>
      </w:r>
    </w:p>
    <w:p>
      <w:pPr>
        <w:pStyle w:val="Heading2"/>
      </w:pPr>
      <w:r>
        <w:t>7.1. Внутренняя граница</w:t>
      </w:r>
    </w:p>
    <w:p>
      <w:pPr>
        <w:pStyle w:val="ListBullet"/>
        <w:spacing w:after="60"/>
      </w:pPr>
      <w:r>
        <w:t>управление выполнением технических работ и связанных с ними задач;</w:t>
      </w:r>
    </w:p>
    <w:p>
      <w:pPr>
        <w:pStyle w:val="ListBullet"/>
        <w:spacing w:after="60"/>
      </w:pPr>
      <w:r>
        <w:t>роли участников и распределение ответственности;</w:t>
      </w:r>
    </w:p>
    <w:p>
      <w:pPr>
        <w:pStyle w:val="ListBullet"/>
        <w:spacing w:after="60"/>
      </w:pPr>
      <w:r>
        <w:t>состояния технической задачи и переходы между состояниями;</w:t>
      </w:r>
    </w:p>
    <w:p>
      <w:pPr>
        <w:pStyle w:val="ListBullet"/>
        <w:spacing w:after="60"/>
      </w:pPr>
      <w:r>
        <w:t>входы, выходы, документы и информационные объекты процесса;</w:t>
      </w:r>
    </w:p>
    <w:p>
      <w:pPr>
        <w:pStyle w:val="ListBullet"/>
        <w:spacing w:after="60"/>
      </w:pPr>
      <w:r>
        <w:t>ручные операции и передачи информации между системами и подразделениями;</w:t>
      </w:r>
    </w:p>
    <w:p>
      <w:pPr>
        <w:pStyle w:val="ListBullet"/>
        <w:spacing w:after="60"/>
      </w:pPr>
      <w:r>
        <w:t>ожидания, повторные действия, возвраты и другие отклонения фактического процесса;</w:t>
      </w:r>
    </w:p>
    <w:p>
      <w:pPr>
        <w:pStyle w:val="ListBullet"/>
        <w:spacing w:after="60"/>
      </w:pPr>
      <w:r>
        <w:t>узкие места, риски и факторы, влияющие на сроки, ресурсы и результативность;</w:t>
      </w:r>
    </w:p>
    <w:p>
      <w:pPr>
        <w:pStyle w:val="ListBullet"/>
        <w:spacing w:after="60"/>
      </w:pPr>
      <w:r>
        <w:t>существующие средства информационной поддержки на функциональном уровне;</w:t>
      </w:r>
    </w:p>
    <w:p>
      <w:pPr>
        <w:pStyle w:val="ListBullet"/>
        <w:spacing w:after="60"/>
      </w:pPr>
      <w:r>
        <w:t>требования к дополнительной подсистеме интеллектуальной поддержки управления.</w:t>
      </w:r>
    </w:p>
    <w:p>
      <w:pPr>
        <w:pStyle w:val="Heading2"/>
      </w:pPr>
      <w:r>
        <w:t>7.2. Внешняя граница</w:t>
      </w:r>
    </w:p>
    <w:p>
      <w:pPr>
        <w:pStyle w:val="ListBullet"/>
        <w:spacing w:after="60"/>
      </w:pPr>
      <w:r>
        <w:t>авиационные технологические регламенты и нормативные требования рассматриваются как ограничения предметной области, но не изменяются в рамках диплома;</w:t>
      </w:r>
    </w:p>
    <w:p>
      <w:pPr>
        <w:pStyle w:val="ListBullet"/>
        <w:spacing w:after="60"/>
      </w:pPr>
      <w:r>
        <w:t>конструкция авиационного двигателя, проектирование агрегатов и физические методы ремонта не являются самостоятельными направлениями работы;</w:t>
      </w:r>
    </w:p>
    <w:p>
      <w:pPr>
        <w:pStyle w:val="ListBullet"/>
        <w:spacing w:after="60"/>
      </w:pPr>
      <w:r>
        <w:t>конкретные корпоративные системы рассматриваются по их роли в процессе, но их внутренняя реализация не исследуется без официального доступа;</w:t>
      </w:r>
    </w:p>
    <w:p>
      <w:pPr>
        <w:pStyle w:val="ListBullet"/>
        <w:spacing w:after="60"/>
      </w:pPr>
      <w:r>
        <w:t>коммерчески чувствительные, персональные и иные закрытые данные используются только в пределах разрешенного доступа.</w:t>
      </w:r>
    </w:p>
    <w:p>
      <w:pPr>
        <w:pStyle w:val="Heading2"/>
      </w:pPr>
      <w:r>
        <w:t>7.3. Что принципиально не входит в диплом</w:t>
      </w:r>
    </w:p>
    <w:p>
      <w:pPr>
        <w:pStyle w:val="ListBullet"/>
        <w:spacing w:after="60"/>
      </w:pPr>
      <w:r>
        <w:t>разработка полноценной замены MRO/ERP-системы предприятия;</w:t>
      </w:r>
    </w:p>
    <w:p>
      <w:pPr>
        <w:pStyle w:val="ListBullet"/>
        <w:spacing w:after="60"/>
      </w:pPr>
      <w:r>
        <w:t>исследование исходного кода, внутренней базы данных или закрытой архитектуры КУПОЛ;</w:t>
      </w:r>
    </w:p>
    <w:p>
      <w:pPr>
        <w:pStyle w:val="ListBullet"/>
        <w:spacing w:after="60"/>
      </w:pPr>
      <w:r>
        <w:t>обязательное получение прямого доступа к КУПОЛ или другим закрытым системам;</w:t>
      </w:r>
    </w:p>
    <w:p>
      <w:pPr>
        <w:pStyle w:val="ListBullet"/>
        <w:spacing w:after="60"/>
      </w:pPr>
      <w:r>
        <w:t>автоматизация физического управления авиационным оборудованием;</w:t>
      </w:r>
    </w:p>
    <w:p>
      <w:pPr>
        <w:pStyle w:val="ListBullet"/>
        <w:spacing w:after="60"/>
      </w:pPr>
      <w:r>
        <w:t>изменение конструкции двигателя или технологических требований к его ремонту;</w:t>
      </w:r>
    </w:p>
    <w:p>
      <w:pPr>
        <w:pStyle w:val="ListBullet"/>
        <w:spacing w:after="60"/>
      </w:pPr>
      <w:r>
        <w:t>создание решения, применимого только к одному конкретному программному продукту.</w:t>
      </w:r>
    </w:p>
    <w:p>
      <w:pPr>
        <w:pStyle w:val="Heading1"/>
      </w:pPr>
      <w:r>
        <w:t>8. Предварительная граница основного процесса</w:t>
      </w:r>
    </w:p>
    <w:p>
      <w:pPr>
        <w:jc w:val="center"/>
      </w:pPr>
      <w:r>
        <w:rPr>
          <w:b/>
        </w:rPr>
        <w:t>Возникновение потребности → регистрация → анализ → планирование → обеспечение → назначение → выполнение → контроль → закрытие</w:t>
      </w:r>
    </w:p>
    <w:p>
      <w:r>
        <w:t>Эта последовательность пока является концептуальной рамкой, а не утвержденной AS-IS моделью. На последующих этапах ее необходимо проверить по фактической практике предприятия. При необходимости один или несколько этапов будут выделены как отдельные процессы, подпроцессы или связанные цепочки.</w:t>
      </w:r>
    </w:p>
    <w:p>
      <w:pPr>
        <w:pStyle w:val="Heading1"/>
      </w:pPr>
      <w:r>
        <w:t>9. Ограничение, связанное с закрытостью корпоративных систем</w:t>
      </w:r>
    </w:p>
    <w:p>
      <w:r>
        <w:t>Отсутствие прямого доступа к внутренним данным и архитектуре корпоративных систем не должно превращаться в методологическую слабость диплома. Оно должно быть явно зафиксировано как ограничение и учтено в дизайне исследования.</w:t>
      </w:r>
    </w:p>
    <w:p>
      <w:r>
        <w:t>Исследование может опираться на доступные и разрешенные формы представления предметной области: наблюдение за процессом, интервью со специалистами, обезличенные описания, функциональные сведения о системах, документы без чувствительной информации, синтетические журналы событий и результаты моделирования. При этом нельзя выдавать синтетические или предположительные данные за реальные данные предприятия.</w:t>
      </w:r>
    </w:p>
    <w:p>
      <w:r>
        <w:t>Таким образом, объект и предмет диплома определены независимо от конкретного поставщика информационной системы. Это сохраняет научную и практическую ценность работы даже при ограниченном доступе к корпоративной ИТ-среде.</w:t>
      </w:r>
    </w:p>
    <w:p>
      <w:pPr>
        <w:pStyle w:val="Heading1"/>
      </w:pPr>
      <w:r>
        <w:t>10. Связь объекта, предмета, цели и будущего решения</w:t>
      </w:r>
    </w:p>
    <w:p>
      <w:r>
        <w:t>Логика исследования должна оставаться сквозной:</w:t>
      </w:r>
    </w:p>
    <w:p>
      <w:pPr>
        <w:pStyle w:val="ListNumber"/>
        <w:spacing w:after="60"/>
      </w:pPr>
      <w:r>
        <w:t>Объект — бизнес-процессы ТОиР.</w:t>
      </w:r>
    </w:p>
    <w:p>
      <w:pPr>
        <w:pStyle w:val="ListNumber"/>
        <w:spacing w:after="60"/>
      </w:pPr>
      <w:r>
        <w:t>Предмет — методы и средства их анализа, мониторинга и интеллектуальной поддержки управления.</w:t>
      </w:r>
    </w:p>
    <w:p>
      <w:pPr>
        <w:pStyle w:val="ListNumber"/>
        <w:spacing w:after="60"/>
      </w:pPr>
      <w:r>
        <w:t>Проблема — недостаточная прозрачность, управляемость и предсказуемость сложных процессов при наличии множества участников, информационных источников и ручных операций.</w:t>
      </w:r>
    </w:p>
    <w:p>
      <w:pPr>
        <w:pStyle w:val="ListNumber"/>
        <w:spacing w:after="60"/>
      </w:pPr>
      <w:r>
        <w:t>Цель — исследовать эту проблему и разработать дополнительную подсистему поддержки управления на основе фактического выполнения процесса.</w:t>
      </w:r>
    </w:p>
    <w:p>
      <w:pPr>
        <w:pStyle w:val="ListNumber"/>
        <w:spacing w:after="60"/>
      </w:pPr>
      <w:r>
        <w:t>Будущий результат — не новая корпоративная MRO/ERP-система, а независимый аналитический и управленческий слой, который может получать сведения из разных источников и формировать единое представление о состоянии процесса.</w:t>
      </w:r>
    </w:p>
    <w:p>
      <w:pPr>
        <w:pStyle w:val="Heading1"/>
      </w:pPr>
      <w:r>
        <w:t>11. Проверка качества постановки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cantSplit/>
          <w:tblHeader w:val="true"/>
        </w:trPr>
        <w:tc>
          <w:tcPr>
            <w:tcW w:type="dxa" w:w="3248"/>
            <w:shd w:fill="EDEDED"/>
          </w:tcPr>
          <w:p>
            <w:r>
              <w:rPr>
                <w:rFonts w:ascii="Times New Roman" w:hAnsi="Times New Roman"/>
                <w:sz w:val="21"/>
              </w:rPr>
              <w:t>Критерий</w:t>
            </w:r>
          </w:p>
        </w:tc>
        <w:tc>
          <w:tcPr>
            <w:tcW w:type="dxa" w:w="3248"/>
            <w:shd w:fill="EDEDED"/>
          </w:tcPr>
          <w:p>
            <w:r>
              <w:rPr>
                <w:rFonts w:ascii="Times New Roman" w:hAnsi="Times New Roman"/>
                <w:sz w:val="21"/>
              </w:rPr>
              <w:t>Проверка</w:t>
            </w:r>
          </w:p>
        </w:tc>
        <w:tc>
          <w:tcPr>
            <w:tcW w:type="dxa" w:w="3248"/>
            <w:shd w:fill="EDEDED"/>
          </w:tcPr>
          <w:p>
            <w:r>
              <w:rPr>
                <w:rFonts w:ascii="Times New Roman" w:hAnsi="Times New Roman"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Однозначность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Понятно, что именно исследуется.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Да: бизнес-процессы ТОиР.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Различимость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Объект не смешан с предметом.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Да.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Выполнимость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Работа возможна без доступа к исходному коду и БД закрытых систем.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Да, при использовании разрешенных структурных данных и альтернативных источников.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Независимость от продукта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Тема не привязана к КУПОЛ как к единственному объекту.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Да.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Практическая направленность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Есть понятный прикладной результат.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Да: дополнительная подсистема интеллектуальной поддержки управления.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Исследовательская проверяемость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Проблему можно проверять через наблюдение, моделирование и анализ данных событий.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Предварительно да; окончательно подтверждается после анализа предметной области.</w:t>
            </w:r>
          </w:p>
        </w:tc>
      </w:tr>
      <w:tr>
        <w:trPr>
          <w:cantSplit/>
        </w:trPr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Ограниченность объема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Тема не требует изучать весь жизненный цикл воздушного судна целиком.</w:t>
            </w:r>
          </w:p>
        </w:tc>
        <w:tc>
          <w:tcPr>
            <w:tcW w:type="dxa" w:w="32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Times New Roman" w:hAnsi="Times New Roman"/>
                <w:sz w:val="21"/>
              </w:rPr>
              <w:t>Да, фокус на бизнес-процессах ТОиР и их информационной поддержке.</w:t>
            </w:r>
          </w:p>
        </w:tc>
      </w:tr>
    </w:tbl>
    <w:p>
      <w:pPr>
        <w:pStyle w:val="Heading1"/>
      </w:pPr>
      <w:r>
        <w:t>12. Что зафиксировано после второго дня</w:t>
      </w:r>
    </w:p>
    <w:p>
      <w:pPr>
        <w:pStyle w:val="ListBullet"/>
        <w:spacing w:after="60"/>
      </w:pPr>
      <w:r>
        <w:t>объект исследования сформулирован на уровне бизнес-процессов ТОиР;</w:t>
      </w:r>
    </w:p>
    <w:p>
      <w:pPr>
        <w:pStyle w:val="ListBullet"/>
        <w:spacing w:after="60"/>
      </w:pPr>
      <w:r>
        <w:t>предмет ограничен методами и информационными средствами анализа, мониторинга и интеллектуальной поддержки;</w:t>
      </w:r>
    </w:p>
    <w:p>
      <w:pPr>
        <w:pStyle w:val="ListBullet"/>
        <w:spacing w:after="60"/>
      </w:pPr>
      <w:r>
        <w:t>цель связывает исследование проблемы с разработкой подсистемы;</w:t>
      </w:r>
    </w:p>
    <w:p>
      <w:pPr>
        <w:pStyle w:val="ListBullet"/>
        <w:spacing w:after="60"/>
      </w:pPr>
      <w:r>
        <w:t>границы не требуют доступа к внутренней архитектуре КУПОЛ и других закрытых систем;</w:t>
      </w:r>
    </w:p>
    <w:p>
      <w:pPr>
        <w:pStyle w:val="ListBullet"/>
        <w:spacing w:after="60"/>
      </w:pPr>
      <w:r>
        <w:t>основной процесс задан только как предварительная концептуальная рамка и не считается окончательным AS-IS;</w:t>
      </w:r>
    </w:p>
    <w:p>
      <w:pPr>
        <w:pStyle w:val="ListBullet"/>
        <w:spacing w:after="60"/>
      </w:pPr>
      <w:r>
        <w:t>будущий продукт рассматривается как дополнительный аналитический и управленческий слой над существующей информационной инфраструктурой.</w:t>
      </w:r>
    </w:p>
    <w:p>
      <w:pPr>
        <w:pStyle w:val="ListBullet"/>
        <w:spacing w:after="60"/>
      </w:pPr>
      <w:r>
        <w:t>формулировки сохраняют возможность последующей проверки и уточнения по результатам изучения предметной области.</w:t>
      </w:r>
    </w:p>
    <w:p>
      <w:pPr>
        <w:pStyle w:val="Heading1"/>
      </w:pPr>
      <w:r>
        <w:t>13. Контрольный список на конец вторника</w:t>
      </w:r>
    </w:p>
    <w:p>
      <w:pPr>
        <w:pStyle w:val="ListBullet"/>
        <w:spacing w:after="60"/>
      </w:pPr>
      <w:r>
        <w:t>□ Я могу одним предложением объяснить объект исследования.</w:t>
      </w:r>
    </w:p>
    <w:p>
      <w:pPr>
        <w:pStyle w:val="ListBullet"/>
        <w:spacing w:after="60"/>
      </w:pPr>
      <w:r>
        <w:t>□ Я могу одним предложением объяснить предмет исследования.</w:t>
      </w:r>
    </w:p>
    <w:p>
      <w:pPr>
        <w:pStyle w:val="ListBullet"/>
        <w:spacing w:after="60"/>
      </w:pPr>
      <w:r>
        <w:t>□ Цель связана и с исследованием проблемы, и с будущей разработкой.</w:t>
      </w:r>
    </w:p>
    <w:p>
      <w:pPr>
        <w:pStyle w:val="ListBullet"/>
        <w:spacing w:after="60"/>
      </w:pPr>
      <w:r>
        <w:t>□ В документе явно указано, что КУПОЛ не является объектом оптимизации или замены.</w:t>
      </w:r>
    </w:p>
    <w:p>
      <w:pPr>
        <w:pStyle w:val="ListBullet"/>
        <w:spacing w:after="60"/>
      </w:pPr>
      <w:r>
        <w:t>□ Явно зафиксировано, что доступ к закрытым системам не является обязательным условием выполнения диплома.</w:t>
      </w:r>
    </w:p>
    <w:p>
      <w:pPr>
        <w:pStyle w:val="ListBullet"/>
        <w:spacing w:after="60"/>
      </w:pPr>
      <w:r>
        <w:t>□ Определена предварительная граница основного процесса.</w:t>
      </w:r>
    </w:p>
    <w:p>
      <w:pPr>
        <w:pStyle w:val="ListBullet"/>
        <w:spacing w:after="60"/>
      </w:pPr>
      <w:r>
        <w:t>□ Зафиксировано различие между фактическим процессом и его будущей детальной AS-IS моделью.</w:t>
      </w:r>
    </w:p>
    <w:p>
      <w:pPr>
        <w:pStyle w:val="ListBullet"/>
        <w:spacing w:after="60"/>
      </w:pPr>
      <w:r>
        <w:t>□ Формулировки допускают дальнейшее уточнение после изучения предметной области и консультаций со специалистами.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8"/>
      </w:rPr>
      <w:t>Магистерское исследование · Рабочий документ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4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9" w:lineRule="auto"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59" w:lineRule="auto"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59" w:lineRule="auto"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59" w:lineRule="auto" w:after="4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02_Research_Objectives — Объект, предмет, цель и границы исследования</dc:title>
  <dc:subject>Магистерское исследование по интеллектуальному управлению бизнес-процессами ТОиР авиационной техники</dc:subject>
  <dc:creator/>
  <cp:keywords>магистерская диссертация, ТОиР, бизнес-процессы, объект, предмет, цель, границы исследования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