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p>
      <w:pPr>
        <w:spacing w:after="80"/>
        <w:jc w:val="center"/>
      </w:pPr>
      <w:r>
        <w:rPr>
          <w:rFonts w:ascii="Times New Roman" w:cs="Times New Roman" w:eastAsia="Times New Roman" w:hAnsi="Times New Roman"/>
          <w:b/>
          <w:bCs/>
          <w:sz w:val="24"/>
          <w:szCs w:val="24"/>
        </w:rPr>
        <w:t xml:space="preserve">Gazi Üniversitesi</w:t>
      </w:r>
    </w:p>
    <w:p>
      <w:pPr>
        <w:spacing w:after="280"/>
        <w:jc w:val="center"/>
      </w:pPr>
      <w:r>
        <w:rPr>
          <w:rFonts w:ascii="Times New Roman" w:cs="Times New Roman" w:eastAsia="Times New Roman" w:hAnsi="Times New Roman"/>
          <w:b/>
          <w:bCs/>
          <w:sz w:val="24"/>
          <w:szCs w:val="24"/>
        </w:rPr>
        <w:t xml:space="preserve">Bilgisayar Mühendisliği Bölümü</w:t>
      </w:r>
    </w:p>
    <w:p>
      <w:pPr>
        <w:pBdr>
          <w:bottom w:val="single" w:color="1F3864" w:sz="6" w:space="1"/>
        </w:pBdr>
        <w:spacing w:after="280"/>
      </w:pPr>
    </w:p>
    <w:p>
      <w:pPr>
        <w:spacing w:after="80"/>
        <w:jc w:val="center"/>
      </w:pPr>
      <w:r>
        <w:rPr>
          <w:rFonts w:ascii="Times New Roman" w:cs="Times New Roman" w:eastAsia="Times New Roman" w:hAnsi="Times New Roman"/>
          <w:b w:val="false"/>
          <w:bCs w:val="false"/>
          <w:sz w:val="24"/>
          <w:szCs w:val="24"/>
        </w:rPr>
        <w:t xml:space="preserve">CENG-442 Microservice Architecture</w:t>
      </w:r>
    </w:p>
    <w:p>
      <w:pPr>
        <w:spacing w:after="360"/>
        <w:jc w:val="center"/>
      </w:pPr>
      <w:r>
        <w:rPr>
          <w:rFonts w:ascii="Times New Roman" w:cs="Times New Roman" w:eastAsia="Times New Roman" w:hAnsi="Times New Roman"/>
          <w:b w:val="false"/>
          <w:bCs w:val="false"/>
          <w:sz w:val="22"/>
          <w:szCs w:val="22"/>
        </w:rPr>
        <w:t xml:space="preserve">Spring 2026 — Submission 1: Project Proposal</w:t>
      </w:r>
    </w:p>
    <w:p>
      <w:pPr>
        <w:spacing w:after="80"/>
        <w:jc w:val="center"/>
      </w:pPr>
      <w:r>
        <w:rPr>
          <w:rFonts w:ascii="Times New Roman" w:cs="Times New Roman" w:eastAsia="Times New Roman" w:hAnsi="Times New Roman"/>
          <w:b/>
          <w:bCs/>
          <w:sz w:val="36"/>
          <w:szCs w:val="36"/>
        </w:rPr>
        <w:t xml:space="preserve">HarborSync</w:t>
      </w:r>
    </w:p>
    <w:p>
      <w:pPr>
        <w:spacing w:after="360"/>
        <w:jc w:val="center"/>
      </w:pPr>
      <w:r>
        <w:rPr>
          <w:rFonts w:ascii="Times New Roman" w:cs="Times New Roman" w:eastAsia="Times New Roman" w:hAnsi="Times New Roman"/>
          <w:b w:val="false"/>
          <w:bCs w:val="false"/>
          <w:sz w:val="24"/>
          <w:szCs w:val="24"/>
        </w:rPr>
        <w:t xml:space="preserve">Distributed Port Cargo Coordination Platform</w:t>
      </w:r>
    </w:p>
    <w:p>
      <w:pPr>
        <w:pBdr>
          <w:bottom w:val="single" w:color="1F3864" w:sz="6" w:space="1"/>
        </w:pBdr>
        <w:spacing w:after="280"/>
      </w:pPr>
    </w:p>
    <w:p>
      <w:pPr>
        <w:spacing w:after="0"/>
      </w:pPr>
      <w:r>
        <w:rPr>
          <w:rFonts w:ascii="Times New Roman" w:cs="Times New Roman" w:eastAsia="Times New Roman" w:hAnsi="Times New Roman"/>
          <w:sz w:val="22"/>
          <w:szCs w:val="22"/>
        </w:rPr>
        <w:t xml:space="preserve"/>
      </w:r>
    </w:p>
    <w:p>
      <w:pPr>
        <w:spacing w:after="0"/>
      </w:pPr>
      <w:r>
        <w:rPr>
          <w:rFonts w:ascii="Times New Roman" w:cs="Times New Roman" w:eastAsia="Times New Roman" w:hAnsi="Times New Roman"/>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2"/>
                <w:szCs w:val="22"/>
              </w:rPr>
              <w:t xml:space="preserve">Team Members</w:t>
            </w:r>
          </w:p>
          <w:p>
            <w:r>
              <w:rPr>
                <w:rFonts w:ascii="Times New Roman" w:cs="Times New Roman" w:eastAsia="Times New Roman" w:hAnsi="Times New Roman"/>
                <w:sz w:val="22"/>
                <w:szCs w:val="22"/>
              </w:rPr>
              <w:t xml:space="preserve">Emirhan Ersoy</w:t>
            </w:r>
          </w:p>
          <w:p>
            <w:r>
              <w:rPr>
                <w:rFonts w:ascii="Times New Roman" w:cs="Times New Roman" w:eastAsia="Times New Roman" w:hAnsi="Times New Roman"/>
                <w:sz w:val="22"/>
                <w:szCs w:val="22"/>
              </w:rPr>
              <w:t xml:space="preserve">Deniz Yaldız</w:t>
            </w:r>
          </w:p>
        </w:tc>
        <w:tc>
          <w:tcPr>
            <w:tcW w:type="dxa" w:w="4535"/>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Times New Roman" w:cs="Times New Roman" w:eastAsia="Times New Roman" w:hAnsi="Times New Roman"/>
                <w:b/>
                <w:bCs/>
                <w:sz w:val="22"/>
                <w:szCs w:val="22"/>
              </w:rPr>
              <w:t xml:space="preserve">Course</w:t>
            </w:r>
          </w:p>
          <w:p>
            <w:r>
              <w:rPr>
                <w:rFonts w:ascii="Times New Roman" w:cs="Times New Roman" w:eastAsia="Times New Roman" w:hAnsi="Times New Roman"/>
                <w:sz w:val="22"/>
                <w:szCs w:val="22"/>
              </w:rPr>
              <w:t xml:space="preserve">CENG-442 Microservice Architecture</w:t>
            </w:r>
          </w:p>
          <w:p>
            <w:r>
              <w:rPr>
                <w:rFonts w:ascii="Times New Roman" w:cs="Times New Roman" w:eastAsia="Times New Roman" w:hAnsi="Times New Roman"/>
                <w:sz w:val="22"/>
                <w:szCs w:val="22"/>
              </w:rPr>
              <w:t xml:space="preserve">Instructor: Asst. Prof. Dr. Hüseyin Temücin</w:t>
            </w:r>
          </w:p>
          <w:p>
            <w:r>
              <w:rPr>
                <w:rFonts w:ascii="Times New Roman" w:cs="Times New Roman" w:eastAsia="Times New Roman" w:hAnsi="Times New Roman"/>
                <w:sz w:val="22"/>
                <w:szCs w:val="22"/>
              </w:rPr>
              <w:t xml:space="preserve">Deadline: 15 May 2026</w:t>
            </w:r>
          </w:p>
        </w:tc>
      </w:tr>
    </w:tbl>
    <w:p>
      <w:r>
        <w:br w:type="page"/>
      </w:r>
    </w:p>
    <w:p>
      <w:pPr>
        <w:sectPr>
          <w:pgSz w:w="11906" w:h="16838" w:orient="portrait"/>
          <w:pgMar w:top="1418" w:right="1418" w:bottom="1418" w:left="1418" w:header="708" w:footer="708" w:gutter="0"/>
          <w:pgNumType/>
          <w:docGrid w:linePitch="360"/>
        </w:sectPr>
      </w:pPr>
    </w:p>
    <w:p>
      <w:pPr>
        <w:spacing w:after="200"/>
        <w:jc w:val="center"/>
      </w:pPr>
      <w:r>
        <w:rPr>
          <w:rFonts w:ascii="Times New Roman" w:cs="Times New Roman" w:eastAsia="Times New Roman" w:hAnsi="Times New Roman"/>
          <w:b/>
          <w:bCs/>
          <w:sz w:val="26"/>
          <w:szCs w:val="26"/>
        </w:rPr>
        <w:t xml:space="preserve">TABLE OF CONTENTS</w:t>
      </w:r>
    </w:p>
    <w:p>
      <w:pPr>
        <w:spacing w:after="60"/>
        <w:ind w:left="0"/>
        <w:jc w:val="left"/>
      </w:pPr>
      <w:r>
        <w:rPr>
          <w:rFonts w:ascii="Times New Roman" w:cs="Times New Roman" w:eastAsia="Times New Roman" w:hAnsi="Times New Roman"/>
          <w:sz w:val="22"/>
          <w:szCs w:val="22"/>
        </w:rPr>
        <w:t xml:space="preserve">1. Project Title and Team Members</w:t>
      </w:r>
      <w:r>
        <w:rPr>
          <w:rFonts w:ascii="Times New Roman" w:cs="Times New Roman" w:eastAsia="Times New Roman" w:hAnsi="Times New Roman"/>
          <w:sz w:val="22"/>
          <w:szCs w:val="22"/>
        </w:rPr>
        <w:ptab w:alignment="right" w:relativeTo="margin" w:leader="dot"/>
        <w:t xml:space="preserve">3</w:t>
      </w:r>
    </w:p>
    <w:p>
      <w:pPr>
        <w:spacing w:after="60"/>
        <w:ind w:left="0"/>
        <w:jc w:val="left"/>
      </w:pPr>
      <w:r>
        <w:rPr>
          <w:rFonts w:ascii="Times New Roman" w:cs="Times New Roman" w:eastAsia="Times New Roman" w:hAnsi="Times New Roman"/>
          <w:sz w:val="22"/>
          <w:szCs w:val="22"/>
        </w:rPr>
        <w:t xml:space="preserve">2. Problem Statement</w:t>
      </w:r>
      <w:r>
        <w:rPr>
          <w:rFonts w:ascii="Times New Roman" w:cs="Times New Roman" w:eastAsia="Times New Roman" w:hAnsi="Times New Roman"/>
          <w:sz w:val="22"/>
          <w:szCs w:val="22"/>
        </w:rPr>
        <w:ptab w:alignment="right" w:relativeTo="margin" w:leader="dot"/>
        <w:t xml:space="preserve">3</w:t>
      </w:r>
    </w:p>
    <w:p>
      <w:pPr>
        <w:spacing w:after="60"/>
        <w:ind w:left="0"/>
        <w:jc w:val="left"/>
      </w:pPr>
      <w:r>
        <w:rPr>
          <w:rFonts w:ascii="Times New Roman" w:cs="Times New Roman" w:eastAsia="Times New Roman" w:hAnsi="Times New Roman"/>
          <w:sz w:val="22"/>
          <w:szCs w:val="22"/>
        </w:rPr>
        <w:t xml:space="preserve">   2.1 Core Operational Problems</w:t>
      </w:r>
      <w:r>
        <w:rPr>
          <w:rFonts w:ascii="Times New Roman" w:cs="Times New Roman" w:eastAsia="Times New Roman" w:hAnsi="Times New Roman"/>
          <w:sz w:val="22"/>
          <w:szCs w:val="22"/>
        </w:rPr>
        <w:ptab w:alignment="right" w:relativeTo="margin" w:leader="dot"/>
        <w:t xml:space="preserve">3</w:t>
      </w:r>
    </w:p>
    <w:p>
      <w:pPr>
        <w:spacing w:after="60"/>
        <w:ind w:left="360"/>
        <w:jc w:val="left"/>
      </w:pPr>
      <w:r>
        <w:rPr>
          <w:rFonts w:ascii="Times New Roman" w:cs="Times New Roman" w:eastAsia="Times New Roman" w:hAnsi="Times New Roman"/>
          <w:sz w:val="22"/>
          <w:szCs w:val="22"/>
        </w:rPr>
        <w:t xml:space="preserve">   2.2 Consequences</w:t>
      </w:r>
      <w:r>
        <w:rPr>
          <w:rFonts w:ascii="Times New Roman" w:cs="Times New Roman" w:eastAsia="Times New Roman" w:hAnsi="Times New Roman"/>
          <w:sz w:val="22"/>
          <w:szCs w:val="22"/>
        </w:rPr>
        <w:ptab w:alignment="right" w:relativeTo="margin" w:leader="dot"/>
        <w:t xml:space="preserve">4</w:t>
      </w:r>
    </w:p>
    <w:p>
      <w:pPr>
        <w:spacing w:after="60"/>
        <w:ind w:left="0"/>
        <w:jc w:val="left"/>
      </w:pPr>
      <w:r>
        <w:rPr>
          <w:rFonts w:ascii="Times New Roman" w:cs="Times New Roman" w:eastAsia="Times New Roman" w:hAnsi="Times New Roman"/>
          <w:sz w:val="22"/>
          <w:szCs w:val="22"/>
        </w:rPr>
        <w:t xml:space="preserve">3. System Overview</w:t>
      </w:r>
      <w:r>
        <w:rPr>
          <w:rFonts w:ascii="Times New Roman" w:cs="Times New Roman" w:eastAsia="Times New Roman" w:hAnsi="Times New Roman"/>
          <w:sz w:val="22"/>
          <w:szCs w:val="22"/>
        </w:rPr>
        <w:ptab w:alignment="right" w:relativeTo="margin" w:leader="dot"/>
        <w:t xml:space="preserve">4</w:t>
      </w:r>
    </w:p>
    <w:p>
      <w:pPr>
        <w:spacing w:after="60"/>
        <w:ind w:left="360"/>
        <w:jc w:val="left"/>
      </w:pPr>
      <w:r>
        <w:rPr>
          <w:rFonts w:ascii="Times New Roman" w:cs="Times New Roman" w:eastAsia="Times New Roman" w:hAnsi="Times New Roman"/>
          <w:sz w:val="22"/>
          <w:szCs w:val="22"/>
        </w:rPr>
        <w:t xml:space="preserve">   3.1 High-Level Solution</w:t>
      </w:r>
      <w:r>
        <w:rPr>
          <w:rFonts w:ascii="Times New Roman" w:cs="Times New Roman" w:eastAsia="Times New Roman" w:hAnsi="Times New Roman"/>
          <w:sz w:val="22"/>
          <w:szCs w:val="22"/>
        </w:rPr>
        <w:ptab w:alignment="right" w:relativeTo="margin" w:leader="dot"/>
        <w:t xml:space="preserve">4</w:t>
      </w:r>
    </w:p>
    <w:p>
      <w:pPr>
        <w:spacing w:after="60"/>
        <w:ind w:left="360"/>
        <w:jc w:val="left"/>
      </w:pPr>
      <w:r>
        <w:rPr>
          <w:rFonts w:ascii="Times New Roman" w:cs="Times New Roman" w:eastAsia="Times New Roman" w:hAnsi="Times New Roman"/>
          <w:sz w:val="22"/>
          <w:szCs w:val="22"/>
        </w:rPr>
        <w:t xml:space="preserve">   3.2 Key Design Decisions</w:t>
      </w:r>
      <w:r>
        <w:rPr>
          <w:rFonts w:ascii="Times New Roman" w:cs="Times New Roman" w:eastAsia="Times New Roman" w:hAnsi="Times New Roman"/>
          <w:sz w:val="22"/>
          <w:szCs w:val="22"/>
        </w:rPr>
        <w:ptab w:alignment="right" w:relativeTo="margin" w:leader="dot"/>
        <w:t xml:space="preserve">4</w:t>
      </w:r>
    </w:p>
    <w:p>
      <w:pPr>
        <w:spacing w:after="60"/>
        <w:ind w:left="0"/>
        <w:jc w:val="left"/>
      </w:pPr>
      <w:r>
        <w:rPr>
          <w:rFonts w:ascii="Times New Roman" w:cs="Times New Roman" w:eastAsia="Times New Roman" w:hAnsi="Times New Roman"/>
          <w:sz w:val="22"/>
          <w:szCs w:val="22"/>
        </w:rPr>
        <w:t xml:space="preserve">4. Microservice Decomposition</w:t>
      </w:r>
      <w:r>
        <w:rPr>
          <w:rFonts w:ascii="Times New Roman" w:cs="Times New Roman" w:eastAsia="Times New Roman" w:hAnsi="Times New Roman"/>
          <w:sz w:val="22"/>
          <w:szCs w:val="22"/>
        </w:rPr>
        <w:ptab w:alignment="right" w:relativeTo="margin" w:leader="dot"/>
        <w:t xml:space="preserve">5</w:t>
      </w:r>
    </w:p>
    <w:p>
      <w:pPr>
        <w:spacing w:after="60"/>
        <w:ind w:left="360"/>
        <w:jc w:val="left"/>
      </w:pPr>
      <w:r>
        <w:rPr>
          <w:rFonts w:ascii="Times New Roman" w:cs="Times New Roman" w:eastAsia="Times New Roman" w:hAnsi="Times New Roman"/>
          <w:sz w:val="22"/>
          <w:szCs w:val="22"/>
        </w:rPr>
        <w:t xml:space="preserve">   4.1 Bounded Contexts</w:t>
      </w:r>
      <w:r>
        <w:rPr>
          <w:rFonts w:ascii="Times New Roman" w:cs="Times New Roman" w:eastAsia="Times New Roman" w:hAnsi="Times New Roman"/>
          <w:sz w:val="22"/>
          <w:szCs w:val="22"/>
        </w:rPr>
        <w:ptab w:alignment="right" w:relativeTo="margin" w:leader="dot"/>
        <w:t xml:space="preserve">5</w:t>
      </w:r>
    </w:p>
    <w:p>
      <w:pPr>
        <w:spacing w:after="60"/>
        <w:ind w:left="360"/>
        <w:jc w:val="left"/>
      </w:pPr>
      <w:r>
        <w:rPr>
          <w:rFonts w:ascii="Times New Roman" w:cs="Times New Roman" w:eastAsia="Times New Roman" w:hAnsi="Times New Roman"/>
          <w:sz w:val="22"/>
          <w:szCs w:val="22"/>
        </w:rPr>
        <w:t xml:space="preserve">   4.2 Vessel Service</w:t>
      </w:r>
      <w:r>
        <w:rPr>
          <w:rFonts w:ascii="Times New Roman" w:cs="Times New Roman" w:eastAsia="Times New Roman" w:hAnsi="Times New Roman"/>
          <w:sz w:val="22"/>
          <w:szCs w:val="22"/>
        </w:rPr>
        <w:ptab w:alignment="right" w:relativeTo="margin" w:leader="dot"/>
        <w:t xml:space="preserve">5</w:t>
      </w:r>
    </w:p>
    <w:p>
      <w:pPr>
        <w:spacing w:after="60"/>
        <w:ind w:left="360"/>
        <w:jc w:val="left"/>
      </w:pPr>
      <w:r>
        <w:rPr>
          <w:rFonts w:ascii="Times New Roman" w:cs="Times New Roman" w:eastAsia="Times New Roman" w:hAnsi="Times New Roman"/>
          <w:sz w:val="22"/>
          <w:szCs w:val="22"/>
        </w:rPr>
        <w:t xml:space="preserve">   4.3 Telemetry Service</w:t>
      </w:r>
      <w:r>
        <w:rPr>
          <w:rFonts w:ascii="Times New Roman" w:cs="Times New Roman" w:eastAsia="Times New Roman" w:hAnsi="Times New Roman"/>
          <w:sz w:val="22"/>
          <w:szCs w:val="22"/>
        </w:rPr>
        <w:ptab w:alignment="right" w:relativeTo="margin" w:leader="dot"/>
        <w:t xml:space="preserve">6</w:t>
      </w:r>
    </w:p>
    <w:p>
      <w:pPr>
        <w:spacing w:after="60"/>
        <w:ind w:left="360"/>
        <w:jc w:val="left"/>
      </w:pPr>
      <w:r>
        <w:rPr>
          <w:rFonts w:ascii="Times New Roman" w:cs="Times New Roman" w:eastAsia="Times New Roman" w:hAnsi="Times New Roman"/>
          <w:sz w:val="22"/>
          <w:szCs w:val="22"/>
        </w:rPr>
        <w:t xml:space="preserve">   4.4 Congestion Analysis Service</w:t>
      </w:r>
      <w:r>
        <w:rPr>
          <w:rFonts w:ascii="Times New Roman" w:cs="Times New Roman" w:eastAsia="Times New Roman" w:hAnsi="Times New Roman"/>
          <w:sz w:val="22"/>
          <w:szCs w:val="22"/>
        </w:rPr>
        <w:ptab w:alignment="right" w:relativeTo="margin" w:leader="dot"/>
        <w:t xml:space="preserve">6</w:t>
      </w:r>
    </w:p>
    <w:p>
      <w:pPr>
        <w:spacing w:after="60"/>
        <w:ind w:left="360"/>
        <w:jc w:val="left"/>
      </w:pPr>
      <w:r>
        <w:rPr>
          <w:rFonts w:ascii="Times New Roman" w:cs="Times New Roman" w:eastAsia="Times New Roman" w:hAnsi="Times New Roman"/>
          <w:sz w:val="22"/>
          <w:szCs w:val="22"/>
        </w:rPr>
        <w:t xml:space="preserve">   4.5 Task Assignment Service</w:t>
      </w:r>
      <w:r>
        <w:rPr>
          <w:rFonts w:ascii="Times New Roman" w:cs="Times New Roman" w:eastAsia="Times New Roman" w:hAnsi="Times New Roman"/>
          <w:sz w:val="22"/>
          <w:szCs w:val="22"/>
        </w:rPr>
        <w:ptab w:alignment="right" w:relativeTo="margin" w:leader="dot"/>
        <w:t xml:space="preserve">7</w:t>
      </w:r>
    </w:p>
    <w:p>
      <w:pPr>
        <w:spacing w:after="60"/>
        <w:ind w:left="360"/>
        <w:jc w:val="left"/>
      </w:pPr>
      <w:r>
        <w:rPr>
          <w:rFonts w:ascii="Times New Roman" w:cs="Times New Roman" w:eastAsia="Times New Roman" w:hAnsi="Times New Roman"/>
          <w:sz w:val="22"/>
          <w:szCs w:val="22"/>
        </w:rPr>
        <w:t xml:space="preserve">   4.6 Notification Service</w:t>
      </w:r>
      <w:r>
        <w:rPr>
          <w:rFonts w:ascii="Times New Roman" w:cs="Times New Roman" w:eastAsia="Times New Roman" w:hAnsi="Times New Roman"/>
          <w:sz w:val="22"/>
          <w:szCs w:val="22"/>
        </w:rPr>
        <w:ptab w:alignment="right" w:relativeTo="margin" w:leader="dot"/>
        <w:t xml:space="preserve">7</w:t>
      </w:r>
    </w:p>
    <w:p>
      <w:pPr>
        <w:spacing w:after="60"/>
        <w:ind w:left="0"/>
        <w:jc w:val="left"/>
      </w:pPr>
      <w:r>
        <w:rPr>
          <w:rFonts w:ascii="Times New Roman" w:cs="Times New Roman" w:eastAsia="Times New Roman" w:hAnsi="Times New Roman"/>
          <w:sz w:val="22"/>
          <w:szCs w:val="22"/>
        </w:rPr>
        <w:t xml:space="preserve">5. Communication Design</w:t>
      </w:r>
      <w:r>
        <w:rPr>
          <w:rFonts w:ascii="Times New Roman" w:cs="Times New Roman" w:eastAsia="Times New Roman" w:hAnsi="Times New Roman"/>
          <w:sz w:val="22"/>
          <w:szCs w:val="22"/>
        </w:rPr>
        <w:ptab w:alignment="right" w:relativeTo="margin" w:leader="dot"/>
        <w:t xml:space="preserve">8</w:t>
      </w:r>
    </w:p>
    <w:p>
      <w:pPr>
        <w:spacing w:after="60"/>
        <w:ind w:left="360"/>
        <w:jc w:val="left"/>
      </w:pPr>
      <w:r>
        <w:rPr>
          <w:rFonts w:ascii="Times New Roman" w:cs="Times New Roman" w:eastAsia="Times New Roman" w:hAnsi="Times New Roman"/>
          <w:sz w:val="22"/>
          <w:szCs w:val="22"/>
        </w:rPr>
        <w:t xml:space="preserve">   5.1 Communication Strategy</w:t>
      </w:r>
      <w:r>
        <w:rPr>
          <w:rFonts w:ascii="Times New Roman" w:cs="Times New Roman" w:eastAsia="Times New Roman" w:hAnsi="Times New Roman"/>
          <w:sz w:val="22"/>
          <w:szCs w:val="22"/>
        </w:rPr>
        <w:ptab w:alignment="right" w:relativeTo="margin" w:leader="dot"/>
        <w:t xml:space="preserve">8</w:t>
      </w:r>
    </w:p>
    <w:p>
      <w:pPr>
        <w:spacing w:after="60"/>
        <w:ind w:left="360"/>
        <w:jc w:val="left"/>
      </w:pPr>
      <w:r>
        <w:rPr>
          <w:rFonts w:ascii="Times New Roman" w:cs="Times New Roman" w:eastAsia="Times New Roman" w:hAnsi="Times New Roman"/>
          <w:sz w:val="22"/>
          <w:szCs w:val="22"/>
        </w:rPr>
        <w:t xml:space="preserve">   5.2 API Gateway</w:t>
      </w:r>
      <w:r>
        <w:rPr>
          <w:rFonts w:ascii="Times New Roman" w:cs="Times New Roman" w:eastAsia="Times New Roman" w:hAnsi="Times New Roman"/>
          <w:sz w:val="22"/>
          <w:szCs w:val="22"/>
        </w:rPr>
        <w:ptab w:alignment="right" w:relativeTo="margin" w:leader="dot"/>
        <w:t xml:space="preserve">8</w:t>
      </w:r>
    </w:p>
    <w:p>
      <w:pPr>
        <w:spacing w:after="60"/>
        <w:ind w:left="360"/>
        <w:jc w:val="left"/>
      </w:pPr>
      <w:r>
        <w:rPr>
          <w:rFonts w:ascii="Times New Roman" w:cs="Times New Roman" w:eastAsia="Times New Roman" w:hAnsi="Times New Roman"/>
          <w:sz w:val="22"/>
          <w:szCs w:val="22"/>
        </w:rPr>
        <w:t xml:space="preserve">   5.3 Synchronous Communication (REST)</w:t>
      </w:r>
      <w:r>
        <w:rPr>
          <w:rFonts w:ascii="Times New Roman" w:cs="Times New Roman" w:eastAsia="Times New Roman" w:hAnsi="Times New Roman"/>
          <w:sz w:val="22"/>
          <w:szCs w:val="22"/>
        </w:rPr>
        <w:ptab w:alignment="right" w:relativeTo="margin" w:leader="dot"/>
        <w:t xml:space="preserve">9</w:t>
      </w:r>
    </w:p>
    <w:p>
      <w:pPr>
        <w:spacing w:after="60"/>
        <w:ind w:left="360"/>
        <w:jc w:val="left"/>
      </w:pPr>
      <w:r>
        <w:rPr>
          <w:rFonts w:ascii="Times New Roman" w:cs="Times New Roman" w:eastAsia="Times New Roman" w:hAnsi="Times New Roman"/>
          <w:sz w:val="22"/>
          <w:szCs w:val="22"/>
        </w:rPr>
        <w:t xml:space="preserve">   5.4 Asynchronous Communication (RabbitMQ)</w:t>
      </w:r>
      <w:r>
        <w:rPr>
          <w:rFonts w:ascii="Times New Roman" w:cs="Times New Roman" w:eastAsia="Times New Roman" w:hAnsi="Times New Roman"/>
          <w:sz w:val="22"/>
          <w:szCs w:val="22"/>
        </w:rPr>
        <w:ptab w:alignment="right" w:relativeTo="margin" w:leader="dot"/>
        <w:t xml:space="preserve">9</w:t>
      </w:r>
    </w:p>
    <w:p>
      <w:pPr>
        <w:spacing w:after="60"/>
        <w:ind w:left="360"/>
        <w:jc w:val="left"/>
      </w:pPr>
      <w:r>
        <w:rPr>
          <w:rFonts w:ascii="Times New Roman" w:cs="Times New Roman" w:eastAsia="Times New Roman" w:hAnsi="Times New Roman"/>
          <w:sz w:val="22"/>
          <w:szCs w:val="22"/>
        </w:rPr>
        <w:t xml:space="preserve">   5.5 Event Flow</w:t>
      </w:r>
      <w:r>
        <w:rPr>
          <w:rFonts w:ascii="Times New Roman" w:cs="Times New Roman" w:eastAsia="Times New Roman" w:hAnsi="Times New Roman"/>
          <w:sz w:val="22"/>
          <w:szCs w:val="22"/>
        </w:rPr>
        <w:ptab w:alignment="right" w:relativeTo="margin" w:leader="dot"/>
        <w:t xml:space="preserve">9</w:t>
      </w:r>
    </w:p>
    <w:p>
      <w:pPr>
        <w:spacing w:after="60"/>
        <w:ind w:left="360"/>
        <w:jc w:val="left"/>
      </w:pPr>
      <w:r>
        <w:rPr>
          <w:rFonts w:ascii="Times New Roman" w:cs="Times New Roman" w:eastAsia="Times New Roman" w:hAnsi="Times New Roman"/>
          <w:sz w:val="22"/>
          <w:szCs w:val="22"/>
        </w:rPr>
        <w:t xml:space="preserve">   5.6 Saga Pattern</w:t>
      </w:r>
      <w:r>
        <w:rPr>
          <w:rFonts w:ascii="Times New Roman" w:cs="Times New Roman" w:eastAsia="Times New Roman" w:hAnsi="Times New Roman"/>
          <w:sz w:val="22"/>
          <w:szCs w:val="22"/>
        </w:rPr>
        <w:ptab w:alignment="right" w:relativeTo="margin" w:leader="dot"/>
        <w:t xml:space="preserve">10</w:t>
      </w:r>
    </w:p>
    <w:p>
      <w:pPr>
        <w:spacing w:after="60"/>
        <w:ind w:left="0"/>
        <w:jc w:val="left"/>
      </w:pPr>
      <w:r>
        <w:rPr>
          <w:rFonts w:ascii="Times New Roman" w:cs="Times New Roman" w:eastAsia="Times New Roman" w:hAnsi="Times New Roman"/>
          <w:sz w:val="22"/>
          <w:szCs w:val="22"/>
        </w:rPr>
        <w:t xml:space="preserve">6. Technology Stack</w:t>
      </w:r>
      <w:r>
        <w:rPr>
          <w:rFonts w:ascii="Times New Roman" w:cs="Times New Roman" w:eastAsia="Times New Roman" w:hAnsi="Times New Roman"/>
          <w:sz w:val="22"/>
          <w:szCs w:val="22"/>
        </w:rPr>
        <w:ptab w:alignment="right" w:relativeTo="margin" w:leader="dot"/>
        <w:t xml:space="preserve">10</w:t>
      </w:r>
    </w:p>
    <w:p>
      <w:pPr>
        <w:spacing w:after="60"/>
        <w:ind w:left="0"/>
        <w:jc w:val="left"/>
      </w:pPr>
      <w:r>
        <w:rPr>
          <w:rFonts w:ascii="Times New Roman" w:cs="Times New Roman" w:eastAsia="Times New Roman" w:hAnsi="Times New Roman"/>
          <w:sz w:val="22"/>
          <w:szCs w:val="22"/>
        </w:rPr>
        <w:t xml:space="preserve">7. Architecture Diagram</w:t>
      </w:r>
      <w:r>
        <w:rPr>
          <w:rFonts w:ascii="Times New Roman" w:cs="Times New Roman" w:eastAsia="Times New Roman" w:hAnsi="Times New Roman"/>
          <w:sz w:val="22"/>
          <w:szCs w:val="22"/>
        </w:rPr>
        <w:ptab w:alignment="right" w:relativeTo="margin" w:leader="dot"/>
        <w:t xml:space="preserve">11</w:t>
      </w:r>
    </w:p>
    <w:p>
      <w:pPr>
        <w:spacing w:after="60"/>
        <w:ind w:left="0"/>
        <w:jc w:val="left"/>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ptab w:alignment="right" w:relativeTo="margin" w:leader="dot"/>
        <w:t xml:space="preserve">12</w:t>
      </w:r>
    </w:p>
    <w:p>
      <w:r>
        <w:br w:type="page"/>
      </w:r>
    </w:p>
    <w:p>
      <w:pPr>
        <w:spacing w:after="200"/>
        <w:jc w:val="center"/>
      </w:pPr>
      <w:r>
        <w:rPr>
          <w:rFonts w:ascii="Times New Roman" w:cs="Times New Roman" w:eastAsia="Times New Roman" w:hAnsi="Times New Roman"/>
          <w:b/>
          <w:bCs/>
          <w:sz w:val="26"/>
          <w:szCs w:val="26"/>
        </w:rPr>
        <w:t xml:space="preserve">TABLE OF FIGURES AND TABLES</w:t>
      </w:r>
    </w:p>
    <w:p>
      <w:pPr>
        <w:spacing w:after="60"/>
        <w:ind w:left="0"/>
        <w:jc w:val="left"/>
      </w:pPr>
      <w:r>
        <w:rPr>
          <w:rFonts w:ascii="Times New Roman" w:cs="Times New Roman" w:eastAsia="Times New Roman" w:hAnsi="Times New Roman"/>
          <w:sz w:val="22"/>
          <w:szCs w:val="22"/>
        </w:rPr>
        <w:t xml:space="preserve">Figure 1: HarborSync High-Level Architecture</w:t>
      </w:r>
      <w:r>
        <w:rPr>
          <w:rFonts w:ascii="Times New Roman" w:cs="Times New Roman" w:eastAsia="Times New Roman" w:hAnsi="Times New Roman"/>
          <w:sz w:val="22"/>
          <w:szCs w:val="22"/>
        </w:rPr>
        <w:ptab w:alignment="right" w:relativeTo="margin" w:leader="dot"/>
        <w:t xml:space="preserve">11</w:t>
      </w:r>
    </w:p>
    <w:p>
      <w:pPr>
        <w:spacing w:after="60"/>
        <w:ind w:left="0"/>
        <w:jc w:val="left"/>
      </w:pPr>
      <w:r>
        <w:rPr>
          <w:rFonts w:ascii="Times New Roman" w:cs="Times New Roman" w:eastAsia="Times New Roman" w:hAnsi="Times New Roman"/>
          <w:sz w:val="22"/>
          <w:szCs w:val="22"/>
        </w:rPr>
        <w:t xml:space="preserve">Figure 2: RabbitMQ Exchange and Queue Topology</w:t>
      </w:r>
      <w:r>
        <w:rPr>
          <w:rFonts w:ascii="Times New Roman" w:cs="Times New Roman" w:eastAsia="Times New Roman" w:hAnsi="Times New Roman"/>
          <w:sz w:val="22"/>
          <w:szCs w:val="22"/>
        </w:rPr>
        <w:ptab w:alignment="right" w:relativeTo="margin" w:leader="dot"/>
        <w:t xml:space="preserve">9</w:t>
      </w:r>
    </w:p>
    <w:p>
      <w:pPr>
        <w:spacing w:after="60"/>
        <w:ind w:left="0"/>
        <w:jc w:val="left"/>
      </w:pPr>
      <w:r>
        <w:rPr>
          <w:rFonts w:ascii="Times New Roman" w:cs="Times New Roman" w:eastAsia="Times New Roman" w:hAnsi="Times New Roman"/>
          <w:sz w:val="22"/>
          <w:szCs w:val="22"/>
        </w:rPr>
        <w:t xml:space="preserve">Table 1: Team Members and Roles</w:t>
      </w:r>
      <w:r>
        <w:rPr>
          <w:rFonts w:ascii="Times New Roman" w:cs="Times New Roman" w:eastAsia="Times New Roman" w:hAnsi="Times New Roman"/>
          <w:sz w:val="22"/>
          <w:szCs w:val="22"/>
        </w:rPr>
        <w:ptab w:alignment="right" w:relativeTo="margin" w:leader="dot"/>
        <w:t xml:space="preserve">3</w:t>
      </w:r>
    </w:p>
    <w:p>
      <w:pPr>
        <w:spacing w:after="60"/>
        <w:ind w:left="0"/>
        <w:jc w:val="left"/>
      </w:pPr>
      <w:r>
        <w:rPr>
          <w:rFonts w:ascii="Times New Roman" w:cs="Times New Roman" w:eastAsia="Times New Roman" w:hAnsi="Times New Roman"/>
          <w:sz w:val="22"/>
          <w:szCs w:val="22"/>
        </w:rPr>
        <w:t xml:space="preserve">Table 2: Bounded Context Summary</w:t>
      </w:r>
      <w:r>
        <w:rPr>
          <w:rFonts w:ascii="Times New Roman" w:cs="Times New Roman" w:eastAsia="Times New Roman" w:hAnsi="Times New Roman"/>
          <w:sz w:val="22"/>
          <w:szCs w:val="22"/>
        </w:rPr>
        <w:ptab w:alignment="right" w:relativeTo="margin" w:leader="dot"/>
        <w:t xml:space="preserve">5</w:t>
      </w:r>
    </w:p>
    <w:p>
      <w:pPr>
        <w:spacing w:after="60"/>
        <w:ind w:left="0"/>
        <w:jc w:val="left"/>
      </w:pPr>
      <w:r>
        <w:rPr>
          <w:rFonts w:ascii="Times New Roman" w:cs="Times New Roman" w:eastAsia="Times New Roman" w:hAnsi="Times New Roman"/>
          <w:sz w:val="22"/>
          <w:szCs w:val="22"/>
        </w:rPr>
        <w:t xml:space="preserve">Table 3: Technology Stack Summary</w:t>
      </w:r>
      <w:r>
        <w:rPr>
          <w:rFonts w:ascii="Times New Roman" w:cs="Times New Roman" w:eastAsia="Times New Roman" w:hAnsi="Times New Roman"/>
          <w:sz w:val="22"/>
          <w:szCs w:val="22"/>
        </w:rPr>
        <w:ptab w:alignment="right" w:relativeTo="margin" w:leader="dot"/>
        <w:t xml:space="preserve">10</w:t>
      </w:r>
    </w:p>
    <w:p>
      <w:pPr>
        <w:spacing w:after="60"/>
        <w:ind w:left="0"/>
        <w:jc w:val="left"/>
      </w:pPr>
      <w:r>
        <w:rPr>
          <w:rFonts w:ascii="Times New Roman" w:cs="Times New Roman" w:eastAsia="Times New Roman" w:hAnsi="Times New Roman"/>
          <w:sz w:val="22"/>
          <w:szCs w:val="22"/>
        </w:rPr>
        <w:t xml:space="preserve">Table 4: Event Flow Steps</w:t>
      </w:r>
      <w:r>
        <w:rPr>
          <w:rFonts w:ascii="Times New Roman" w:cs="Times New Roman" w:eastAsia="Times New Roman" w:hAnsi="Times New Roman"/>
          <w:sz w:val="22"/>
          <w:szCs w:val="22"/>
        </w:rPr>
        <w:ptab w:alignment="right" w:relativeTo="margin" w:leader="dot"/>
        <w:t xml:space="preserve">9</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1. Project Title and Team Members</w:t>
      </w:r>
    </w:p>
    <w:p>
      <w:pPr>
        <w:spacing w:after="120" w:line="276"/>
        <w:jc w:val="both"/>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HarborSync — Distributed Port Cargo Coordination Platform</w:t>
      </w:r>
    </w:p>
    <w:p>
      <w:pPr>
        <w:spacing w:after="0"/>
      </w:pPr>
      <w:r>
        <w:rPr>
          <w:rFonts w:ascii="Times New Roman" w:cs="Times New Roman" w:eastAsia="Times New Roman" w:hAnsi="Times New Roman"/>
          <w:sz w:val="22"/>
          <w:szCs w:val="22"/>
        </w:rPr>
        <w:t xml:space="preserve"/>
      </w:r>
    </w:p>
    <w:p>
      <w:pPr>
        <w:spacing w:after="120" w:before="60"/>
        <w:jc w:val="center"/>
      </w:pPr>
      <w:r>
        <w:rPr>
          <w:rFonts w:ascii="Times New Roman" w:cs="Times New Roman" w:eastAsia="Times New Roman" w:hAnsi="Times New Roman"/>
          <w:b/>
          <w:bCs/>
          <w:sz w:val="22"/>
          <w:szCs w:val="22"/>
        </w:rPr>
        <w:t xml:space="preserve">Table 1: Team Members and Roles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7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Name</w:t>
            </w:r>
          </w:p>
        </w:tc>
        <w:tc>
          <w:tcPr>
            <w:tcW w:type="dxa" w:w="3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Student Number</w:t>
            </w:r>
          </w:p>
        </w:tc>
        <w:tc>
          <w:tcPr>
            <w:tcW w:type="dxa" w:w="327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Responsibilities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Emirhan Ersoy</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32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 Service, Congestion Analysis, API Gateway</w:t>
            </w:r>
          </w:p>
        </w:tc>
      </w:tr>
      <w:tr>
        <w:tc>
          <w:tcPr>
            <w:tcW w:type="dxa" w:w="25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Deniz Yaldız</w:t>
            </w:r>
          </w:p>
        </w:tc>
        <w:tc>
          <w:tcPr>
            <w:tcW w:type="dxa" w:w="33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w:t>
            </w:r>
          </w:p>
        </w:tc>
        <w:tc>
          <w:tcPr>
            <w:tcW w:type="dxa" w:w="32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 Task Assignment, Notification Service, Drone Simulator</w:t>
            </w:r>
          </w:p>
        </w:tc>
      </w:tr>
    </w:tbl>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As shown in Table 1 above, the project is developed by a two-member team. Responsibilities are distributed across the six service components, with each team member owning three services end-to-end.</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2. Problem Statement</w:t>
      </w:r>
    </w:p>
    <w:p>
      <w:pPr>
        <w:spacing w:after="120" w:line="276"/>
        <w:jc w:val="both"/>
      </w:pPr>
      <w:r>
        <w:rPr>
          <w:rFonts w:ascii="Times New Roman" w:cs="Times New Roman" w:eastAsia="Times New Roman" w:hAnsi="Times New Roman"/>
          <w:sz w:val="22"/>
          <w:szCs w:val="22"/>
        </w:rPr>
        <w:t xml:space="preserve">Turkey is positioned along one of the most critical maritime trade routes in the world. An average of 40 to 50 vessels transit the Bosphorus daily, and ports such as Ambarli, Izmir, and Mersin rank among the busiest container terminals in Europe. Despite this high volume, a significant portion of port operations still relies on manual processes, with coordination depending on human decisions rather than software-driven systems.</w:t>
      </w:r>
    </w:p>
    <w:p>
      <w:pPr>
        <w:pStyle w:val="Heading2"/>
        <w:spacing w:after="80" w:before="200"/>
        <w:jc w:val="left"/>
      </w:pPr>
      <w:r>
        <w:rPr>
          <w:rFonts w:ascii="Times New Roman" w:cs="Times New Roman" w:eastAsia="Times New Roman" w:hAnsi="Times New Roman"/>
          <w:b/>
          <w:bCs/>
          <w:color w:val="000000"/>
          <w:sz w:val="24"/>
          <w:szCs w:val="24"/>
        </w:rPr>
        <w:t xml:space="preserve">2.1 Core Operational Problems</w:t>
      </w:r>
    </w:p>
    <w:p>
      <w:pPr>
        <w:spacing w:after="120" w:line="276"/>
        <w:jc w:val="both"/>
      </w:pPr>
      <w:r>
        <w:rPr>
          <w:rFonts w:ascii="Times New Roman" w:cs="Times New Roman" w:eastAsia="Times New Roman" w:hAnsi="Times New Roman"/>
          <w:sz w:val="22"/>
          <w:szCs w:val="22"/>
        </w:rPr>
        <w:t xml:space="preserve">The following four operational deficiencies have been identified as the primary motivators for HarborSync:</w:t>
      </w:r>
    </w:p>
    <w:p>
      <w:pPr>
        <w:pStyle w:val="ListParagraph"/>
        <w:numPr>
          <w:ilvl w:val="0"/>
          <w:numId w:val="2"/>
        </w:numPr>
        <w:spacing w:after="80" w:line="276"/>
        <w:jc w:val="both"/>
      </w:pPr>
      <w:r>
        <w:rPr>
          <w:rFonts w:ascii="Times New Roman" w:cs="Times New Roman" w:eastAsia="Times New Roman" w:hAnsi="Times New Roman"/>
          <w:sz w:val="22"/>
          <w:szCs w:val="22"/>
        </w:rPr>
        <w:t xml:space="preserve">Delayed sector occupancy reporting: Crane operators and field crews typically discover that a container sector has exceeded its fill threshold only when congestion becomes visually apparent. This delay results in both time loss and fuel waste.</w:t>
      </w:r>
    </w:p>
    <w:p>
      <w:pPr>
        <w:pStyle w:val="ListParagraph"/>
        <w:numPr>
          <w:ilvl w:val="0"/>
          <w:numId w:val="2"/>
        </w:numPr>
        <w:spacing w:after="80" w:line="276"/>
        <w:jc w:val="both"/>
      </w:pPr>
      <w:r>
        <w:rPr>
          <w:rFonts w:ascii="Times New Roman" w:cs="Times New Roman" w:eastAsia="Times New Roman" w:hAnsi="Times New Roman"/>
          <w:sz w:val="22"/>
          <w:szCs w:val="22"/>
        </w:rPr>
        <w:t xml:space="preserve">Coordination gap between vessel arrival and sector capacity: The fact that a berth area is full is often detected only at the last moment when a vessel is about to dock. This causes costly demurrage fees and cascading delays.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Lack of centralised task management: Work orders for cranes and field teams are communicated via radio or paper-based systems. Priority ranking is non-standardised and there is no traceability.</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Absence of real-time capacity monitoring: Drone-based or sensor-assisted monitoring systems are not integrated into Turkish ports. Sector fill data is tracked through hourly or daily reports rather than live feeds.</w:t>
      </w:r>
    </w:p>
    <w:p>
      <w:pPr>
        <w:pStyle w:val="Heading2"/>
        <w:spacing w:after="80" w:before="200"/>
        <w:jc w:val="left"/>
      </w:pPr>
      <w:r>
        <w:rPr>
          <w:rFonts w:ascii="Times New Roman" w:cs="Times New Roman" w:eastAsia="Times New Roman" w:hAnsi="Times New Roman"/>
          <w:b/>
          <w:bCs/>
          <w:color w:val="000000"/>
          <w:sz w:val="24"/>
          <w:szCs w:val="24"/>
        </w:rPr>
        <w:t xml:space="preserve">2.2 Consequences</w:t>
      </w:r>
    </w:p>
    <w:p>
      <w:pPr>
        <w:spacing w:after="120" w:line="276"/>
        <w:jc w:val="both"/>
      </w:pPr>
      <w:r>
        <w:rPr>
          <w:rFonts w:ascii="Times New Roman" w:cs="Times New Roman" w:eastAsia="Times New Roman" w:hAnsi="Times New Roman"/>
          <w:sz w:val="22"/>
          <w:szCs w:val="22"/>
        </w:rPr>
        <w:t xml:space="preserve">The operational gaps identified above produce measurable negative outcomes at scale. Annual losses from demurrage and operational inefficiency amount to millions of dollars. Idle vessel fuel consumption increases due to extended waiting times at anchor. Container terminal throughput rates decline, and during crisis situations, coordination breakdowns introduce direct safety risks.</w:t>
      </w:r>
    </w:p>
    <w:p>
      <w:pPr>
        <w:spacing w:after="120" w:line="276"/>
        <w:jc w:val="both"/>
      </w:pPr>
      <w:r>
        <w:rPr>
          <w:rFonts w:ascii="Times New Roman" w:cs="Times New Roman" w:eastAsia="Times New Roman" w:hAnsi="Times New Roman"/>
          <w:sz w:val="22"/>
          <w:szCs w:val="22"/>
        </w:rPr>
        <w:t xml:space="preserve">HarborSync addresses these problems as a software engineering challenge, providing real-time coordination through a distributed microservice architecture and an event-driven communication model.</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3. System Overview</w:t>
      </w:r>
    </w:p>
    <w:p>
      <w:pPr>
        <w:spacing w:after="120" w:line="276"/>
        <w:jc w:val="both"/>
      </w:pPr>
      <w:r>
        <w:rPr>
          <w:rFonts w:ascii="Times New Roman" w:cs="Times New Roman" w:eastAsia="Times New Roman" w:hAnsi="Times New Roman"/>
          <w:sz w:val="22"/>
          <w:szCs w:val="22"/>
        </w:rPr>
        <w:t xml:space="preserve">HarborSync is a distributed coordination platform that consumes telemetry data from drones monitoring a port area, analyses congestion in container sectors, and automatically assigns tasks to cranes and field teams. The system is designed without a user interface; all outputs are produced through structured log files and REST API responses.</w:t>
      </w:r>
    </w:p>
    <w:p>
      <w:pPr>
        <w:pStyle w:val="Heading2"/>
        <w:spacing w:after="80" w:before="200"/>
        <w:jc w:val="left"/>
      </w:pPr>
      <w:r>
        <w:rPr>
          <w:rFonts w:ascii="Times New Roman" w:cs="Times New Roman" w:eastAsia="Times New Roman" w:hAnsi="Times New Roman"/>
          <w:b/>
          <w:bCs/>
          <w:color w:val="000000"/>
          <w:sz w:val="24"/>
          <w:szCs w:val="24"/>
        </w:rPr>
        <w:t xml:space="preserve">3.1 High-Level Solution</w:t>
      </w:r>
    </w:p>
    <w:p>
      <w:pPr>
        <w:spacing w:after="120" w:line="276"/>
        <w:jc w:val="both"/>
      </w:pPr>
      <w:r>
        <w:rPr>
          <w:rFonts w:ascii="Times New Roman" w:cs="Times New Roman" w:eastAsia="Times New Roman" w:hAnsi="Times New Roman"/>
          <w:sz w:val="22"/>
          <w:szCs w:val="22"/>
        </w:rPr>
        <w:t xml:space="preserve">The end-to-end data flow proceeds as follows. A drone simulator generates telemetry data without requiring real sensor hardware. The Telemetry Service validates this data and publishes it to the message broker. The Congestion Analysis Service evaluates business rules and, upon detecting a threshold breach, emits an alert event. The Task Assignment Service consumes these alerts, creates crane or team assignments, and coordinates with the Vessel Service via REST. Finally, the Notification Service records all critical events in a structured log format.</w:t>
      </w:r>
    </w:p>
    <w:p>
      <w:pPr>
        <w:pStyle w:val="Heading2"/>
        <w:spacing w:after="80" w:before="200"/>
        <w:jc w:val="left"/>
      </w:pPr>
      <w:r>
        <w:rPr>
          <w:rFonts w:ascii="Times New Roman" w:cs="Times New Roman" w:eastAsia="Times New Roman" w:hAnsi="Times New Roman"/>
          <w:b/>
          <w:bCs/>
          <w:color w:val="000000"/>
          <w:sz w:val="24"/>
          <w:szCs w:val="24"/>
        </w:rPr>
        <w:t xml:space="preserve">3.2 Key Design Decisions</w:t>
      </w:r>
    </w:p>
    <w:p>
      <w:pPr>
        <w:spacing w:after="120" w:line="276"/>
        <w:jc w:val="both"/>
      </w:pPr>
      <w:r>
        <w:rPr>
          <w:rFonts w:ascii="Times New Roman" w:cs="Times New Roman" w:eastAsia="Times New Roman" w:hAnsi="Times New Roman"/>
          <w:sz w:val="22"/>
          <w:szCs w:val="22"/>
        </w:rPr>
        <w:t xml:space="preserve">The architecture is built on five foundational design decisions: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Database per Service: Each service owns its exclusive database. No service may access another service's database directly. This enforces the data ownership principle of Domain-Driven Design (DDD).</w:t>
      </w:r>
    </w:p>
    <w:p>
      <w:pPr>
        <w:pStyle w:val="ListParagraph"/>
        <w:numPr>
          <w:ilvl w:val="0"/>
          <w:numId w:val="2"/>
        </w:numPr>
        <w:spacing w:after="80" w:line="276"/>
        <w:jc w:val="both"/>
      </w:pPr>
      <w:r>
        <w:rPr>
          <w:rFonts w:ascii="Times New Roman" w:cs="Times New Roman" w:eastAsia="Times New Roman" w:hAnsi="Times New Roman"/>
          <w:sz w:val="22"/>
          <w:szCs w:val="22"/>
        </w:rPr>
        <w:t xml:space="preserve">Eventual Consistency: Telemetry data is processed asynchronously through RabbitMQ. The system targets eventual rather than immediate consistency, which is appropriate for high-volume environments such as port operations.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Stateless Analysis: The Congestion Analysis Service retains no state. All decisions are made instantaneously from the incoming event data, enabling horizontal scaling without database bottleneck risk.</w:t>
      </w:r>
    </w:p>
    <w:p>
      <w:pPr>
        <w:pStyle w:val="ListParagraph"/>
        <w:numPr>
          <w:ilvl w:val="0"/>
          <w:numId w:val="2"/>
        </w:numPr>
        <w:spacing w:after="80" w:line="276"/>
        <w:jc w:val="both"/>
      </w:pPr>
      <w:r>
        <w:rPr>
          <w:rFonts w:ascii="Times New Roman" w:cs="Times New Roman" w:eastAsia="Times New Roman" w:hAnsi="Times New Roman"/>
          <w:sz w:val="22"/>
          <w:szCs w:val="22"/>
        </w:rPr>
        <w:t xml:space="preserve">Dead Letter Queue (DLQ): All unprocessable messages are routed to a dedicated DLQ, preventing message loss and enabling failure analysis.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Hybrid Synchronous / Asynchronous Communication: REST is used where an immediate query-response is semantically required; RabbitMQ is used for all high-frequency, decoupled data flows.</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4. Microservice Decomposition</w:t>
      </w:r>
    </w:p>
    <w:p>
      <w:pPr>
        <w:spacing w:after="120" w:line="276"/>
        <w:jc w:val="both"/>
      </w:pPr>
      <w:r>
        <w:rPr>
          <w:rFonts w:ascii="Times New Roman" w:cs="Times New Roman" w:eastAsia="Times New Roman" w:hAnsi="Times New Roman"/>
          <w:sz w:val="22"/>
          <w:szCs w:val="22"/>
        </w:rPr>
        <w:t xml:space="preserve">Service boundaries are defined according to Domain-Driven Design principles. Each service corresponds to a single bounded context and is decomposed by business capability. The decomposition was derived from an Event Storming exercise that identified the core domain events of the system.</w:t>
      </w:r>
    </w:p>
    <w:p>
      <w:pPr>
        <w:pStyle w:val="Heading2"/>
        <w:spacing w:after="80" w:before="200"/>
        <w:jc w:val="left"/>
      </w:pPr>
      <w:r>
        <w:rPr>
          <w:rFonts w:ascii="Times New Roman" w:cs="Times New Roman" w:eastAsia="Times New Roman" w:hAnsi="Times New Roman"/>
          <w:b/>
          <w:bCs/>
          <w:color w:val="000000"/>
          <w:sz w:val="24"/>
          <w:szCs w:val="24"/>
        </w:rPr>
        <w:t xml:space="preserve">4.1 Bounded Contexts</w:t>
      </w:r>
    </w:p>
    <w:p>
      <w:pPr>
        <w:spacing w:after="120" w:before="60"/>
        <w:jc w:val="center"/>
      </w:pPr>
      <w:r>
        <w:rPr>
          <w:rFonts w:ascii="Times New Roman" w:cs="Times New Roman" w:eastAsia="Times New Roman" w:hAnsi="Times New Roman"/>
          <w:b/>
          <w:bCs/>
          <w:sz w:val="22"/>
          <w:szCs w:val="22"/>
        </w:rPr>
        <w:t xml:space="preserve">Table 2: Bounded Context Summary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87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Bounded Context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Responsibility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Service</w:t>
            </w:r>
          </w:p>
        </w:tc>
        <w:tc>
          <w:tcPr>
            <w:tcW w:type="dxa" w:w="287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Domain Events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 Management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Ship lifecycle and berth assignment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 Service</w:t>
            </w:r>
          </w:p>
        </w:tc>
        <w:tc>
          <w:tcPr>
            <w:tcW w:type="dxa" w:w="28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VesselArrived, VesselDocked, VesselDeparted</w:t>
            </w:r>
          </w:p>
        </w:tc>
      </w:tr>
      <w:tr>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Port Telemetry</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Drone sensor data and sector fill state</w:t>
            </w:r>
          </w:p>
        </w:tc>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w:t>
            </w:r>
          </w:p>
        </w:tc>
        <w:tc>
          <w:tcPr>
            <w:tcW w:type="dxa" w:w="28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TelemetryReceived, SectorUpdated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Rule-based congestion detection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 Service</w:t>
            </w:r>
          </w:p>
        </w:tc>
        <w:tc>
          <w:tcPr>
            <w:tcW w:type="dxa" w:w="28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CongestionDetected, SectorCritical</w:t>
            </w:r>
          </w:p>
        </w:tc>
      </w:tr>
      <w:tr>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Management</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Crane and team assignment tracking</w:t>
            </w:r>
          </w:p>
        </w:tc>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Assignment Service</w:t>
            </w:r>
          </w:p>
        </w:tc>
        <w:tc>
          <w:tcPr>
            <w:tcW w:type="dxa" w:w="28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TaskCreated, TaskCompleted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Operations Alerting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Audit log and operator notification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 Service</w:t>
            </w:r>
          </w:p>
        </w:tc>
        <w:tc>
          <w:tcPr>
            <w:tcW w:type="dxa" w:w="28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AlertDispatched, AuditLogged</w:t>
            </w:r>
          </w:p>
        </w:tc>
      </w:tr>
    </w:tbl>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Table 2 presents the bounded context map derived from the Event Storming session. Each context is owned exclusively by one service, and cross-context communication occurs only through published events or well-defined REST contracts.</w:t>
      </w:r>
    </w:p>
    <w:p>
      <w:pPr>
        <w:pStyle w:val="Heading2"/>
        <w:spacing w:after="80" w:before="200"/>
        <w:jc w:val="left"/>
      </w:pPr>
      <w:r>
        <w:rPr>
          <w:rFonts w:ascii="Times New Roman" w:cs="Times New Roman" w:eastAsia="Times New Roman" w:hAnsi="Times New Roman"/>
          <w:b/>
          <w:bCs/>
          <w:color w:val="000000"/>
          <w:sz w:val="24"/>
          <w:szCs w:val="24"/>
        </w:rPr>
        <w:t xml:space="preserve">4.2 Vessel Service</w:t>
      </w:r>
    </w:p>
    <w:p>
      <w:pPr>
        <w:spacing w:after="120" w:line="276"/>
        <w:jc w:val="both"/>
      </w:pPr>
      <w:r>
        <w:rPr>
          <w:rFonts w:ascii="Times New Roman" w:cs="Times New Roman" w:eastAsia="Times New Roman" w:hAnsi="Times New Roman"/>
          <w:sz w:val="22"/>
          <w:szCs w:val="22"/>
        </w:rPr>
        <w:t xml:space="preserve">The Vessel Service is the single source of truth for all vessel-related data in the system. It manages the full lifecycle of ships entering and leaving the port area. The service exposes four REST endpoints: POST /vessels to register a new vessel, GET /vessels to list active vessels (with optional status filtering), GET /vessels/{id} to retrieve a vessel detail, and PUT /vessels/{id}/status to update the vessel's operational status and assigned berth.</w:t>
      </w:r>
    </w:p>
    <w:p>
      <w:pPr>
        <w:spacing w:after="120" w:line="276"/>
        <w:jc w:val="both"/>
      </w:pPr>
      <w:r>
        <w:rPr>
          <w:rFonts w:ascii="Times New Roman" w:cs="Times New Roman" w:eastAsia="Times New Roman" w:hAnsi="Times New Roman"/>
          <w:sz w:val="22"/>
          <w:szCs w:val="22"/>
        </w:rPr>
        <w:t xml:space="preserve">The service persists data in a dedicated PostgreSQL database using Flyway-managed schema migrations. The entity model includes fields for IMO number, status (ARRIVING, DOCKED, DEPARTING, DEPARTED), berth identifier, and estimated time of arrival. Task Assignment Service communicates with this service through a VesselServiceClient adapter class, which acts as an Anti-Corruption Layer, preventing Vessel Service's internal model from leaking into other services.</w:t>
      </w:r>
    </w:p>
    <w:p>
      <w:pPr>
        <w:pStyle w:val="Heading2"/>
        <w:spacing w:after="80" w:before="200"/>
        <w:jc w:val="left"/>
      </w:pPr>
      <w:r>
        <w:rPr>
          <w:rFonts w:ascii="Times New Roman" w:cs="Times New Roman" w:eastAsia="Times New Roman" w:hAnsi="Times New Roman"/>
          <w:b/>
          <w:bCs/>
          <w:color w:val="000000"/>
          <w:sz w:val="24"/>
          <w:szCs w:val="24"/>
        </w:rPr>
        <w:t xml:space="preserve">4.3 Telemetry Service</w:t>
      </w:r>
    </w:p>
    <w:p>
      <w:pPr>
        <w:spacing w:after="120" w:line="276"/>
        <w:jc w:val="both"/>
      </w:pPr>
      <w:r>
        <w:rPr>
          <w:rFonts w:ascii="Times New Roman" w:cs="Times New Roman" w:eastAsia="Times New Roman" w:hAnsi="Times New Roman"/>
          <w:sz w:val="22"/>
          <w:szCs w:val="22"/>
        </w:rPr>
        <w:t xml:space="preserve">The Telemetry Service acts as the sensory organ of the system. It receives raw telemetry payloads from drone simulators, validates and enriches them by computing the sector fill rate (containerCount / capacity), writes the latest drone state to Redis with a 30-second TTL, and publishes a ProcessedTelemetryEvent to the telemetry.processed queue.</w:t>
      </w:r>
    </w:p>
    <w:p>
      <w:pPr>
        <w:spacing w:after="120" w:line="276"/>
        <w:jc w:val="both"/>
      </w:pPr>
      <w:r>
        <w:rPr>
          <w:rFonts w:ascii="Times New Roman" w:cs="Times New Roman" w:eastAsia="Times New Roman" w:hAnsi="Times New Roman"/>
          <w:sz w:val="22"/>
          <w:szCs w:val="22"/>
        </w:rPr>
        <w:t xml:space="preserve">Redis is selected for drone state storage because it offers sub-millisecond read/write performance and native TTL support, making it appropriate for ephemeral, high-frequency state snapshots. The Telemetry Service and the drone simulator are kept as separate components so that future migration to real IoT sensors requires changes only to the ingest adapter, not to the analysis layer.</w:t>
      </w:r>
    </w:p>
    <w:p>
      <w:pPr>
        <w:pStyle w:val="Heading2"/>
        <w:spacing w:after="80" w:before="200"/>
        <w:jc w:val="left"/>
      </w:pPr>
      <w:r>
        <w:rPr>
          <w:rFonts w:ascii="Times New Roman" w:cs="Times New Roman" w:eastAsia="Times New Roman" w:hAnsi="Times New Roman"/>
          <w:b/>
          <w:bCs/>
          <w:color w:val="000000"/>
          <w:sz w:val="24"/>
          <w:szCs w:val="24"/>
        </w:rPr>
        <w:t xml:space="preserve">4.4 Congestion Analysis Service</w:t>
      </w:r>
    </w:p>
    <w:p>
      <w:pPr>
        <w:spacing w:after="120" w:line="276"/>
        <w:jc w:val="both"/>
      </w:pPr>
      <w:r>
        <w:rPr>
          <w:rFonts w:ascii="Times New Roman" w:cs="Times New Roman" w:eastAsia="Times New Roman" w:hAnsi="Times New Roman"/>
          <w:sz w:val="22"/>
          <w:szCs w:val="22"/>
        </w:rPr>
        <w:t xml:space="preserve">The Congestion Analysis Service is the analytical core of the platform. It operates as a pure consumer-producer in the RabbitMQ topology, subscribing to the telemetry.processed queue and publishing to the congestion.alert queue. It holds no database and retains no state between messages; all decisions are derived from the instantaneous data of the incoming event.</w:t>
      </w:r>
    </w:p>
    <w:p>
      <w:pPr>
        <w:spacing w:after="120" w:line="276"/>
        <w:jc w:val="both"/>
      </w:pPr>
      <w:r>
        <w:rPr>
          <w:rFonts w:ascii="Times New Roman" w:cs="Times New Roman" w:eastAsia="Times New Roman" w:hAnsi="Times New Roman"/>
          <w:sz w:val="22"/>
          <w:szCs w:val="22"/>
        </w:rPr>
        <w:t xml:space="preserve">The service implements a three-rule decision engine: (1) if blockage is detected and a vessel is arriving, emit IMMEDIATE_ACTION with HIGH severity; (2) if fill rate exceeds 90%, emit SECTOR_CRITICAL with HIGH severity; (3) if fill rate exceeds 85% but is below 90%, emit SECTOR_WARNING with MEDIUM severity. The stateless design enables horizontal scaling without synchronisation overhead.</w:t>
      </w:r>
    </w:p>
    <w:p>
      <w:pPr>
        <w:pStyle w:val="Heading2"/>
        <w:spacing w:after="80" w:before="200"/>
        <w:jc w:val="left"/>
      </w:pPr>
      <w:r>
        <w:rPr>
          <w:rFonts w:ascii="Times New Roman" w:cs="Times New Roman" w:eastAsia="Times New Roman" w:hAnsi="Times New Roman"/>
          <w:b/>
          <w:bCs/>
          <w:color w:val="000000"/>
          <w:sz w:val="24"/>
          <w:szCs w:val="24"/>
        </w:rPr>
        <w:t xml:space="preserve">4.5 Task Assignment Service</w:t>
      </w:r>
    </w:p>
    <w:p>
      <w:pPr>
        <w:spacing w:after="120" w:line="276"/>
        <w:jc w:val="both"/>
      </w:pPr>
      <w:r>
        <w:rPr>
          <w:rFonts w:ascii="Times New Roman" w:cs="Times New Roman" w:eastAsia="Times New Roman" w:hAnsi="Times New Roman"/>
          <w:sz w:val="22"/>
          <w:szCs w:val="22"/>
        </w:rPr>
        <w:t xml:space="preserve">The Task Assignment Service is the most operationally complex component. It subscribes to the congestion.alert queue, queries the Vessel Service for arriving ships via a Circuit Breaker-protected REST call, and persists the resulting task record to its own PostgreSQL database. A task includes the target sector, alert type, assigned unit (crane or team), priority level, and correlation identifier.</w:t>
      </w:r>
    </w:p>
    <w:p>
      <w:pPr>
        <w:spacing w:after="120" w:line="276"/>
        <w:jc w:val="both"/>
      </w:pPr>
      <w:r>
        <w:rPr>
          <w:rFonts w:ascii="Times New Roman" w:cs="Times New Roman" w:eastAsia="Times New Roman" w:hAnsi="Times New Roman"/>
          <w:sz w:val="22"/>
          <w:szCs w:val="22"/>
        </w:rPr>
        <w:t xml:space="preserve">A Choreography-based Saga pattern is applied to the task creation workflow: the service queries the Vessel Service for berth availability, creates the task record, and publishes a TaskCreatedEvent. In the event of a Vessel Service failure, the Resilience4j Circuit Breaker activates a fallback that returns an empty vessel list, allowing task creation to proceed without blocking. If a database error occurs, the task is recorded with FAILED status as a compensating transaction.</w:t>
      </w:r>
    </w:p>
    <w:p>
      <w:pPr>
        <w:pStyle w:val="Heading2"/>
        <w:spacing w:after="80" w:before="200"/>
        <w:jc w:val="left"/>
      </w:pPr>
      <w:r>
        <w:rPr>
          <w:rFonts w:ascii="Times New Roman" w:cs="Times New Roman" w:eastAsia="Times New Roman" w:hAnsi="Times New Roman"/>
          <w:b/>
          <w:bCs/>
          <w:color w:val="000000"/>
          <w:sz w:val="24"/>
          <w:szCs w:val="24"/>
        </w:rPr>
        <w:t xml:space="preserve">4.6 Notification Service</w:t>
      </w:r>
    </w:p>
    <w:p>
      <w:pPr>
        <w:spacing w:after="120" w:line="276"/>
        <w:jc w:val="both"/>
      </w:pPr>
      <w:r>
        <w:rPr>
          <w:rFonts w:ascii="Times New Roman" w:cs="Times New Roman" w:eastAsia="Times New Roman" w:hAnsi="Times New Roman"/>
          <w:sz w:val="22"/>
          <w:szCs w:val="22"/>
        </w:rPr>
        <w:t xml:space="preserve">The Notification Service is implemented in Python using FastAPI and the aio-pika asynchronous RabbitMQ client. It subscribes to three queues — congestion.alert, task.created, and dlq.errors — and writes all incoming events to a structured, rotating log file (alerts.log). It exposes a single health check endpoint at GET /health.</w:t>
      </w:r>
    </w:p>
    <w:p>
      <w:pPr>
        <w:spacing w:after="120" w:line="276"/>
        <w:jc w:val="both"/>
      </w:pPr>
      <w:r>
        <w:rPr>
          <w:rFonts w:ascii="Times New Roman" w:cs="Times New Roman" w:eastAsia="Times New Roman" w:hAnsi="Times New Roman"/>
          <w:sz w:val="22"/>
          <w:szCs w:val="22"/>
        </w:rPr>
        <w:t xml:space="preserve">This service demonstrates the polyglot nature of the architecture: Spring Boot is used for services requiring complex ORM or resilience patterns, while Python is used for the lightweight, consumer-only notification layer. The structured log format includes timestamp, severity level, correlation ID, and event payload, enabling complete audit traceability.</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5. Communication Design</w:t>
      </w:r>
    </w:p>
    <w:p>
      <w:pPr>
        <w:pStyle w:val="Heading2"/>
        <w:spacing w:after="80" w:before="200"/>
        <w:jc w:val="left"/>
      </w:pPr>
      <w:r>
        <w:rPr>
          <w:rFonts w:ascii="Times New Roman" w:cs="Times New Roman" w:eastAsia="Times New Roman" w:hAnsi="Times New Roman"/>
          <w:b/>
          <w:bCs/>
          <w:color w:val="000000"/>
          <w:sz w:val="24"/>
          <w:szCs w:val="24"/>
        </w:rPr>
        <w:t xml:space="preserve">5.1 Communication Strategy</w:t>
      </w:r>
    </w:p>
    <w:p>
      <w:pPr>
        <w:spacing w:after="120" w:line="276"/>
        <w:jc w:val="both"/>
      </w:pPr>
      <w:r>
        <w:rPr>
          <w:rFonts w:ascii="Times New Roman" w:cs="Times New Roman" w:eastAsia="Times New Roman" w:hAnsi="Times New Roman"/>
          <w:sz w:val="22"/>
          <w:szCs w:val="22"/>
        </w:rPr>
        <w:t xml:space="preserve">HarborSync employs a hybrid communication model that combines synchronous REST over HTTP and asynchronous event-driven messaging through RabbitMQ. The choice between these two paradigms is governed by a single rule: if a response must be awaited before proceeding, REST is used; if the sender can continue without waiting for the receiver, RabbitMQ is used.</w:t>
      </w:r>
    </w:p>
    <w:p>
      <w:pPr>
        <w:pStyle w:val="Heading2"/>
        <w:spacing w:after="80" w:before="200"/>
        <w:jc w:val="left"/>
      </w:pPr>
      <w:r>
        <w:rPr>
          <w:rFonts w:ascii="Times New Roman" w:cs="Times New Roman" w:eastAsia="Times New Roman" w:hAnsi="Times New Roman"/>
          <w:b/>
          <w:bCs/>
          <w:color w:val="000000"/>
          <w:sz w:val="24"/>
          <w:szCs w:val="24"/>
        </w:rPr>
        <w:t xml:space="preserve">5.2 API Gateway</w:t>
      </w:r>
    </w:p>
    <w:p>
      <w:pPr>
        <w:spacing w:after="120" w:line="276"/>
        <w:jc w:val="both"/>
      </w:pPr>
      <w:r>
        <w:rPr>
          <w:rFonts w:ascii="Times New Roman" w:cs="Times New Roman" w:eastAsia="Times New Roman" w:hAnsi="Times New Roman"/>
          <w:sz w:val="22"/>
          <w:szCs w:val="22"/>
        </w:rPr>
        <w:t xml:space="preserve">All external REST traffic passes through a Spring Cloud Gateway instance, which is the system's single ingress point. The gateway enforces four cross-cutting concerns: (1) Correlation ID Injection — every incoming request is assigned a unique OP-prefixed identifier that is propagated downstream as an X-Correlation-ID HTTP header; (2) Rate Limiting — requests from the same source are throttled to 10 requests per second with a burst capacity of 20; (3) Request Logging — all incoming requests are logged with their method, path, and correlation ID; and (4) Auth Filter — API key or JWT verification is centralised at the gateway, relieving downstream services of authentication logic.</w:t>
      </w:r>
    </w:p>
    <w:p>
      <w:pPr>
        <w:pStyle w:val="Heading2"/>
        <w:spacing w:after="80" w:before="200"/>
        <w:jc w:val="left"/>
      </w:pPr>
      <w:r>
        <w:rPr>
          <w:rFonts w:ascii="Times New Roman" w:cs="Times New Roman" w:eastAsia="Times New Roman" w:hAnsi="Times New Roman"/>
          <w:b/>
          <w:bCs/>
          <w:color w:val="000000"/>
          <w:sz w:val="24"/>
          <w:szCs w:val="24"/>
        </w:rPr>
        <w:t xml:space="preserve">5.3 Synchronous Communication (REST)</w:t>
      </w:r>
    </w:p>
    <w:p>
      <w:pPr>
        <w:spacing w:after="120" w:line="276"/>
        <w:jc w:val="both"/>
      </w:pPr>
      <w:r>
        <w:rPr>
          <w:rFonts w:ascii="Times New Roman" w:cs="Times New Roman" w:eastAsia="Times New Roman" w:hAnsi="Times New Roman"/>
          <w:sz w:val="22"/>
          <w:szCs w:val="22"/>
        </w:rPr>
        <w:t xml:space="preserve">REST is used exclusively for the interaction between Task Assignment Service and Vessel Service. When creating a task, the Task Assignment Service must know the current berth availability of arriving vessels before proceeding. This is a query-response relationship where the outcome of the query directly determines the next step, making synchronous communication semantically correct. The call is wrapped in a Resilience4j Circuit Breaker that transitions from CLOSED to OPEN when the failure rate exceeds 50% over a sliding window of five calls, with a 10-second wait before the HALF-OPEN recovery attempt.</w:t>
      </w:r>
    </w:p>
    <w:p>
      <w:pPr>
        <w:pStyle w:val="Heading2"/>
        <w:spacing w:after="80" w:before="200"/>
        <w:jc w:val="left"/>
      </w:pPr>
      <w:r>
        <w:rPr>
          <w:rFonts w:ascii="Times New Roman" w:cs="Times New Roman" w:eastAsia="Times New Roman" w:hAnsi="Times New Roman"/>
          <w:b/>
          <w:bCs/>
          <w:color w:val="000000"/>
          <w:sz w:val="24"/>
          <w:szCs w:val="24"/>
        </w:rPr>
        <w:t xml:space="preserve">5.4 Asynchronous Communication (RabbitMQ)</w:t>
      </w:r>
    </w:p>
    <w:p>
      <w:pPr>
        <w:spacing w:after="120" w:line="276"/>
        <w:jc w:val="both"/>
      </w:pPr>
      <w:r>
        <w:rPr>
          <w:rFonts w:ascii="Times New Roman" w:cs="Times New Roman" w:eastAsia="Times New Roman" w:hAnsi="Times New Roman"/>
          <w:sz w:val="22"/>
          <w:szCs w:val="22"/>
        </w:rPr>
        <w:t xml:space="preserve">All telemetry and alert flows use RabbitMQ with a direct exchange model. The message broker decouples producer and consumer lifecycles: the Telemetry Service publishes a processed event and continues without waiting for the Congestion Analysis Service to consume it. This design prevents cascading failures, absorbs telemetry bursts, and enables each service to scale independently. Dead-letter routing is configured on every queue; after three failed delivery attempts, the message is routed to the dlq.errors queue for inspection by the Notification Service.</w:t>
      </w:r>
    </w:p>
    <w:p>
      <w:pPr>
        <w:spacing w:after="0"/>
      </w:pPr>
      <w:r>
        <w:rPr>
          <w:rFonts w:ascii="Times New Roman" w:cs="Times New Roman" w:eastAsia="Times New Roman" w:hAnsi="Times New Roman"/>
          <w:sz w:val="22"/>
          <w:szCs w:val="22"/>
        </w:rPr>
        <w:t xml:space="preserve"/>
      </w:r>
    </w:p>
    <w:p>
      <w:pPr>
        <w:spacing w:after="120" w:before="60"/>
        <w:jc w:val="center"/>
      </w:pPr>
      <w:r>
        <w:rPr>
          <w:rFonts w:ascii="Times New Roman" w:cs="Times New Roman" w:eastAsia="Times New Roman" w:hAnsi="Times New Roman"/>
          <w:i/>
          <w:iCs/>
          <w:sz w:val="22"/>
          <w:szCs w:val="22"/>
        </w:rPr>
        <w:t xml:space="preserve">Figure 2: RabbitMQ Exchange and Queue Topology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70"/>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Queue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Producer</w:t>
            </w:r>
          </w:p>
        </w:tc>
        <w:tc>
          <w:tcPr>
            <w:tcW w:type="dxa" w:w="357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Consumer(s)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telemetry.raw</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Drone Simulator</w:t>
            </w:r>
          </w:p>
        </w:tc>
        <w:tc>
          <w:tcPr>
            <w:tcW w:type="dxa" w:w="3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w:t>
            </w:r>
          </w:p>
        </w:tc>
      </w:tr>
      <w:tr>
        <w:tc>
          <w:tcPr>
            <w:tcW w:type="dxa" w:w="25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telemetry.processed</w:t>
            </w:r>
          </w:p>
        </w:tc>
        <w:tc>
          <w:tcPr>
            <w:tcW w:type="dxa" w:w="3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w:t>
            </w:r>
          </w:p>
        </w:tc>
        <w:tc>
          <w:tcPr>
            <w:tcW w:type="dxa" w:w="35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 Service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congestion.alert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 Service</w:t>
            </w:r>
          </w:p>
        </w:tc>
        <w:tc>
          <w:tcPr>
            <w:tcW w:type="dxa" w:w="3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Assignment Service, Notification Service</w:t>
            </w:r>
          </w:p>
        </w:tc>
      </w:tr>
      <w:tr>
        <w:tc>
          <w:tcPr>
            <w:tcW w:type="dxa" w:w="25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task.created</w:t>
            </w:r>
          </w:p>
        </w:tc>
        <w:tc>
          <w:tcPr>
            <w:tcW w:type="dxa" w:w="3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Assignment Service</w:t>
            </w:r>
          </w:p>
        </w:tc>
        <w:tc>
          <w:tcPr>
            <w:tcW w:type="dxa" w:w="35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 Service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dlq.errors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All services (on failure)</w:t>
            </w:r>
          </w:p>
        </w:tc>
        <w:tc>
          <w:tcPr>
            <w:tcW w:type="dxa" w:w="35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 Service</w:t>
            </w:r>
          </w:p>
        </w:tc>
      </w:tr>
    </w:tbl>
    <w:p>
      <w:pPr>
        <w:pStyle w:val="Heading2"/>
        <w:spacing w:after="80" w:before="200"/>
        <w:jc w:val="left"/>
      </w:pPr>
      <w:r>
        <w:rPr>
          <w:rFonts w:ascii="Times New Roman" w:cs="Times New Roman" w:eastAsia="Times New Roman" w:hAnsi="Times New Roman"/>
          <w:b/>
          <w:bCs/>
          <w:color w:val="000000"/>
          <w:sz w:val="24"/>
          <w:szCs w:val="24"/>
        </w:rPr>
        <w:t xml:space="preserve">5.5 Event Flow</w:t>
      </w:r>
    </w:p>
    <w:p>
      <w:pPr>
        <w:spacing w:after="120" w:before="60"/>
        <w:jc w:val="center"/>
      </w:pPr>
      <w:r>
        <w:rPr>
          <w:rFonts w:ascii="Times New Roman" w:cs="Times New Roman" w:eastAsia="Times New Roman" w:hAnsi="Times New Roman"/>
          <w:b/>
          <w:bCs/>
          <w:sz w:val="22"/>
          <w:szCs w:val="22"/>
        </w:rPr>
        <w:t xml:space="preserve">Table 4: Event Flow Steps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000"/>
        <w:gridCol w:w="2200"/>
        <w:gridCol w:w="217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Producer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Channel</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Consumer</w:t>
            </w:r>
          </w:p>
        </w:tc>
        <w:tc>
          <w:tcPr>
            <w:tcW w:type="dxa" w:w="217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Description</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Drone Simulator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telemetry.raw</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w:t>
            </w:r>
          </w:p>
        </w:tc>
        <w:tc>
          <w:tcPr>
            <w:tcW w:type="dxa" w:w="2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Publishes raw position and capacity data</w:t>
            </w:r>
          </w:p>
        </w:tc>
      </w:tr>
      <w:tr>
        <w:tc>
          <w:tcPr>
            <w:tcW w:type="dxa" w:w="5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w:t>
            </w:r>
          </w:p>
        </w:tc>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telemetry.processed</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w:t>
            </w:r>
          </w:p>
        </w:tc>
        <w:tc>
          <w:tcPr>
            <w:tcW w:type="dxa" w:w="21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Validates, computes fillRate, publishes event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congestion.alert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 Notification</w:t>
            </w:r>
          </w:p>
        </w:tc>
        <w:tc>
          <w:tcPr>
            <w:tcW w:type="dxa" w:w="2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Evaluates rules, emits alert if threshold exceeded</w:t>
            </w:r>
          </w:p>
        </w:tc>
      </w:tr>
      <w:tr>
        <w:tc>
          <w:tcPr>
            <w:tcW w:type="dxa" w:w="5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Assignment</w:t>
            </w:r>
          </w:p>
        </w:tc>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REST GET</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 Service</w:t>
            </w:r>
          </w:p>
        </w:tc>
        <w:tc>
          <w:tcPr>
            <w:tcW w:type="dxa" w:w="21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Queries arriving vessels for unit assignment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task.created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 Service</w:t>
            </w:r>
          </w:p>
        </w:tc>
        <w:tc>
          <w:tcPr>
            <w:tcW w:type="dxa" w:w="21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Publishes task assignment event</w:t>
            </w:r>
          </w:p>
        </w:tc>
      </w:tr>
      <w:tr>
        <w:tc>
          <w:tcPr>
            <w:tcW w:type="dxa" w:w="5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 Service</w:t>
            </w:r>
          </w:p>
        </w:tc>
        <w:tc>
          <w:tcPr>
            <w:tcW w:type="dxa" w:w="20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alerts.log</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file)</w:t>
            </w:r>
          </w:p>
        </w:tc>
        <w:tc>
          <w:tcPr>
            <w:tcW w:type="dxa" w:w="21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Writes structured audit log entry</w:t>
            </w:r>
          </w:p>
        </w:tc>
      </w:tr>
    </w:tbl>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Table 4 and Figure 2 together describe the complete message topology. All six steps execute within a single correlated workflow, traceable through the Correlation ID propagated from the gateway.</w:t>
      </w:r>
    </w:p>
    <w:p>
      <w:pPr>
        <w:pStyle w:val="Heading2"/>
        <w:spacing w:after="80" w:before="200"/>
        <w:jc w:val="left"/>
      </w:pPr>
      <w:r>
        <w:rPr>
          <w:rFonts w:ascii="Times New Roman" w:cs="Times New Roman" w:eastAsia="Times New Roman" w:hAnsi="Times New Roman"/>
          <w:b/>
          <w:bCs/>
          <w:color w:val="000000"/>
          <w:sz w:val="24"/>
          <w:szCs w:val="24"/>
        </w:rPr>
        <w:t xml:space="preserve">5.6 Saga Pattern</w:t>
      </w:r>
    </w:p>
    <w:p>
      <w:pPr>
        <w:spacing w:after="120" w:line="276"/>
        <w:jc w:val="both"/>
      </w:pPr>
      <w:r>
        <w:rPr>
          <w:rFonts w:ascii="Times New Roman" w:cs="Times New Roman" w:eastAsia="Times New Roman" w:hAnsi="Times New Roman"/>
          <w:sz w:val="22"/>
          <w:szCs w:val="22"/>
        </w:rPr>
        <w:t xml:space="preserve">The task creation workflow between Task Assignment Service and Vessel Service is implemented as a Choreography-based Saga to ensure data consistency without distributed transactions. The saga proceeds in three steps: (1) query the Vessel Service for arriving vessels using a Circuit Breaker-protected call; (2) create and persist the task record; (3) publish the task.created event. If the Vessel Service is unavailable, the Circuit Breaker fallback returns an empty list and task creation proceeds without berth information. If the database write fails, the task is recorded with FAILED status as a compensating transaction, preventing the system from entering an inconsistent state.</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6. Technology Stack</w:t>
      </w:r>
    </w:p>
    <w:p>
      <w:pPr>
        <w:spacing w:after="120" w:before="60"/>
        <w:jc w:val="center"/>
      </w:pPr>
      <w:r>
        <w:rPr>
          <w:rFonts w:ascii="Times New Roman" w:cs="Times New Roman" w:eastAsia="Times New Roman" w:hAnsi="Times New Roman"/>
          <w:b/>
          <w:bCs/>
          <w:sz w:val="22"/>
          <w:szCs w:val="22"/>
        </w:rPr>
        <w:t xml:space="preserve">Table 3: Technology Stack Summary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7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Service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Framework</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Database</w:t>
            </w:r>
          </w:p>
        </w:tc>
        <w:tc>
          <w:tcPr>
            <w:tcW w:type="dxa" w:w="307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Communication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 Service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Spring Boot 3.2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PostgreSQL 15</w:t>
            </w:r>
          </w:p>
        </w:tc>
        <w:tc>
          <w:tcPr>
            <w:tcW w:type="dxa" w:w="30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REST API (exposed)</w:t>
            </w:r>
          </w:p>
        </w:tc>
      </w:tr>
      <w:tr>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Telemetry Service</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Spring Boot 3.2</w:t>
            </w:r>
          </w:p>
        </w:tc>
        <w:tc>
          <w:tcPr>
            <w:tcW w:type="dxa" w:w="16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Redis 7</w:t>
            </w:r>
          </w:p>
        </w:tc>
        <w:tc>
          <w:tcPr>
            <w:tcW w:type="dxa" w:w="30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RabbitMQ Producer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Congestion Analysis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Spring Boot 3.2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None (stateless)</w:t>
            </w:r>
          </w:p>
        </w:tc>
        <w:tc>
          <w:tcPr>
            <w:tcW w:type="dxa" w:w="30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RabbitMQ Consumer/Producer</w:t>
            </w:r>
          </w:p>
        </w:tc>
      </w:tr>
      <w:tr>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Task Assignment</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Spring Boot 3.2</w:t>
            </w:r>
          </w:p>
        </w:tc>
        <w:tc>
          <w:tcPr>
            <w:tcW w:type="dxa" w:w="16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PostgreSQL 15</w:t>
            </w:r>
          </w:p>
        </w:tc>
        <w:tc>
          <w:tcPr>
            <w:tcW w:type="dxa" w:w="30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RabbitMQ Consumer + REST Client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Notification Service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FastAPI (Python 3.11)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Log file</w:t>
            </w:r>
          </w:p>
        </w:tc>
        <w:tc>
          <w:tcPr>
            <w:tcW w:type="dxa" w:w="30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RabbitMQ Consumer</w:t>
            </w:r>
          </w:p>
        </w:tc>
      </w:tr>
      <w:tr>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 Gateway</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Spring Cloud Gateway 4.x</w:t>
            </w:r>
          </w:p>
        </w:tc>
        <w:tc>
          <w:tcPr>
            <w:tcW w:type="dxa" w:w="16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30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HTTP Reverse Proxy (WebFlux)</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Message Broker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RabbitMQ 3.13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30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AMQP 0-9-1 + DLQ</w:t>
            </w:r>
          </w:p>
        </w:tc>
      </w:tr>
      <w:tr>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Infrastructure</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Docker Compose</w:t>
            </w:r>
          </w:p>
        </w:tc>
        <w:tc>
          <w:tcPr>
            <w:tcW w:type="dxa" w:w="16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30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Container orchestration (local)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DB Migration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Flyway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307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Vessel &amp; Task DB schema versioning</w:t>
            </w:r>
          </w:p>
        </w:tc>
      </w:tr>
      <w:tr>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Resilience</w:t>
            </w:r>
          </w:p>
        </w:tc>
        <w:tc>
          <w:tcPr>
            <w:tcW w:type="dxa" w:w="22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Resilience4j</w:t>
            </w:r>
          </w:p>
        </w:tc>
        <w:tc>
          <w:tcPr>
            <w:tcW w:type="dxa" w:w="160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t>
            </w:r>
          </w:p>
        </w:tc>
        <w:tc>
          <w:tcPr>
            <w:tcW w:type="dxa" w:w="3070"/>
            <w:tcBorders>
              <w:top w:val="single" w:color="AAAAAA" w:sz="1"/>
              <w:left w:val="single" w:color="AAAAAA" w:sz="1"/>
              <w:bottom w:val="single" w:color="AAAAAA" w:sz="1"/>
              <w:right w:val="single" w:color="AAAAAA" w:sz="1"/>
            </w:tcBorders>
            <w:shd w:fill="EBF0F8"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Circuit Breaker for Vessel Service calls</w:t>
            </w:r>
          </w:p>
        </w:tc>
      </w:tr>
    </w:tbl>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The technology selection reflects the following rationale. Spring Boot is used for services requiring complex ORM integration or resilience patterns due to its mature ecosystem and native Spring AMQP support. FastAPI is chosen for the Notification Service because of its asynchronous I/O model and the lightweight nature of the consumer-only role. RabbitMQ is preferred over Apache Kafka because the expected message volumes do not require Kafka's log-scale streaming architecture, and RabbitMQ provides lower operational complexity with equivalent DLQ and routing capabilities. Redis is used in the Telemetry Service for sub-millisecond state access and native TTL expiry. Docker Compose enables the entire system to be started with a single command, making the development environment fully reproducible.</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7. Architecture Diagram</w:t>
      </w:r>
    </w:p>
    <w:p>
      <w:pPr>
        <w:spacing w:after="120" w:line="276"/>
        <w:jc w:val="both"/>
      </w:pPr>
      <w:r>
        <w:rPr>
          <w:rFonts w:ascii="Times New Roman" w:cs="Times New Roman" w:eastAsia="Times New Roman" w:hAnsi="Times New Roman"/>
          <w:sz w:val="22"/>
          <w:szCs w:val="22"/>
        </w:rPr>
        <w:t xml:space="preserve">Figure 1 presents the full system architecture of HarborSync across four logical layers: the External Input Layer, the API Gateway Layer, the Microservices Layer, and the Data Layer. The diagram illustrates both synchronous (REST) and asynchronous (RabbitMQ) communication paths, the database-per-service topology, and the message broker's central role in decoupling producers and consumers.</w:t>
      </w:r>
    </w:p>
    <w:p>
      <w:pPr>
        <w:spacing w:after="0"/>
      </w:pPr>
      <w:r>
        <w:rPr>
          <w:rFonts w:ascii="Times New Roman" w:cs="Times New Roman" w:eastAsia="Times New Roman" w:hAnsi="Times New Roman"/>
          <w:sz w:val="22"/>
          <w:szCs w:val="22"/>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AAAAAA" w:sz="1"/>
              <w:left w:val="single" w:color="AAAAAA" w:sz="1"/>
              <w:bottom w:val="single" w:color="AAAAAA" w:sz="1"/>
              <w:right w:val="single" w:color="AAAAAA" w:sz="1"/>
            </w:tcBorders>
            <w:shd w:fill="F5F7FA" w:val="clear"/>
            <w:tcMar>
              <w:top w:type="dxa" w:w="120"/>
              <w:left w:type="dxa" w:w="240"/>
              <w:bottom w:type="dxa" w:w="120"/>
              <w:right w:type="dxa" w:w="240"/>
            </w:tcMar>
          </w:tcPr>
          <w:p>
            <w:r>
              <w:rPr>
                <w:rFonts w:ascii="Courier New" w:cs="Courier New" w:eastAsia="Courier New" w:hAnsi="Courier New"/>
                <w:sz w:val="16"/>
                <w:szCs w:val="16"/>
              </w:rPr>
              <w:t xml:space="preserve">┌─────────────────────────────── EXTERNAL INPUT LAYER ───────────────────────────────┐</w:t>
            </w:r>
          </w:p>
          <w:p>
            <w:r>
              <w:rPr>
                <w:rFonts w:ascii="Courier New" w:cs="Courier New" w:eastAsia="Courier New" w:hAnsi="Courier New"/>
                <w:sz w:val="16"/>
                <w:szCs w:val="16"/>
              </w:rPr>
              <w:t xml:space="preserve">│  Drone Simulator (Python script)          Port Operator / REST Client (curl)         │</w:t>
            </w:r>
          </w:p>
          <w:p>
            <w:r>
              <w:rPr>
                <w:rFonts w:ascii="Courier New" w:cs="Courier New" w:eastAsia="Courier New" w:hAnsi="Courier New"/>
                <w:sz w:val="16"/>
                <w:szCs w:val="16"/>
              </w:rPr>
              <w:t xml:space="preserve">│  ↓ RabbitMQ PUBLISH (telemetry.raw)       ↓ HTTPS with Correlation ID                 │</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w:t>
            </w:r>
          </w:p>
          <w:p>
            <w:r>
              <w:rPr>
                <w:rFonts w:ascii="Courier New" w:cs="Courier New" w:eastAsia="Courier New" w:hAnsi="Courier New"/>
                <w:sz w:val="16"/>
                <w:szCs w:val="16"/>
              </w:rPr>
              <w:t xml:space="preserve">┌────────────────────── API GATEWAY LAYER (Spring Cloud Gateway :8080) ──────────────────┐</w:t>
            </w:r>
          </w:p>
          <w:p>
            <w:r>
              <w:rPr>
                <w:rFonts w:ascii="Courier New" w:cs="Courier New" w:eastAsia="Courier New" w:hAnsi="Courier New"/>
                <w:sz w:val="16"/>
                <w:szCs w:val="16"/>
              </w:rPr>
              <w:t xml:space="preserve">│  Correlation ID Injection │ Rate Limiting │ Auth Filter │ Request Logging              │</w:t>
            </w:r>
          </w:p>
          <w:p>
            <w:r>
              <w:rPr>
                <w:rFonts w:ascii="Courier New" w:cs="Courier New" w:eastAsia="Courier New" w:hAnsi="Courier New"/>
                <w:sz w:val="16"/>
                <w:szCs w:val="16"/>
              </w:rPr>
              <w:t xml:space="preserve">│  /api/vessels/**  →  vessel-service:8081    /api/tasks/**  →  task-service:8084         │</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 X-Correlation-ID propagated to all downstream services</w:t>
            </w:r>
          </w:p>
          <w:p>
            <w:r>
              <w:rPr>
                <w:rFonts w:ascii="Courier New" w:cs="Courier New" w:eastAsia="Courier New" w:hAnsi="Courier New"/>
                <w:sz w:val="16"/>
                <w:szCs w:val="16"/>
              </w:rPr>
              <w:t xml:space="preserve">┌──────────────────────────── MICROSERVICES LAYER ──────────────────────────────────────┐</w:t>
            </w:r>
          </w:p>
          <w:p>
            <w:r>
              <w:rPr>
                <w:rFonts w:ascii="Courier New" w:cs="Courier New" w:eastAsia="Courier New" w:hAnsi="Courier New"/>
                <w:sz w:val="16"/>
                <w:szCs w:val="16"/>
              </w:rPr>
              <w:t xml:space="preserve">│  ┌─────────────┐  ┌─────────────────┐  ┌────────────────────┐  ┌────────────────────┐  │</w:t>
            </w:r>
          </w:p>
          <w:p>
            <w:r>
              <w:rPr>
                <w:rFonts w:ascii="Courier New" w:cs="Courier New" w:eastAsia="Courier New" w:hAnsi="Courier New"/>
                <w:sz w:val="16"/>
                <w:szCs w:val="16"/>
              </w:rPr>
              <w:t xml:space="preserve">│  │Vessel       │  │Telemetry        │  │Congestion Analysis │  │Task Assignment     │  │</w:t>
            </w:r>
          </w:p>
          <w:p>
            <w:r>
              <w:rPr>
                <w:rFonts w:ascii="Courier New" w:cs="Courier New" w:eastAsia="Courier New" w:hAnsi="Courier New"/>
                <w:sz w:val="16"/>
                <w:szCs w:val="16"/>
              </w:rPr>
              <w:t xml:space="preserve">│  │Service:8081 │  │Service:8082     │  │Service:8083        │  │Service:8084        │  │</w:t>
            </w:r>
          </w:p>
          <w:p>
            <w:r>
              <w:rPr>
                <w:rFonts w:ascii="Courier New" w:cs="Courier New" w:eastAsia="Courier New" w:hAnsi="Courier New"/>
                <w:sz w:val="16"/>
                <w:szCs w:val="16"/>
              </w:rPr>
              <w:t xml:space="preserve">│  │Spring Boot  │  │Spring Boot      │  │Spring Boot         │  │Spring Boot         │  │</w:t>
            </w:r>
          </w:p>
          <w:p>
            <w:r>
              <w:rPr>
                <w:rFonts w:ascii="Courier New" w:cs="Courier New" w:eastAsia="Courier New" w:hAnsi="Courier New"/>
                <w:sz w:val="16"/>
                <w:szCs w:val="16"/>
              </w:rPr>
              <w:t xml:space="preserve">│  │PostgreSQL   │  │Redis (TTL:30s)  │  │Stateless           │  │PostgreSQL          │  │</w:t>
            </w:r>
          </w:p>
          <w:p>
            <w:r>
              <w:rPr>
                <w:rFonts w:ascii="Courier New" w:cs="Courier New" w:eastAsia="Courier New" w:hAnsi="Courier New"/>
                <w:sz w:val="16"/>
                <w:szCs w:val="16"/>
              </w:rPr>
              <w:t xml:space="preserve">│  └──────┬──────┘  └────────┬────────┘  └─────────┬──────────┘  └─────────┬──────────┘  │</w:t>
            </w:r>
          </w:p>
          <w:p>
            <w:r>
              <w:rPr>
                <w:rFonts w:ascii="Courier New" w:cs="Courier New" w:eastAsia="Courier New" w:hAnsi="Courier New"/>
                <w:sz w:val="16"/>
                <w:szCs w:val="16"/>
              </w:rPr>
              <w:t xml:space="preserve">│         │  REST (CB)        │AMQP pub           │AMQP pub/sub          │AMQP sub+REST  │</w:t>
            </w:r>
          </w:p>
          <w:p>
            <w:r>
              <w:rPr>
                <w:rFonts w:ascii="Courier New" w:cs="Courier New" w:eastAsia="Courier New" w:hAnsi="Courier New"/>
                <w:sz w:val="16"/>
                <w:szCs w:val="16"/>
              </w:rPr>
              <w:t xml:space="preserve">│         └───────────────────┘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                                   │Notification Svc:8085 │                             │</w:t>
            </w:r>
          </w:p>
          <w:p>
            <w:r>
              <w:rPr>
                <w:rFonts w:ascii="Courier New" w:cs="Courier New" w:eastAsia="Courier New" w:hAnsi="Courier New"/>
                <w:sz w:val="16"/>
                <w:szCs w:val="16"/>
              </w:rPr>
              <w:t xml:space="preserve">│                                   │FastAPI / Python 3.11 │                             │</w:t>
            </w:r>
          </w:p>
          <w:p>
            <w:r>
              <w:rPr>
                <w:rFonts w:ascii="Courier New" w:cs="Courier New" w:eastAsia="Courier New" w:hAnsi="Courier New"/>
                <w:sz w:val="16"/>
                <w:szCs w:val="16"/>
              </w:rPr>
              <w:t xml:space="preserve">│                                   │alerts.log (rotating) │                             │</w:t>
            </w:r>
          </w:p>
          <w:p>
            <w:r>
              <w:rPr>
                <w:rFonts w:ascii="Courier New" w:cs="Courier New" w:eastAsia="Courier New" w:hAnsi="Courier New"/>
                <w:sz w:val="16"/>
                <w:szCs w:val="16"/>
              </w:rPr>
              <w:t xml:space="preserve">│                                   └──────────────────────┘                             │</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MESSAGE BROKER LAYER (RabbitMQ 3.13 │ DLQ │ Docker Compose) ───────────────┐</w:t>
            </w:r>
          </w:p>
          <w:p>
            <w:r>
              <w:rPr>
                <w:rFonts w:ascii="Courier New" w:cs="Courier New" w:eastAsia="Courier New" w:hAnsi="Courier New"/>
                <w:sz w:val="16"/>
                <w:szCs w:val="16"/>
              </w:rPr>
              <w:t xml:space="preserve">│  telemetry.raw → telemetry.processed → congestion.alert → task.created → dlq.errors   │</w:t>
            </w:r>
          </w:p>
          <w:p>
            <w:r>
              <w:rPr>
                <w:rFonts w:ascii="Courier New" w:cs="Courier New" w:eastAsia="Courier New" w:hAnsi="Courier New"/>
                <w:sz w:val="16"/>
                <w:szCs w:val="16"/>
              </w:rPr>
              <w:t xml:space="preserve">└────────────────────────────────────────────────────────────────────────────────────────┘</w:t>
            </w:r>
          </w:p>
          <w:p>
            <w:r>
              <w:rPr>
                <w:rFonts w:ascii="Courier New" w:cs="Courier New" w:eastAsia="Courier New" w:hAnsi="Courier New"/>
                <w:sz w:val="16"/>
                <w:szCs w:val="16"/>
              </w:rPr>
              <w:t xml:space="preserve">┌──────────────────────────────── DATA LAYER ──────────────────────────────────────────┐</w:t>
            </w:r>
          </w:p>
          <w:p>
            <w:r>
              <w:rPr>
                <w:rFonts w:ascii="Courier New" w:cs="Courier New" w:eastAsia="Courier New" w:hAnsi="Courier New"/>
                <w:sz w:val="16"/>
                <w:szCs w:val="16"/>
              </w:rPr>
              <w:t xml:space="preserve">│  vessel_db (PostgreSQL:5433)   drone_state (Redis:6379)   task_db (PostgreSQL:5434)   │</w:t>
            </w:r>
          </w:p>
          <w:p>
            <w:r>
              <w:rPr>
                <w:rFonts w:ascii="Courier New" w:cs="Courier New" w:eastAsia="Courier New" w:hAnsi="Courier New"/>
                <w:sz w:val="16"/>
                <w:szCs w:val="16"/>
              </w:rPr>
              <w:t xml:space="preserve">└────────────────────────────────────────────────────────────────────────────────────────┘</w:t>
            </w:r>
          </w:p>
        </w:tc>
      </w:tr>
    </w:tbl>
    <w:p>
      <w:pPr>
        <w:spacing w:after="0"/>
      </w:pPr>
      <w:r>
        <w:rPr>
          <w:rFonts w:ascii="Times New Roman" w:cs="Times New Roman" w:eastAsia="Times New Roman" w:hAnsi="Times New Roman"/>
          <w:sz w:val="22"/>
          <w:szCs w:val="22"/>
        </w:rPr>
        <w:t xml:space="preserve"/>
      </w:r>
    </w:p>
    <w:p>
      <w:pPr>
        <w:spacing w:after="120" w:before="60"/>
        <w:jc w:val="center"/>
      </w:pPr>
      <w:r>
        <w:rPr>
          <w:rFonts w:ascii="Times New Roman" w:cs="Times New Roman" w:eastAsia="Times New Roman" w:hAnsi="Times New Roman"/>
          <w:i/>
          <w:iCs/>
          <w:sz w:val="22"/>
          <w:szCs w:val="22"/>
        </w:rPr>
        <w:t xml:space="preserve">Figure 1: HarborSync High-Level Architecture</w:t>
      </w:r>
    </w:p>
    <w:p>
      <w:pPr>
        <w:spacing w:after="120" w:line="276"/>
        <w:jc w:val="both"/>
      </w:pPr>
      <w:r>
        <w:rPr>
          <w:rFonts w:ascii="Times New Roman" w:cs="Times New Roman" w:eastAsia="Times New Roman" w:hAnsi="Times New Roman"/>
          <w:sz w:val="22"/>
          <w:szCs w:val="22"/>
        </w:rPr>
        <w:t xml:space="preserve">Figure 1 illustrates that all external traffic enters through the API Gateway (top), flows through the microservices layer in the middle, is mediated by RabbitMQ for asynchronous communication, and terminates in service-specific data stores at the bottom. The Notification Service is positioned as a pure consumer with no REST exposure. Circuit Breaker protection is indicated on the REST link between Task Assignment Service and Vessel Service.</w:t>
      </w:r>
    </w:p>
    <w:p>
      <w:r>
        <w:br w:type="page"/>
      </w:r>
    </w:p>
    <w:p>
      <w:pPr>
        <w:pStyle w:val="Heading1"/>
        <w:spacing w:after="120" w:before="240"/>
        <w:jc w:val="left"/>
      </w:pPr>
      <w:r>
        <w:rPr>
          <w:rFonts w:ascii="Times New Roman" w:cs="Times New Roman" w:eastAsia="Times New Roman" w:hAnsi="Times New Roman"/>
          <w:b/>
          <w:bCs/>
          <w:color w:val="000000"/>
          <w:sz w:val="26"/>
          <w:szCs w:val="26"/>
        </w:rPr>
        <w:t xml:space="preserve">References</w:t>
      </w:r>
    </w:p>
    <w:p>
      <w:pPr>
        <w:spacing w:after="120" w:line="276"/>
        <w:jc w:val="both"/>
      </w:pPr>
      <w:r>
        <w:rPr>
          <w:rFonts w:ascii="Times New Roman" w:cs="Times New Roman" w:eastAsia="Times New Roman" w:hAnsi="Times New Roman"/>
          <w:sz w:val="22"/>
          <w:szCs w:val="22"/>
        </w:rPr>
        <w:t xml:space="preserve">Burns, B., Grant, B., Oppenheimer, D., Brewer, E., &amp; Wilkes, J. (2016). Borg, Omega, and Kubernetes. ACM Queue, 14(1), 70–93. https://doi.org/10.1145/2898442.2898444</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Evans, E. (2003). Domain-driven design: Tackling complexity in the heart of software. Addison-Wesley.</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Newman, S. (2021). Building microservices: Designing fine-grained systems (2nd ed.). O'Reilly Media.</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Richardson, C. (2018). Microservices patterns: With examples in Java. Manning Publications.</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Spring Framework Documentation. (2024). Spring Cloud Gateway. https://docs.spring.io/spring-cloud-gateway/reference/index.html</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Resilience4j. (2024). Resilience4j documentation. https://resilience4j.readme.io/docs</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RabbitMQ. (2024). RabbitMQ documentation: Dead letter exchanges. https://www.rabbitmq.com/docs/dlx</w:t>
      </w:r>
    </w:p>
    <w:p>
      <w:pPr>
        <w:spacing w:after="0"/>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Hohpe, G., &amp; Woolf, B. (2003). Enterprise integration patterns: Designing, building, and deploying messaging solutions. Addison-Wesley.</w:t>
      </w:r>
    </w:p>
    <w:sectPr>
      <w:headerReference w:type="default" r:id="rId7"/>
      <w:footerReference w:type="default" r:id="rId8"/>
      <w:pgSz w:w="11906" w:h="16838" w:orient="portrait"/>
      <w:pgMar w:top="1418" w:right="1418" w:bottom="17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80"/>
      <w:jc w:val="center"/>
    </w:pPr>
    <w:r>
      <w:rPr>
        <w:rFonts w:ascii="Times New Roman" w:cs="Times New Roman" w:eastAsia="Times New Roman" w:hAnsi="Times New Roman"/>
        <w:sz w:val="18"/>
        <w:szCs w:val="18"/>
      </w:rPr>
      <w:t xml:space="preserve">CENG-442 | Spring 2026 | Emirhan Ersoy &amp; Deniz Yaldız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80"/>
      <w:jc w:val="right"/>
    </w:pPr>
    <w:r>
      <w:rPr>
        <w:rFonts w:ascii="Times New Roman" w:cs="Times New Roman" w:eastAsia="Times New Roman" w:hAnsi="Times New Roman"/>
        <w:color w:val="1F3864"/>
        <w:sz w:val="18"/>
        <w:szCs w:val="18"/>
      </w:rPr>
      <w:t xml:space="preserve">HarborSync — Distributed Port Cargo Coordination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60" w:before="16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2026-05-14T20:47:03.016Z</dcterms:created>
  <dcterms:modified xsi:type="dcterms:W3CDTF">2026-05-14T20:47:03.016Z</dcterms:modified>
</cp:coreProperties>
</file>

<file path=docProps/custom.xml><?xml version="1.0" encoding="utf-8"?>
<Properties xmlns="http://schemas.openxmlformats.org/officeDocument/2006/custom-properties" xmlns:vt="http://schemas.openxmlformats.org/officeDocument/2006/docPropsVTypes"/>
</file>