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5"/>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4"/>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5"/>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5C0EF2"/>
    <w:rsid w:val="05A92A1D"/>
    <w:rsid w:val="05B4479C"/>
    <w:rsid w:val="08695E80"/>
    <w:rsid w:val="095011A8"/>
    <w:rsid w:val="0A181FE3"/>
    <w:rsid w:val="0A40121D"/>
    <w:rsid w:val="0B3A0CAC"/>
    <w:rsid w:val="0B8C1969"/>
    <w:rsid w:val="0BC96FF0"/>
    <w:rsid w:val="0C7E52E2"/>
    <w:rsid w:val="0CF85DDF"/>
    <w:rsid w:val="0D436541"/>
    <w:rsid w:val="0D4A4DE7"/>
    <w:rsid w:val="0D7F3E0A"/>
    <w:rsid w:val="0D9553DC"/>
    <w:rsid w:val="0E45220C"/>
    <w:rsid w:val="0EE3138A"/>
    <w:rsid w:val="0EE83D6C"/>
    <w:rsid w:val="0F212A6D"/>
    <w:rsid w:val="0F3D224E"/>
    <w:rsid w:val="0F7F1D48"/>
    <w:rsid w:val="0FAC4C5F"/>
    <w:rsid w:val="0FC165DA"/>
    <w:rsid w:val="0FC3072C"/>
    <w:rsid w:val="1005071D"/>
    <w:rsid w:val="11021117"/>
    <w:rsid w:val="11140D0D"/>
    <w:rsid w:val="118B03B5"/>
    <w:rsid w:val="11E91D0D"/>
    <w:rsid w:val="122E5870"/>
    <w:rsid w:val="127929E7"/>
    <w:rsid w:val="128A690E"/>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E171E3D"/>
    <w:rsid w:val="1EDA17E8"/>
    <w:rsid w:val="1F026649"/>
    <w:rsid w:val="1F0B3750"/>
    <w:rsid w:val="1FF10AFA"/>
    <w:rsid w:val="20BD2930"/>
    <w:rsid w:val="20D858B3"/>
    <w:rsid w:val="20EA2A65"/>
    <w:rsid w:val="21AA0945"/>
    <w:rsid w:val="228B2608"/>
    <w:rsid w:val="22B934C3"/>
    <w:rsid w:val="22CD6F6E"/>
    <w:rsid w:val="22D24D9C"/>
    <w:rsid w:val="232149CB"/>
    <w:rsid w:val="235002CB"/>
    <w:rsid w:val="235D02F2"/>
    <w:rsid w:val="23C16AD3"/>
    <w:rsid w:val="23C44815"/>
    <w:rsid w:val="23F46EA8"/>
    <w:rsid w:val="24030E99"/>
    <w:rsid w:val="24D75903"/>
    <w:rsid w:val="250749B9"/>
    <w:rsid w:val="25880798"/>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7E77AA"/>
    <w:rsid w:val="2A9642F0"/>
    <w:rsid w:val="2CCC6856"/>
    <w:rsid w:val="2D962D7E"/>
    <w:rsid w:val="2DDE33CA"/>
    <w:rsid w:val="2E7E212B"/>
    <w:rsid w:val="2FD933F6"/>
    <w:rsid w:val="317E05C4"/>
    <w:rsid w:val="31A97892"/>
    <w:rsid w:val="32F4581C"/>
    <w:rsid w:val="33353039"/>
    <w:rsid w:val="33590383"/>
    <w:rsid w:val="335C4E6B"/>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BFB450B"/>
    <w:rsid w:val="3C1C54DF"/>
    <w:rsid w:val="3C3A5E97"/>
    <w:rsid w:val="3D1B504E"/>
    <w:rsid w:val="3D54230E"/>
    <w:rsid w:val="3D844347"/>
    <w:rsid w:val="3DD1395F"/>
    <w:rsid w:val="3E012496"/>
    <w:rsid w:val="3E08692F"/>
    <w:rsid w:val="3EFB5264"/>
    <w:rsid w:val="3F670284"/>
    <w:rsid w:val="401146D6"/>
    <w:rsid w:val="409072AC"/>
    <w:rsid w:val="40915FF6"/>
    <w:rsid w:val="40976552"/>
    <w:rsid w:val="4163290A"/>
    <w:rsid w:val="41E225DE"/>
    <w:rsid w:val="42BD444E"/>
    <w:rsid w:val="42F645DF"/>
    <w:rsid w:val="43097E84"/>
    <w:rsid w:val="430D7BCB"/>
    <w:rsid w:val="436E79D2"/>
    <w:rsid w:val="43A318F9"/>
    <w:rsid w:val="43C31F9B"/>
    <w:rsid w:val="43CE60E2"/>
    <w:rsid w:val="44446C38"/>
    <w:rsid w:val="447D2BAF"/>
    <w:rsid w:val="44B615E2"/>
    <w:rsid w:val="45EC6238"/>
    <w:rsid w:val="466423BD"/>
    <w:rsid w:val="46A24C07"/>
    <w:rsid w:val="46D701E1"/>
    <w:rsid w:val="46DB6B62"/>
    <w:rsid w:val="4737208D"/>
    <w:rsid w:val="47997CE8"/>
    <w:rsid w:val="47CA56A6"/>
    <w:rsid w:val="485B14BB"/>
    <w:rsid w:val="48BA59AE"/>
    <w:rsid w:val="49331890"/>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AE4C4B"/>
    <w:rsid w:val="53B35B89"/>
    <w:rsid w:val="53BB19D7"/>
    <w:rsid w:val="53FE2BF7"/>
    <w:rsid w:val="54220F2C"/>
    <w:rsid w:val="5532554E"/>
    <w:rsid w:val="55700164"/>
    <w:rsid w:val="564A4017"/>
    <w:rsid w:val="56C63E25"/>
    <w:rsid w:val="575647A8"/>
    <w:rsid w:val="57D12A81"/>
    <w:rsid w:val="57E7641B"/>
    <w:rsid w:val="57FB5D50"/>
    <w:rsid w:val="58021527"/>
    <w:rsid w:val="580D0085"/>
    <w:rsid w:val="585D6823"/>
    <w:rsid w:val="587F2126"/>
    <w:rsid w:val="58860AD6"/>
    <w:rsid w:val="5A964B15"/>
    <w:rsid w:val="5B6C3F69"/>
    <w:rsid w:val="5B8C1B58"/>
    <w:rsid w:val="5BD24811"/>
    <w:rsid w:val="5CA33E0D"/>
    <w:rsid w:val="5D5E4DB7"/>
    <w:rsid w:val="5D687A49"/>
    <w:rsid w:val="5D7B6683"/>
    <w:rsid w:val="5D8B4513"/>
    <w:rsid w:val="5DDE7CA6"/>
    <w:rsid w:val="5ECB022A"/>
    <w:rsid w:val="5ECE3876"/>
    <w:rsid w:val="5FF92B75"/>
    <w:rsid w:val="5FFE462F"/>
    <w:rsid w:val="60427C5D"/>
    <w:rsid w:val="604D2EC1"/>
    <w:rsid w:val="618426A9"/>
    <w:rsid w:val="61B83B4B"/>
    <w:rsid w:val="61C13B66"/>
    <w:rsid w:val="61FC06FB"/>
    <w:rsid w:val="629D0130"/>
    <w:rsid w:val="629F3EDD"/>
    <w:rsid w:val="62CD4018"/>
    <w:rsid w:val="633C08FC"/>
    <w:rsid w:val="63E363CC"/>
    <w:rsid w:val="686925AE"/>
    <w:rsid w:val="68C958EA"/>
    <w:rsid w:val="69C43C69"/>
    <w:rsid w:val="6A375148"/>
    <w:rsid w:val="6ABA55F7"/>
    <w:rsid w:val="6AE73A21"/>
    <w:rsid w:val="6B4B23F5"/>
    <w:rsid w:val="6B5F343C"/>
    <w:rsid w:val="6B7D0AFE"/>
    <w:rsid w:val="6B825095"/>
    <w:rsid w:val="6BD82524"/>
    <w:rsid w:val="6C1B0562"/>
    <w:rsid w:val="6C2942A7"/>
    <w:rsid w:val="6C635F46"/>
    <w:rsid w:val="6C8163CC"/>
    <w:rsid w:val="6CA45802"/>
    <w:rsid w:val="6CAE7E6D"/>
    <w:rsid w:val="6D0C76C5"/>
    <w:rsid w:val="6D4A082B"/>
    <w:rsid w:val="6D9B6C43"/>
    <w:rsid w:val="6DE05376"/>
    <w:rsid w:val="6E331948"/>
    <w:rsid w:val="6E440323"/>
    <w:rsid w:val="6E6A1C30"/>
    <w:rsid w:val="6E781A51"/>
    <w:rsid w:val="6EBE5AE7"/>
    <w:rsid w:val="6EC27039"/>
    <w:rsid w:val="6EDE2624"/>
    <w:rsid w:val="6F343BCA"/>
    <w:rsid w:val="6F7C6062"/>
    <w:rsid w:val="6F9251A5"/>
    <w:rsid w:val="6F9666F7"/>
    <w:rsid w:val="6FD27A67"/>
    <w:rsid w:val="6FF559D2"/>
    <w:rsid w:val="70AA6F37"/>
    <w:rsid w:val="712F166D"/>
    <w:rsid w:val="715B068A"/>
    <w:rsid w:val="721A1BAF"/>
    <w:rsid w:val="72207740"/>
    <w:rsid w:val="723901C8"/>
    <w:rsid w:val="729C5939"/>
    <w:rsid w:val="72B34E05"/>
    <w:rsid w:val="73035F77"/>
    <w:rsid w:val="73304F94"/>
    <w:rsid w:val="735407A1"/>
    <w:rsid w:val="73ED07EB"/>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97A051B"/>
    <w:rsid w:val="7A0D2A14"/>
    <w:rsid w:val="7AFE0F37"/>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2023-04-04T02:08:31Z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