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INDIVIDUAL PERFORMANCE REPORT</w:t>
      </w:r>
    </w:p>
    <w:p>
      <w:pPr>
        <w:jc w:val="center"/>
      </w:pPr>
      <w:r>
        <w:rPr>
          <w:b/>
          <w:color w:val="2C3E50"/>
          <w:sz w:val="44"/>
        </w:rPr>
        <w:t>BONFACE MURIU</w:t>
      </w:r>
    </w:p>
    <w:p>
      <w:pPr>
        <w:jc w:val="center"/>
      </w:pPr>
      <w:r>
        <w:rPr>
          <w:i/>
          <w:color w:val="7F8C8D"/>
          <w:sz w:val="28"/>
        </w:rPr>
        <w:t>Department Head - Paints</w:t>
      </w:r>
    </w:p>
    <w:p>
      <w:pPr>
        <w:jc w:val="center"/>
      </w:pPr>
      <w:r>
        <w:rPr>
          <w:color w:val="666666"/>
          <w:sz w:val="24"/>
        </w:rPr>
        <w:t>BOMAS Hardware Store</w:t>
      </w:r>
    </w:p>
    <w:p>
      <w:pPr>
        <w:jc w:val="center"/>
      </w:pPr>
      <w:r>
        <w:rPr>
          <w:color w:val="666666"/>
          <w:sz w:val="22"/>
        </w:rPr>
        <w:t>February 1-28, 2026 (24 Working Days — Full Month)</w:t>
      </w:r>
    </w:p>
    <w:p>
      <w:pPr>
        <w:jc w:val="center"/>
      </w:pPr>
      <w:r>
        <w:rPr>
          <w:i/>
          <w:color w:val="999999"/>
          <w:sz w:val="18"/>
        </w:rPr>
        <w:t>Generated: 2026-03-01 18:47:37</w:t>
      </w:r>
    </w:p>
    <w:p>
      <w:r>
        <w:br w:type="page"/>
      </w:r>
    </w:p>
    <w:p>
      <w:pPr>
        <w:pStyle w:val="Heading1"/>
      </w:pPr>
      <w:r>
        <w:t>PERFORMANCE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Comparison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Total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5,391,674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▼ 42.5% vs team avg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Total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802,339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13.9% of team total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Profit Margin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14.9%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avg: 8.8%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Items Sold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6,512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Daily Avg Sales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KES 224,653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Daily Avg Profit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33,431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Team Share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8.2%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#4 of 7 reps</w:t>
            </w:r>
          </w:p>
        </w:tc>
      </w:tr>
      <w:tr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Sales Rank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#4</w:t>
            </w:r>
          </w:p>
        </w:tc>
        <w:tc>
          <w:tcPr>
            <w:tcW w:type="dxa" w:w="288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Margin Rank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WEEKLY SALES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Daily Avg</w:t>
            </w:r>
          </w:p>
        </w:tc>
        <w:tc>
          <w:tcPr>
            <w:tcW w:type="dxa" w:w="1440"/>
            <w:shd w:fill="3498DB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1 (Feb 1-7)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1,499,769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199,397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249,962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2 (Feb 9-14)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1,291,500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180,128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13.9%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215,250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-13.9%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Week 3 (Feb 16-21)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1,157,640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170,956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14.8%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192,940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-10.4%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Week 4 (Feb 23-28)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1,442,765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251,858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17.5%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240,461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+24.6%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FULL MONTH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5,391,674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802,339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14.9%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224,653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-3.8%</w:t>
            </w:r>
          </w:p>
        </w:tc>
      </w:tr>
    </w:tbl>
    <w:p/>
    <w:p>
      <w:pPr>
        <w:pStyle w:val="Heading2"/>
      </w:pPr>
      <w:r>
        <w:t>Weekly Progress</w:t>
      </w:r>
    </w:p>
    <w:p>
      <w:r>
        <w:rPr>
          <w:b/>
          <w:color w:val="E74C3C"/>
        </w:rPr>
        <w:t>▼ W1→W2: Sales decreased by 13.9% (KES 1,500K → 1,292K)</w:t>
      </w:r>
    </w:p>
    <w:p>
      <w:r>
        <w:rPr>
          <w:b/>
          <w:color w:val="E74C3C"/>
        </w:rPr>
        <w:t>▼ W2→W3: Sales decreased by 10.4% (KES 1,292K → 1,158K)</w:t>
      </w:r>
    </w:p>
    <w:p>
      <w:r>
        <w:rPr>
          <w:b/>
          <w:color w:val="27AE60"/>
        </w:rPr>
        <w:t>▲ W3→W4: Sales increased by 24.6% (KES 1,158K → 1,443K)</w:t>
      </w:r>
    </w:p>
    <w:p>
      <w:r>
        <w:rPr>
          <w:b/>
          <w:color w:val="555555"/>
        </w:rPr>
        <w:t>Mixed performance across 4 weeks (-3.8% overall)</w:t>
      </w:r>
    </w:p>
    <w:p>
      <w:r>
        <w:br w:type="page"/>
      </w:r>
    </w:p>
    <w:p>
      <w:pPr>
        <w:pStyle w:val="Heading1"/>
      </w:pPr>
      <w:r>
        <w:t>CATEGORY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440"/>
            <w:shd w:fill="27AE6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GENERAL HARDWARE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2,678,479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311,371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11.6%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4,156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49.7%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PAINTS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2,579,805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448,499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17.4%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1,951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47.8%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PLUMBING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106,200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KES 30,025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28.3%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299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2.0%</w:t>
            </w:r>
          </w:p>
        </w:tc>
      </w:tr>
      <w:tr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ELECTRICALS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27,190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12,443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45.8%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106</w:t>
            </w:r>
          </w:p>
        </w:tc>
        <w:tc>
          <w:tcPr>
            <w:tcW w:type="dxa" w:w="1440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5,391,674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802,339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14.9%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6,512</w:t>
            </w:r>
          </w:p>
        </w:tc>
        <w:tc>
          <w:tcPr>
            <w:tcW w:type="dxa" w:w="1440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100.0%</w:t>
            </w:r>
          </w:p>
        </w:tc>
      </w:tr>
    </w:tbl>
    <w:p/>
    <w:p>
      <w:pPr>
        <w:pStyle w:val="Heading2"/>
      </w:pPr>
      <w:r>
        <w:t>Category Weekly Trends</w:t>
      </w:r>
    </w:p>
    <w:p>
      <w:r>
        <w:rPr>
          <w:b/>
          <w:sz w:val="20"/>
        </w:rPr>
        <w:t xml:space="preserve">GENERAL HARDWARE: </w:t>
      </w:r>
      <w:r>
        <w:rPr>
          <w:color w:val="555555"/>
          <w:sz w:val="18"/>
        </w:rPr>
        <w:t>W1: KES 1,128,619 → W2: KES 753,970 → W3: KES 413,020 → W4: KES 382,870 → Overall: ▼66%</w:t>
      </w:r>
    </w:p>
    <w:p>
      <w:r>
        <w:rPr>
          <w:b/>
          <w:sz w:val="20"/>
        </w:rPr>
        <w:t xml:space="preserve">PAINTS: </w:t>
      </w:r>
      <w:r>
        <w:rPr>
          <w:color w:val="555555"/>
          <w:sz w:val="18"/>
        </w:rPr>
        <w:t>W1: KES 323,270 → W2: KES 477,620 → W3: KES 734,470 → W4: KES 1,044,445 → Overall: ▲223%</w:t>
      </w:r>
    </w:p>
    <w:p>
      <w:r>
        <w:rPr>
          <w:b/>
          <w:sz w:val="20"/>
        </w:rPr>
        <w:t xml:space="preserve">PLUMBING: </w:t>
      </w:r>
      <w:r>
        <w:rPr>
          <w:color w:val="555555"/>
          <w:sz w:val="18"/>
        </w:rPr>
        <w:t>W1: KES 21,120 → W2: KES 59,480 → W3: KES 10,150 → W4: KES 15,450 → Overall: ▼27%</w:t>
      </w:r>
    </w:p>
    <w:p>
      <w:r>
        <w:rPr>
          <w:b/>
          <w:sz w:val="20"/>
        </w:rPr>
        <w:t xml:space="preserve">ELECTRICALS: </w:t>
      </w:r>
      <w:r>
        <w:rPr>
          <w:color w:val="555555"/>
          <w:sz w:val="18"/>
        </w:rPr>
        <w:t>W1: KES 26,760 → W2: KES 430 → W3: KES 0 → W4: KES 0 → Overall: ▼100%</w:t>
      </w:r>
    </w:p>
    <w:p>
      <w:r>
        <w:br w:type="page"/>
      </w:r>
    </w:p>
    <w:p>
      <w:pPr>
        <w:pStyle w:val="Heading1"/>
      </w:pPr>
      <w:r>
        <w:t>VISUAL ANALYSIS</w:t>
      </w:r>
    </w:p>
    <w:p>
      <w:pPr>
        <w:pStyle w:val="Heading2"/>
      </w:pPr>
      <w:r>
        <w:t>Sales Distribution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3430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Sales vs Profit by Category</w:t>
      </w:r>
    </w:p>
    <w:p>
      <w:r>
        <w:drawing>
          <wp:inline xmlns:a="http://schemas.openxmlformats.org/drawingml/2006/main" xmlns:pic="http://schemas.openxmlformats.org/drawingml/2006/picture">
            <wp:extent cx="5029200" cy="2187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sales_pro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Profit Margin Gauge</w:t>
      </w:r>
    </w:p>
    <w:p>
      <w:r>
        <w:drawing>
          <wp:inline xmlns:a="http://schemas.openxmlformats.org/drawingml/2006/main" xmlns:pic="http://schemas.openxmlformats.org/drawingml/2006/picture">
            <wp:extent cx="5029200" cy="5117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face_Muriu_gau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179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TEAM CONTEXT</w:t>
      </w:r>
    </w:p>
    <w:p>
      <w:r>
        <w:rPr>
          <w:i/>
          <w:color w:val="666666"/>
        </w:rPr>
        <w:t>How Bonface Muriu compares to the rest of the team: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 %</w:t>
            </w:r>
          </w:p>
        </w:tc>
        <w:tc>
          <w:tcPr>
            <w:tcW w:type="dxa" w:w="1728"/>
            <w:shd w:fill="2C3E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Team Share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25,230,250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38.4%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#2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13,451,533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8.4%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20.5%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11,367,285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17.3%</w:t>
            </w:r>
          </w:p>
        </w:tc>
      </w:tr>
      <w:tr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#4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Bonface Muriu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5,391,674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14.9%</w:t>
            </w:r>
          </w:p>
        </w:tc>
        <w:tc>
          <w:tcPr>
            <w:tcW w:type="dxa" w:w="1728"/>
            <w:shd w:fill="D4E6F1"/>
          </w:tcPr>
          <w:p>
            <w:pPr>
              <w:jc w:val="center"/>
            </w:pPr>
            <w:r/>
            <w:r>
              <w:rPr>
                <w:b/>
                <w:sz w:val="18"/>
              </w:rPr>
              <w:t>8.2%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5,185,269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10.3%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7.9%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#6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2,964,407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14.5%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#7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2,080,190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15.2%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3.2%</w:t>
            </w:r>
          </w:p>
        </w:tc>
      </w:tr>
    </w:tbl>
    <w:p/>
    <w:p>
      <w:pPr>
        <w:pStyle w:val="Heading2"/>
      </w:pPr>
      <w:r>
        <w:t>Team Week-over-Week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718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_comparison_grou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DEPARTMENT LEADERSHIP: PAINTS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Sales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Profit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type="dxa" w:w="1728"/>
            <w:shd w:fill="8E44A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Dept Share</w:t>
            </w:r>
          </w:p>
        </w:tc>
      </w:tr>
      <w:tr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Bonface Muriu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2,579,805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KES 448,499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17.4%</w:t>
            </w:r>
          </w:p>
        </w:tc>
        <w:tc>
          <w:tcPr>
            <w:tcW w:type="dxa" w:w="1728"/>
            <w:shd w:fill="F5EEF8"/>
          </w:tcPr>
          <w:p>
            <w:pPr>
              <w:jc w:val="center"/>
            </w:pPr>
            <w:r/>
            <w:r>
              <w:rPr>
                <w:b/>
                <w:sz w:val="18"/>
              </w:rPr>
              <w:t>44.4%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Eliza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1,554,840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238,930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15.4%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26.8%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Betha Odumo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528,960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99,980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18.9%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9.1%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Lewis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353,920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59,823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16.9%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6.1%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Bonface Kitheka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316,736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54,488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17.2%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5.5%</w:t>
            </w:r>
          </w:p>
        </w:tc>
      </w:tr>
      <w:tr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Stephen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274,100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KES 50,413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18.4%</w:t>
            </w:r>
          </w:p>
        </w:tc>
        <w:tc>
          <w:tcPr>
            <w:tcW w:type="dxa" w:w="1728"/>
            <w:shd w:fill="ECF0F1"/>
          </w:tcPr>
          <w:p>
            <w:pPr>
              <w:jc w:val="center"/>
            </w:pPr>
            <w:r/>
            <w:r>
              <w:rPr>
                <w:sz w:val="18"/>
              </w:rPr>
              <w:t>4.7%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Gladys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199,210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KES 32,603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16.4%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3.4%</w:t>
            </w:r>
          </w:p>
        </w:tc>
      </w:tr>
    </w:tbl>
    <w:p/>
    <w:p>
      <w:r>
        <w:rPr>
          <w:b/>
          <w:color w:val="27AE60"/>
        </w:rPr>
        <w:t>✓ Strong department leadership — Bonface Muriu controls 44.4% of PAINTS sales</w:t>
      </w:r>
    </w:p>
    <w:p>
      <w:r>
        <w:br w:type="page"/>
      </w:r>
    </w:p>
    <w:p>
      <w:pPr>
        <w:pStyle w:val="Heading1"/>
      </w:pPr>
      <w:r>
        <w:t>PERFORMANCE NOTES</w:t>
      </w:r>
    </w:p>
    <w:p>
      <w:pPr>
        <w:pStyle w:val="ListBullet"/>
      </w:pPr>
      <w:r>
        <w:rPr>
          <w:color w:val="E74C3C"/>
          <w:sz w:val="20"/>
        </w:rPr>
        <w:t>Sales 43% below team average - needs improvement</w:t>
      </w:r>
    </w:p>
    <w:p>
      <w:pPr>
        <w:pStyle w:val="ListBullet"/>
      </w:pPr>
      <w:r>
        <w:rPr>
          <w:color w:val="27AE60"/>
          <w:sz w:val="20"/>
        </w:rPr>
        <w:t>Excellent margin at 14.9% (Team avg: 8.8%)</w:t>
      </w:r>
    </w:p>
    <w:p>
      <w:pPr>
        <w:pStyle w:val="ListBullet"/>
      </w:pPr>
      <w:r>
        <w:rPr>
          <w:color w:val="E74C3C"/>
          <w:sz w:val="20"/>
        </w:rPr>
        <w:t>W1→W2: Declined -13.9% (KES 1,500K → 1,292K)</w:t>
      </w:r>
    </w:p>
    <w:p>
      <w:pPr>
        <w:pStyle w:val="ListBullet"/>
      </w:pPr>
      <w:r>
        <w:rPr>
          <w:color w:val="E74C3C"/>
          <w:sz w:val="20"/>
        </w:rPr>
        <w:t>W2→W3: Declined -10.4% (KES 1,292K → 1,158K)</w:t>
      </w:r>
    </w:p>
    <w:p>
      <w:pPr>
        <w:pStyle w:val="ListBullet"/>
      </w:pPr>
      <w:r>
        <w:rPr>
          <w:color w:val="34495E"/>
          <w:sz w:val="20"/>
        </w:rPr>
        <w:t>W3→W4: Steady +24.6% (KES 1,158K → 1,443K)</w:t>
      </w:r>
    </w:p>
    <w:p>
      <w:pPr>
        <w:pStyle w:val="ListBullet"/>
      </w:pPr>
      <w:r>
        <w:rPr>
          <w:color w:val="E74C3C"/>
          <w:sz w:val="20"/>
        </w:rPr>
        <w:t>⚠️ Mostly declining trend over 4 weeks (-3.8% overall)</w:t>
      </w:r>
    </w:p>
    <w:p>
      <w:pPr>
        <w:pStyle w:val="ListBullet"/>
      </w:pPr>
      <w:r>
        <w:rPr>
          <w:color w:val="34495E"/>
          <w:sz w:val="20"/>
        </w:rPr>
        <w:t>Paints Dept Head: 44.4% of dept sales, 17.4% margin</w:t>
      </w:r>
    </w:p>
    <w:p>
      <w:pPr>
        <w:pStyle w:val="ListBullet"/>
      </w:pPr>
      <w:r>
        <w:rPr>
          <w:color w:val="27AE60"/>
          <w:sz w:val="20"/>
        </w:rPr>
        <w:t>✓ Good paints leadership with 44.4% of dept sales</w:t>
      </w:r>
    </w:p>
    <w:p>
      <w:pPr>
        <w:pStyle w:val="ListBullet"/>
      </w:pPr>
      <w:r>
        <w:rPr>
          <w:color w:val="27AE60"/>
          <w:sz w:val="20"/>
        </w:rPr>
        <w:t>✓ Selling across all 4 categories - excellent product range</w:t>
      </w:r>
    </w:p>
    <w:p>
      <w:pPr>
        <w:pStyle w:val="ListBullet"/>
      </w:pPr>
      <w:r>
        <w:rPr>
          <w:color w:val="34495E"/>
          <w:sz w:val="20"/>
        </w:rPr>
        <w:t>Best margin in ELECTRICALS: 45.8%</w:t>
      </w:r>
    </w:p>
    <w:p/>
    <w:p>
      <w:pPr>
        <w:pStyle w:val="Heading1"/>
      </w:pPr>
      <w:r>
        <w:t>RECOMMENDATIONS</w:t>
      </w:r>
    </w:p>
    <w:p>
      <w:pPr>
        <w:pStyle w:val="ListBullet"/>
      </w:pPr>
      <w:r>
        <w:t>Maintain excellent margin discipline at 14.9% (above team avg of 8.8%).</w:t>
      </w:r>
    </w:p>
    <w:p>
      <w:pPr>
        <w:pStyle w:val="ListBullet"/>
      </w:pPr>
      <w:r>
        <w:t>Outstanding Week 4 growth of +24.6%. Carry this momentum into March.</w:t>
      </w:r>
    </w:p>
    <w:p>
      <w:pPr>
        <w:pStyle w:val="ListBullet"/>
      </w:pPr>
      <w:r>
        <w:t>Selling across all 4 categories — excellent product range coverage.</w:t>
      </w:r>
    </w:p>
    <w:p>
      <w:pPr>
        <w:pStyle w:val="ListBullet"/>
      </w:pPr>
      <w:r>
        <w:t>✗ PAINTS department MISSED its KES 7M target by KES 1.19M (-17.0%). As Department Head, prioritize closing this gap in March through promotions, new stock, and contractor partnerships.</w:t>
      </w:r>
    </w:p>
    <w:p/>
    <w:p>
      <w:pPr>
        <w:jc w:val="center"/>
      </w:pPr>
      <w:r>
        <w:rPr>
          <w:i/>
          <w:color w:val="999999"/>
        </w:rPr>
        <w:t>--- End of Individual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