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STEPHEN</w:t>
      </w:r>
    </w:p>
    <w:p>
      <w:pPr>
        <w:jc w:val="center"/>
      </w:pPr>
      <w:r>
        <w:rPr>
          <w:i/>
          <w:color w:val="7F8C8D"/>
          <w:sz w:val="28"/>
        </w:rPr>
        <w:t>General Hardware Team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1-21, 2026 (18 Working Days)</w:t>
      </w:r>
    </w:p>
    <w:p>
      <w:pPr>
        <w:jc w:val="center"/>
      </w:pPr>
      <w:r>
        <w:rPr>
          <w:i/>
          <w:color w:val="999999"/>
          <w:sz w:val="18"/>
        </w:rPr>
        <w:t>Generated: 2026-02-27 15:54:30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4,067,316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▼ 42.7%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414,349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9.5%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10.2%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8.7%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5,683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225,962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23,019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#4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1,156,911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121,671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10.5%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192,818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1,561,475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162,823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10.4%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260,246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+35.0%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1,348,930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129,855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9.6%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224,822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-13.6%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4,067,316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414,349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10.2%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225,962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+16.6%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Sales increased by 35.0% (KES 1,157K → 1,561K)</w:t>
      </w:r>
    </w:p>
    <w:p>
      <w:r>
        <w:rPr>
          <w:b/>
          <w:color w:val="E74C3C"/>
        </w:rPr>
        <w:t>▼ W2→W3: Sales decreased by 13.6% (KES 1,561K → 1,349K)</w:t>
      </w:r>
    </w:p>
    <w:p>
      <w:r>
        <w:rPr>
          <w:b/>
          <w:color w:val="E67E22"/>
        </w:rPr>
        <w:t>⚠️ Week 3 reversal after Week 2 growth — monitor closely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3,589,596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331,182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5,318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88.3%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266,000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48,733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18.3%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265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211,720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34,434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16.3%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4,067,316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414,349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10.2%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5,683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925,821 → W2: KES 1,423,935 → W3: KES 1,239,840 → Overall: ▲34%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74,360 → W2: KES 117,500 → W3: KES 74,140 → Overall: ▼0%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156,730 → W2: KES 20,040 → W3: KES 34,950 → Overall: ▼78%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43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Stephen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19,339,020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38.9%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9,453,025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19.0%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8,456,260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17.0%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#4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Stephen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4,067,316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10.2%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8.2%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3,948,909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13.9%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2,614,482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14.3%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1,790,725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3.6%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E74C3C"/>
          <w:sz w:val="20"/>
        </w:rPr>
        <w:t>Sales 43% below team average - needs improvement</w:t>
      </w:r>
    </w:p>
    <w:p>
      <w:pPr>
        <w:pStyle w:val="ListBullet"/>
      </w:pPr>
      <w:r>
        <w:rPr>
          <w:color w:val="27AE60"/>
          <w:sz w:val="20"/>
        </w:rPr>
        <w:t>W1→W2: Strong growth +35.0% (KES 1,157K → 1,561K)</w:t>
      </w:r>
    </w:p>
    <w:p>
      <w:pPr>
        <w:pStyle w:val="ListBullet"/>
      </w:pPr>
      <w:r>
        <w:rPr>
          <w:color w:val="E74C3C"/>
          <w:sz w:val="20"/>
        </w:rPr>
        <w:t>W2→W3: Declined -13.6% (KES 1,561K → 1,349K)</w:t>
      </w:r>
    </w:p>
    <w:p>
      <w:pPr>
        <w:pStyle w:val="ListBullet"/>
      </w:pPr>
      <w:r>
        <w:rPr>
          <w:color w:val="E74C3C"/>
          <w:sz w:val="20"/>
        </w:rPr>
        <w:t>⚠️ Week 3 reversal after Week 2 growth - monitor closely</w:t>
      </w:r>
    </w:p>
    <w:p>
      <w:pPr>
        <w:pStyle w:val="ListBullet"/>
      </w:pPr>
      <w:r>
        <w:rPr>
          <w:color w:val="34495E"/>
          <w:sz w:val="20"/>
        </w:rPr>
        <w:t>General Hardware: 8.2% of dept, 9.2% margin</w:t>
      </w:r>
    </w:p>
    <w:p>
      <w:pPr>
        <w:pStyle w:val="ListBullet"/>
      </w:pPr>
      <w:r>
        <w:rPr>
          <w:color w:val="34495E"/>
          <w:sz w:val="20"/>
        </w:rPr>
        <w:t>Consider expanding into ELECTRICALS</w:t>
      </w:r>
    </w:p>
    <w:p>
      <w:pPr>
        <w:pStyle w:val="ListBullet"/>
      </w:pPr>
      <w:r>
        <w:rPr>
          <w:color w:val="34495E"/>
          <w:sz w:val="20"/>
        </w:rPr>
        <w:t>Best margin in PAINTS: 18.3%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Maintain excellent margin discipline at 10.2% (above team avg of 8.7%).</w:t>
      </w:r>
    </w:p>
    <w:p>
      <w:pPr>
        <w:pStyle w:val="ListBullet"/>
      </w:pPr>
      <w:r>
        <w:t>Week 3 showed a 13.6% decline. Review customer activity and pipeline for Week 4.</w:t>
      </w:r>
    </w:p>
    <w:p>
      <w:pPr>
        <w:pStyle w:val="ListBullet"/>
      </w:pPr>
      <w:r>
        <w:t>Expand into ELECTRICALS to increase cross-selling coverage (currently 3/4 categories).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