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SALES PERFORMANCE REPORT</w:t>
      </w:r>
    </w:p>
    <w:p>
      <w:pPr>
        <w:jc w:val="center"/>
      </w:pPr>
      <w:r>
        <w:rPr>
          <w:b/>
        </w:rPr>
        <w:t>Period: January - April 2026</w:t>
        <w:br/>
      </w:r>
    </w:p>
    <w:p>
      <w:pPr>
        <w:pStyle w:val="Heading1"/>
      </w:pPr>
      <w:r>
        <w:t>1. Executive Overview</w:t>
      </w:r>
    </w:p>
    <w:p>
      <w:r>
        <w:t>This report consolidates customer sales performance from January to April 2026. The total sales generated across all tracked customers was KES 327,969,594.04, delivering a gross profit of KES 27,643,110.24 (Overall Margin: 8.43%).</w:t>
      </w:r>
    </w:p>
    <w:p>
      <w:pPr>
        <w:pStyle w:val="Heading1"/>
      </w:pPr>
      <w:r>
        <w:t>3. Monthly Performance Trend</w:t>
      </w:r>
    </w:p>
    <w:p>
      <w:pPr>
        <w:pStyle w:val="ListBullet"/>
      </w:pPr>
      <w:r>
        <w:t>January: KES 44,096,051.27</w:t>
      </w:r>
    </w:p>
    <w:p>
      <w:pPr>
        <w:pStyle w:val="ListBullet"/>
      </w:pPr>
      <w:r>
        <w:t>February: KES 56,612,591.93</w:t>
      </w:r>
    </w:p>
    <w:p>
      <w:pPr>
        <w:pStyle w:val="ListBullet"/>
      </w:pPr>
      <w:r>
        <w:t>March: KES 57,433,064.62</w:t>
      </w:r>
    </w:p>
    <w:p>
      <w:pPr>
        <w:pStyle w:val="ListBullet"/>
      </w:pPr>
      <w:r>
        <w:t>April: KES 60,228,305.48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