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F940" w14:textId="208317D5" w:rsidR="00FC2101"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Cse150</w:t>
      </w:r>
    </w:p>
    <w:p w14:paraId="5E02554B" w14:textId="45E1043C" w:rsidR="00DB7D69"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Final Project</w:t>
      </w:r>
    </w:p>
    <w:p w14:paraId="44A22A0B" w14:textId="43F6F05C" w:rsidR="00074A4E"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Team 102 - Watermelon</w:t>
      </w:r>
    </w:p>
    <w:p w14:paraId="7060C555" w14:textId="6C9D3111" w:rsidR="000941B4"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Dennis Sun</w:t>
      </w:r>
      <w:r w:rsidR="00F10896" w:rsidRPr="00E05223">
        <w:rPr>
          <w:rFonts w:ascii="Times New Roman" w:hAnsi="Times New Roman" w:cs="Times New Roman"/>
          <w:szCs w:val="22"/>
        </w:rPr>
        <w:t xml:space="preserve">, </w:t>
      </w:r>
      <w:r w:rsidRPr="00E05223">
        <w:rPr>
          <w:rFonts w:ascii="Times New Roman" w:hAnsi="Times New Roman" w:cs="Times New Roman"/>
          <w:szCs w:val="22"/>
        </w:rPr>
        <w:t>Nick Pham</w:t>
      </w:r>
      <w:r w:rsidR="00F10896" w:rsidRPr="00E05223">
        <w:rPr>
          <w:rFonts w:ascii="Times New Roman" w:hAnsi="Times New Roman" w:cs="Times New Roman"/>
          <w:szCs w:val="22"/>
        </w:rPr>
        <w:t xml:space="preserve">, </w:t>
      </w:r>
      <w:r w:rsidRPr="00E05223">
        <w:rPr>
          <w:rFonts w:ascii="Times New Roman" w:hAnsi="Times New Roman" w:cs="Times New Roman"/>
          <w:szCs w:val="22"/>
        </w:rPr>
        <w:t>Noe Gonzalez</w:t>
      </w:r>
      <w:r w:rsidR="00F10896" w:rsidRPr="00E05223">
        <w:rPr>
          <w:rFonts w:ascii="Times New Roman" w:hAnsi="Times New Roman" w:cs="Times New Roman"/>
          <w:szCs w:val="22"/>
        </w:rPr>
        <w:t xml:space="preserve">, </w:t>
      </w:r>
      <w:proofErr w:type="spellStart"/>
      <w:r w:rsidRPr="00E05223">
        <w:rPr>
          <w:rFonts w:ascii="Times New Roman" w:hAnsi="Times New Roman" w:cs="Times New Roman"/>
          <w:szCs w:val="22"/>
        </w:rPr>
        <w:t>Wenrong</w:t>
      </w:r>
      <w:proofErr w:type="spellEnd"/>
      <w:r w:rsidRPr="00E05223">
        <w:rPr>
          <w:rFonts w:ascii="Times New Roman" w:hAnsi="Times New Roman" w:cs="Times New Roman"/>
          <w:szCs w:val="22"/>
        </w:rPr>
        <w:t xml:space="preserve"> Zheng</w:t>
      </w:r>
    </w:p>
    <w:p w14:paraId="174AD7D2" w14:textId="6BD53B63" w:rsidR="000941B4" w:rsidRPr="00E05223" w:rsidRDefault="000941B4" w:rsidP="00B66E4A">
      <w:pPr>
        <w:spacing w:line="276" w:lineRule="auto"/>
        <w:rPr>
          <w:rFonts w:ascii="Times New Roman" w:hAnsi="Times New Roman" w:cs="Times New Roman"/>
          <w:szCs w:val="22"/>
        </w:rPr>
      </w:pPr>
    </w:p>
    <w:p w14:paraId="37D633F1" w14:textId="6E97E34F" w:rsidR="005C5902" w:rsidRPr="00E05223" w:rsidRDefault="58AD4D22" w:rsidP="00B66E4A">
      <w:pPr>
        <w:spacing w:line="276" w:lineRule="auto"/>
        <w:jc w:val="center"/>
        <w:rPr>
          <w:rFonts w:ascii="Times New Roman" w:hAnsi="Times New Roman" w:cs="Times New Roman"/>
          <w:szCs w:val="22"/>
        </w:rPr>
      </w:pPr>
      <w:r w:rsidRPr="00E05223">
        <w:rPr>
          <w:rFonts w:ascii="Times New Roman" w:hAnsi="Times New Roman" w:cs="Times New Roman"/>
          <w:szCs w:val="22"/>
        </w:rPr>
        <w:t>Project Report Draft</w:t>
      </w:r>
    </w:p>
    <w:p w14:paraId="671D7846" w14:textId="77777777" w:rsidR="00B05E01" w:rsidRPr="00E05223" w:rsidRDefault="58AD4D22" w:rsidP="00B66E4A">
      <w:pPr>
        <w:spacing w:line="276" w:lineRule="auto"/>
        <w:rPr>
          <w:rFonts w:ascii="Times New Roman" w:hAnsi="Times New Roman" w:cs="Times New Roman"/>
          <w:b/>
          <w:szCs w:val="22"/>
        </w:rPr>
      </w:pPr>
      <w:r w:rsidRPr="00E05223">
        <w:rPr>
          <w:rFonts w:ascii="Times New Roman" w:hAnsi="Times New Roman" w:cs="Times New Roman"/>
          <w:b/>
          <w:szCs w:val="22"/>
        </w:rPr>
        <w:t>1. Problem Description</w:t>
      </w:r>
    </w:p>
    <w:p w14:paraId="388B7439" w14:textId="77777777" w:rsidR="009F62BB"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This project uses the FHFA House Price Index (HPI) to identify different price–movement regimes of the U.S. housing market and to analyze how these regimes evolve over time. In each quarter, the market is assumed to be in one latent state, such as:</w:t>
      </w:r>
    </w:p>
    <w:p w14:paraId="58F685EC" w14:textId="77777777" w:rsidR="009F62BB" w:rsidRPr="00E05223" w:rsidRDefault="58AD4D22" w:rsidP="00B66E4A">
      <w:pPr>
        <w:numPr>
          <w:ilvl w:val="0"/>
          <w:numId w:val="18"/>
        </w:numPr>
        <w:spacing w:line="276" w:lineRule="auto"/>
        <w:rPr>
          <w:rFonts w:ascii="Times New Roman" w:hAnsi="Times New Roman" w:cs="Times New Roman"/>
          <w:szCs w:val="22"/>
        </w:rPr>
      </w:pPr>
      <w:r w:rsidRPr="00E05223">
        <w:rPr>
          <w:rFonts w:ascii="Times New Roman" w:hAnsi="Times New Roman" w:cs="Times New Roman"/>
          <w:szCs w:val="22"/>
        </w:rPr>
        <w:t>Expansion – high price growth, rising leverage and bubble risk;</w:t>
      </w:r>
    </w:p>
    <w:p w14:paraId="047C9910" w14:textId="77777777" w:rsidR="009F62BB" w:rsidRPr="00E05223" w:rsidRDefault="58AD4D22" w:rsidP="00B66E4A">
      <w:pPr>
        <w:numPr>
          <w:ilvl w:val="0"/>
          <w:numId w:val="18"/>
        </w:numPr>
        <w:spacing w:line="276" w:lineRule="auto"/>
        <w:rPr>
          <w:rFonts w:ascii="Times New Roman" w:hAnsi="Times New Roman" w:cs="Times New Roman"/>
          <w:szCs w:val="22"/>
        </w:rPr>
      </w:pPr>
      <w:r w:rsidRPr="00E05223">
        <w:rPr>
          <w:rFonts w:ascii="Times New Roman" w:hAnsi="Times New Roman" w:cs="Times New Roman"/>
          <w:szCs w:val="22"/>
        </w:rPr>
        <w:t>Neutral – mild growth or roughly flat prices;</w:t>
      </w:r>
    </w:p>
    <w:p w14:paraId="3B08A4A0" w14:textId="77777777" w:rsidR="009F62BB" w:rsidRPr="00E05223" w:rsidRDefault="58AD4D22" w:rsidP="00B66E4A">
      <w:pPr>
        <w:numPr>
          <w:ilvl w:val="0"/>
          <w:numId w:val="18"/>
        </w:numPr>
        <w:spacing w:line="276" w:lineRule="auto"/>
        <w:rPr>
          <w:rFonts w:ascii="Times New Roman" w:hAnsi="Times New Roman" w:cs="Times New Roman"/>
          <w:szCs w:val="22"/>
        </w:rPr>
      </w:pPr>
      <w:r w:rsidRPr="00E05223">
        <w:rPr>
          <w:rFonts w:ascii="Times New Roman" w:hAnsi="Times New Roman" w:cs="Times New Roman"/>
          <w:szCs w:val="22"/>
        </w:rPr>
        <w:t>Adjustment/Downturn – low or negative returns and elevated default and wealth–loss risk.</w:t>
      </w:r>
    </w:p>
    <w:p w14:paraId="55A04F3D" w14:textId="77777777" w:rsidR="009F62BB" w:rsidRPr="00E05223" w:rsidRDefault="723DC372" w:rsidP="00B66E4A">
      <w:pPr>
        <w:spacing w:line="276" w:lineRule="auto"/>
        <w:rPr>
          <w:rFonts w:ascii="Times New Roman" w:hAnsi="Times New Roman" w:cs="Times New Roman"/>
          <w:szCs w:val="22"/>
        </w:rPr>
      </w:pPr>
      <w:r w:rsidRPr="00E05223">
        <w:rPr>
          <w:rFonts w:ascii="Times New Roman" w:hAnsi="Times New Roman" w:cs="Times New Roman"/>
          <w:szCs w:val="22"/>
        </w:rPr>
        <w:t xml:space="preserve">Rather than defining these phases by ad hoc thresholds, we aim to </w:t>
      </w:r>
      <w:bookmarkStart w:id="0" w:name="_Int_rRsm4LKS"/>
      <w:r w:rsidRPr="00E05223">
        <w:rPr>
          <w:rFonts w:ascii="Times New Roman" w:hAnsi="Times New Roman" w:cs="Times New Roman"/>
          <w:szCs w:val="22"/>
        </w:rPr>
        <w:t>learn</w:t>
      </w:r>
      <w:bookmarkEnd w:id="0"/>
      <w:r w:rsidRPr="00E05223">
        <w:rPr>
          <w:rFonts w:ascii="Times New Roman" w:hAnsi="Times New Roman" w:cs="Times New Roman"/>
          <w:szCs w:val="22"/>
        </w:rPr>
        <w:t xml:space="preserve"> the regimes and their transition probabilities directly from the HPI series. A data–driven regime model can support quantitative assessments of housing affordability, mortgage default risk, and financial stability.</w:t>
      </w:r>
    </w:p>
    <w:p w14:paraId="020CAB15" w14:textId="77777777" w:rsidR="009F62BB"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This setting fits probabilistic reasoning and learning: we only observe price indices and their changes, while market regimes are latent variables. We use a Hidden Markov Model (HMM) with the EM algorithm to infer hidden states and estimate model parameters in an unsupervised way.</w:t>
      </w:r>
    </w:p>
    <w:p w14:paraId="4BC0D7CD" w14:textId="77777777" w:rsidR="000B29A0" w:rsidRPr="00E05223" w:rsidRDefault="58AD4D22" w:rsidP="00B66E4A">
      <w:pPr>
        <w:spacing w:line="276" w:lineRule="auto"/>
        <w:rPr>
          <w:rFonts w:ascii="Times New Roman" w:hAnsi="Times New Roman" w:cs="Times New Roman"/>
          <w:b/>
          <w:szCs w:val="22"/>
        </w:rPr>
      </w:pPr>
      <w:r w:rsidRPr="00E05223">
        <w:rPr>
          <w:rFonts w:ascii="Times New Roman" w:hAnsi="Times New Roman" w:cs="Times New Roman"/>
          <w:b/>
          <w:szCs w:val="22"/>
        </w:rPr>
        <w:t>2. Data Sourcing and Processing</w:t>
      </w:r>
    </w:p>
    <w:p w14:paraId="0D1FAF4F" w14:textId="7B47E115" w:rsidR="00786065"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2.1 Data Source</w:t>
      </w:r>
    </w:p>
    <w:p w14:paraId="65126788" w14:textId="77777777" w:rsidR="00674311"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We use the official FHFA House Price Index (HPI) quarterly data for the U.S. purchase–only index:</w:t>
      </w:r>
    </w:p>
    <w:p w14:paraId="37AC490C" w14:textId="4186A270" w:rsidR="00981C81"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Main dataset page: FHFA House Price Index</w:t>
      </w:r>
    </w:p>
    <w:p w14:paraId="40582BD9" w14:textId="59407D93" w:rsidR="00642A61" w:rsidRPr="00E05223" w:rsidRDefault="58AD4D22" w:rsidP="00B66E4A">
      <w:pPr>
        <w:spacing w:line="276" w:lineRule="auto"/>
        <w:rPr>
          <w:rFonts w:ascii="Times New Roman" w:hAnsi="Times New Roman" w:cs="Times New Roman"/>
          <w:szCs w:val="22"/>
        </w:rPr>
      </w:pPr>
      <w:hyperlink r:id="rId11">
        <w:r w:rsidRPr="00E05223">
          <w:rPr>
            <w:rStyle w:val="af2"/>
            <w:rFonts w:ascii="Times New Roman" w:hAnsi="Times New Roman" w:cs="Times New Roman"/>
            <w:szCs w:val="22"/>
          </w:rPr>
          <w:t>https://www.fhfa.gov/data/hpi/datasets</w:t>
        </w:r>
      </w:hyperlink>
    </w:p>
    <w:p w14:paraId="2C6BE21E" w14:textId="77777777" w:rsidR="00C54CFF"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Original file used: U.S. Summary.xlsx</w:t>
      </w:r>
    </w:p>
    <w:p w14:paraId="5872A3E7" w14:textId="5629F584" w:rsidR="00CE7A9A" w:rsidRPr="00E05223" w:rsidRDefault="58AD4D22" w:rsidP="00B66E4A">
      <w:pPr>
        <w:spacing w:line="276" w:lineRule="auto"/>
        <w:rPr>
          <w:rFonts w:ascii="Times New Roman" w:hAnsi="Times New Roman" w:cs="Times New Roman"/>
          <w:szCs w:val="22"/>
        </w:rPr>
      </w:pPr>
      <w:hyperlink r:id="rId12">
        <w:r w:rsidRPr="00E05223">
          <w:rPr>
            <w:rStyle w:val="af2"/>
            <w:rFonts w:ascii="Times New Roman" w:hAnsi="Times New Roman" w:cs="Times New Roman"/>
            <w:szCs w:val="22"/>
          </w:rPr>
          <w:t>https://www.fhfa.gov/data/hpi/datasets?tab=quarterly-data</w:t>
        </w:r>
      </w:hyperlink>
      <w:r w:rsidR="0059331D" w:rsidRPr="00E05223">
        <w:rPr>
          <w:rFonts w:ascii="Times New Roman" w:hAnsi="Times New Roman" w:cs="Times New Roman"/>
          <w:szCs w:val="22"/>
        </w:rPr>
        <w:br/>
      </w:r>
      <w:r w:rsidRPr="00E05223">
        <w:rPr>
          <w:rFonts w:ascii="Times New Roman" w:hAnsi="Times New Roman" w:cs="Times New Roman"/>
          <w:szCs w:val="22"/>
        </w:rPr>
        <w:t xml:space="preserve">The raw table reports both seasonally adjusted and non–seasonally–adjusted purchase–only indices, plus </w:t>
      </w:r>
      <w:r w:rsidRPr="00E05223">
        <w:rPr>
          <w:rFonts w:ascii="Times New Roman" w:hAnsi="Times New Roman" w:cs="Times New Roman"/>
          <w:szCs w:val="22"/>
        </w:rPr>
        <w:lastRenderedPageBreak/>
        <w:t>several percentage–change columns. From this file we construct four working datasets:</w:t>
      </w:r>
    </w:p>
    <w:p w14:paraId="32B28051" w14:textId="07CC657C" w:rsidR="00AD7E44"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hpi_po_summary_cleaned.xlsx; hpi_po_summary_condensed.xlsx; index_observations.txt; adjusted_index_observations.txt</w:t>
      </w:r>
    </w:p>
    <w:p w14:paraId="5B78A52B" w14:textId="7B06AED4" w:rsidR="006B039E" w:rsidRPr="001677B3" w:rsidRDefault="006B039E" w:rsidP="00B66E4A">
      <w:pPr>
        <w:widowControl/>
        <w:spacing w:before="100" w:beforeAutospacing="1" w:after="100" w:afterAutospacing="1" w:line="276" w:lineRule="auto"/>
        <w:outlineLvl w:val="3"/>
        <w:rPr>
          <w:rFonts w:ascii="Times New Roman" w:eastAsia="宋体" w:hAnsi="Times New Roman" w:cs="Times New Roman"/>
          <w:b/>
          <w:bCs/>
          <w:kern w:val="0"/>
          <w:szCs w:val="22"/>
          <w14:ligatures w14:val="none"/>
        </w:rPr>
      </w:pPr>
      <w:r w:rsidRPr="006B039E">
        <w:rPr>
          <w:rFonts w:ascii="Times New Roman" w:eastAsia="宋体" w:hAnsi="Times New Roman" w:cs="Times New Roman"/>
          <w:b/>
          <w:bCs/>
          <w:kern w:val="0"/>
          <w:szCs w:val="22"/>
          <w14:ligatures w14:val="none"/>
        </w:rPr>
        <w:t>2. Data Sourcing and Processing</w:t>
      </w:r>
    </w:p>
    <w:p w14:paraId="3E6539EA" w14:textId="7A1424AF" w:rsidR="006B039E" w:rsidRPr="006B039E" w:rsidRDefault="006B039E" w:rsidP="00B66E4A">
      <w:pPr>
        <w:widowControl/>
        <w:spacing w:before="100" w:beforeAutospacing="1" w:after="100" w:afterAutospacing="1" w:line="276" w:lineRule="auto"/>
        <w:rPr>
          <w:rFonts w:ascii="Times New Roman" w:eastAsia="宋体" w:hAnsi="Times New Roman" w:cs="Times New Roman"/>
          <w:kern w:val="0"/>
          <w:szCs w:val="22"/>
          <w14:ligatures w14:val="none"/>
        </w:rPr>
      </w:pPr>
      <w:r w:rsidRPr="006B039E">
        <w:rPr>
          <w:rFonts w:ascii="Times New Roman" w:eastAsia="宋体" w:hAnsi="Times New Roman" w:cs="Times New Roman"/>
          <w:kern w:val="0"/>
          <w:szCs w:val="22"/>
          <w14:ligatures w14:val="none"/>
        </w:rPr>
        <w:t xml:space="preserve">We utilized the FHFA Purchase-Only House Price Index (HPI), specifically the seasonally adjusted national series, to isolate economic trends from calendar effects. The dataset spans from 1991Q1 to 2025Q2. To ensure the stationarity required for HMM training, we transformed the raw index levels </w:t>
      </w:r>
      <m:oMath>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P</m:t>
            </m:r>
          </m:e>
          <m:sub>
            <m:r>
              <w:rPr>
                <w:rFonts w:ascii="Cambria Math" w:eastAsia="宋体" w:hAnsi="Cambria Math" w:cs="Times New Roman"/>
                <w:kern w:val="0"/>
                <w:szCs w:val="22"/>
                <w14:ligatures w14:val="none"/>
              </w:rPr>
              <m:t>t</m:t>
            </m:r>
          </m:sub>
        </m:sSub>
      </m:oMath>
      <w:r w:rsidRPr="006B039E">
        <w:rPr>
          <w:rFonts w:ascii="Times New Roman" w:eastAsia="宋体" w:hAnsi="Times New Roman" w:cs="Times New Roman"/>
          <w:kern w:val="0"/>
          <w:szCs w:val="22"/>
          <w14:ligatures w14:val="none"/>
        </w:rPr>
        <w:t xml:space="preserve"> into quarterly log-returns: </w:t>
      </w:r>
      <m:oMath>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γ</m:t>
            </m:r>
          </m:e>
          <m:sub>
            <m:r>
              <w:rPr>
                <w:rFonts w:ascii="Cambria Math" w:eastAsia="宋体" w:hAnsi="Cambria Math" w:cs="Times New Roman"/>
                <w:kern w:val="0"/>
                <w:szCs w:val="22"/>
                <w14:ligatures w14:val="none"/>
              </w:rPr>
              <m:t>t</m:t>
            </m:r>
          </m:sub>
        </m:sSub>
        <m:r>
          <w:rPr>
            <w:rFonts w:ascii="Cambria Math" w:eastAsia="宋体" w:hAnsi="Cambria Math" w:cs="Times New Roman"/>
            <w:kern w:val="0"/>
            <w:szCs w:val="22"/>
            <w14:ligatures w14:val="none"/>
          </w:rPr>
          <m:t>=ln(</m:t>
        </m:r>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P</m:t>
            </m:r>
          </m:e>
          <m:sub>
            <m:r>
              <w:rPr>
                <w:rFonts w:ascii="Cambria Math" w:eastAsia="宋体" w:hAnsi="Cambria Math" w:cs="Times New Roman"/>
                <w:kern w:val="0"/>
                <w:szCs w:val="22"/>
                <w14:ligatures w14:val="none"/>
              </w:rPr>
              <m:t>t</m:t>
            </m:r>
          </m:sub>
        </m:sSub>
        <m:r>
          <w:rPr>
            <w:rFonts w:ascii="Cambria Math" w:eastAsia="宋体" w:hAnsi="Cambria Math" w:cs="Times New Roman"/>
            <w:kern w:val="0"/>
            <w:szCs w:val="22"/>
            <w14:ligatures w14:val="none"/>
          </w:rPr>
          <m:t>)-ln(</m:t>
        </m:r>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P</m:t>
            </m:r>
          </m:e>
          <m:sub>
            <m:r>
              <w:rPr>
                <w:rFonts w:ascii="Cambria Math" w:eastAsia="宋体" w:hAnsi="Cambria Math" w:cs="Times New Roman"/>
                <w:kern w:val="0"/>
                <w:szCs w:val="22"/>
                <w14:ligatures w14:val="none"/>
              </w:rPr>
              <m:t>t-1</m:t>
            </m:r>
          </m:sub>
        </m:sSub>
        <m:r>
          <w:rPr>
            <w:rFonts w:ascii="Cambria Math" w:eastAsia="宋体" w:hAnsi="Cambria Math" w:cs="Times New Roman"/>
            <w:kern w:val="0"/>
            <w:szCs w:val="22"/>
            <w14:ligatures w14:val="none"/>
          </w:rPr>
          <m:t>)</m:t>
        </m:r>
      </m:oMath>
      <w:r w:rsidRPr="006B039E">
        <w:rPr>
          <w:rFonts w:ascii="Times New Roman" w:eastAsia="宋体" w:hAnsi="Times New Roman" w:cs="Times New Roman"/>
          <w:kern w:val="0"/>
          <w:szCs w:val="22"/>
          <w14:ligatures w14:val="none"/>
        </w:rPr>
        <w:t xml:space="preserve">. The initial observation (1991Q1) was dropped due to the differencing step, resulting in a continuous time series of </w:t>
      </w:r>
      <m:oMath>
        <m:r>
          <w:rPr>
            <w:rFonts w:ascii="Cambria Math" w:eastAsia="宋体" w:hAnsi="Cambria Math" w:cs="Times New Roman"/>
            <w:kern w:val="0"/>
            <w:szCs w:val="22"/>
            <w14:ligatures w14:val="none"/>
          </w:rPr>
          <m:t>T=134</m:t>
        </m:r>
      </m:oMath>
      <w:r w:rsidR="002111A3" w:rsidRPr="00E05223">
        <w:rPr>
          <w:rFonts w:ascii="Times New Roman" w:eastAsia="宋体" w:hAnsi="Times New Roman" w:cs="Times New Roman"/>
          <w:kern w:val="0"/>
          <w:szCs w:val="22"/>
          <w14:ligatures w14:val="none"/>
        </w:rPr>
        <w:t xml:space="preserve"> </w:t>
      </w:r>
      <w:r w:rsidRPr="006B039E">
        <w:rPr>
          <w:rFonts w:ascii="Times New Roman" w:eastAsia="宋体" w:hAnsi="Times New Roman" w:cs="Times New Roman"/>
          <w:kern w:val="0"/>
          <w:szCs w:val="22"/>
          <w14:ligatures w14:val="none"/>
        </w:rPr>
        <w:t>observations. No further discretization was applied; we model the continuous returns directly using Gaussian emissions to preserve magnitude information.</w:t>
      </w:r>
    </w:p>
    <w:p w14:paraId="2B52CE60" w14:textId="01C695F5" w:rsidR="006B039E" w:rsidRPr="006B039E" w:rsidRDefault="006B039E" w:rsidP="00B66E4A">
      <w:pPr>
        <w:widowControl/>
        <w:spacing w:before="100" w:beforeAutospacing="1" w:after="100" w:afterAutospacing="1" w:line="276" w:lineRule="auto"/>
        <w:outlineLvl w:val="3"/>
        <w:rPr>
          <w:rFonts w:ascii="Times New Roman" w:eastAsia="宋体" w:hAnsi="Times New Roman" w:cs="Times New Roman"/>
          <w:b/>
          <w:bCs/>
          <w:kern w:val="0"/>
          <w:szCs w:val="22"/>
          <w14:ligatures w14:val="none"/>
        </w:rPr>
      </w:pPr>
      <w:r w:rsidRPr="006B039E">
        <w:rPr>
          <w:rFonts w:ascii="Times New Roman" w:eastAsia="宋体" w:hAnsi="Times New Roman" w:cs="Times New Roman"/>
          <w:b/>
          <w:bCs/>
          <w:kern w:val="0"/>
          <w:szCs w:val="22"/>
          <w14:ligatures w14:val="none"/>
        </w:rPr>
        <w:t>3. Modeling and Inference</w:t>
      </w:r>
    </w:p>
    <w:p w14:paraId="22C4030E" w14:textId="79816BCB" w:rsidR="006B039E" w:rsidRPr="006B039E" w:rsidRDefault="006B039E" w:rsidP="00B66E4A">
      <w:pPr>
        <w:widowControl/>
        <w:spacing w:before="100" w:beforeAutospacing="1" w:after="100" w:afterAutospacing="1" w:line="276" w:lineRule="auto"/>
        <w:rPr>
          <w:rFonts w:ascii="Times New Roman" w:eastAsia="宋体" w:hAnsi="Times New Roman" w:cs="Times New Roman"/>
          <w:kern w:val="0"/>
          <w:szCs w:val="22"/>
          <w14:ligatures w14:val="none"/>
        </w:rPr>
      </w:pPr>
      <w:r w:rsidRPr="006B039E">
        <w:rPr>
          <w:rFonts w:ascii="Times New Roman" w:eastAsia="宋体" w:hAnsi="Times New Roman" w:cs="Times New Roman"/>
          <w:kern w:val="0"/>
          <w:szCs w:val="22"/>
          <w14:ligatures w14:val="none"/>
        </w:rPr>
        <w:t xml:space="preserve">We model the housing market using a Gaussian Hidden Markov Model (HMM). The latent state sequence </w:t>
      </w:r>
      <m:oMath>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S</m:t>
            </m:r>
          </m:e>
          <m:sub>
            <m:r>
              <w:rPr>
                <w:rFonts w:ascii="Cambria Math" w:eastAsia="宋体" w:hAnsi="Cambria Math" w:cs="Times New Roman"/>
                <w:kern w:val="0"/>
                <w:szCs w:val="22"/>
                <w14:ligatures w14:val="none"/>
              </w:rPr>
              <m:t>1</m:t>
            </m:r>
          </m:sub>
        </m:sSub>
        <m:r>
          <w:rPr>
            <w:rFonts w:ascii="Cambria Math" w:eastAsia="宋体" w:hAnsi="Cambria Math" w:cs="Times New Roman"/>
            <w:kern w:val="0"/>
            <w:szCs w:val="22"/>
            <w14:ligatures w14:val="none"/>
          </w:rPr>
          <m:t>,...,</m:t>
        </m:r>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S</m:t>
            </m:r>
          </m:e>
          <m:sub>
            <m:r>
              <w:rPr>
                <w:rFonts w:ascii="Cambria Math" w:eastAsia="宋体" w:hAnsi="Cambria Math" w:cs="Times New Roman"/>
                <w:kern w:val="0"/>
                <w:szCs w:val="22"/>
                <w14:ligatures w14:val="none"/>
              </w:rPr>
              <m:t>T</m:t>
            </m:r>
          </m:sub>
        </m:sSub>
      </m:oMath>
      <w:r w:rsidR="00E72A03" w:rsidRPr="00E05223">
        <w:rPr>
          <w:rFonts w:ascii="Times New Roman" w:eastAsia="宋体" w:hAnsi="Times New Roman" w:cs="Times New Roman"/>
          <w:kern w:val="0"/>
          <w:szCs w:val="22"/>
          <w14:ligatures w14:val="none"/>
        </w:rPr>
        <w:t xml:space="preserve"> </w:t>
      </w:r>
      <w:r w:rsidRPr="006B039E">
        <w:rPr>
          <w:rFonts w:ascii="Times New Roman" w:eastAsia="宋体" w:hAnsi="Times New Roman" w:cs="Times New Roman"/>
          <w:kern w:val="0"/>
          <w:szCs w:val="22"/>
          <w14:ligatures w14:val="none"/>
        </w:rPr>
        <w:t>represents unobserved market regimes (e.g., Expansion, Contraction), and observations correspond to quarterly log-returns.</w:t>
      </w:r>
    </w:p>
    <w:p w14:paraId="54B6032E" w14:textId="00A8E9A3" w:rsidR="006B039E" w:rsidRPr="006B039E" w:rsidRDefault="006B039E" w:rsidP="00B66E4A">
      <w:pPr>
        <w:widowControl/>
        <w:numPr>
          <w:ilvl w:val="0"/>
          <w:numId w:val="29"/>
        </w:numPr>
        <w:spacing w:before="100" w:beforeAutospacing="1" w:after="100" w:afterAutospacing="1" w:line="276" w:lineRule="auto"/>
        <w:rPr>
          <w:rFonts w:ascii="Times New Roman" w:eastAsia="宋体" w:hAnsi="Times New Roman" w:cs="Times New Roman"/>
          <w:kern w:val="0"/>
          <w:szCs w:val="22"/>
          <w14:ligatures w14:val="none"/>
        </w:rPr>
      </w:pPr>
      <w:r w:rsidRPr="006B039E">
        <w:rPr>
          <w:rFonts w:ascii="Times New Roman" w:eastAsia="宋体" w:hAnsi="Times New Roman" w:cs="Times New Roman"/>
          <w:b/>
          <w:bCs/>
          <w:kern w:val="0"/>
          <w:szCs w:val="22"/>
          <w14:ligatures w14:val="none"/>
        </w:rPr>
        <w:t>Inference:</w:t>
      </w:r>
      <w:r w:rsidRPr="006B039E">
        <w:rPr>
          <w:rFonts w:ascii="Times New Roman" w:eastAsia="宋体" w:hAnsi="Times New Roman" w:cs="Times New Roman"/>
          <w:kern w:val="0"/>
          <w:szCs w:val="22"/>
          <w14:ligatures w14:val="none"/>
        </w:rPr>
        <w:t xml:space="preserve"> We implemented the Forward-Backward algorithm to compute the posterior probabilities of hidden states, </w:t>
      </w:r>
      <m:oMath>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γ</m:t>
            </m:r>
          </m:e>
          <m:sub>
            <m:r>
              <w:rPr>
                <w:rFonts w:ascii="Cambria Math" w:eastAsia="宋体" w:hAnsi="Cambria Math" w:cs="Times New Roman"/>
                <w:kern w:val="0"/>
                <w:szCs w:val="22"/>
                <w14:ligatures w14:val="none"/>
              </w:rPr>
              <m:t>t</m:t>
            </m:r>
          </m:sub>
        </m:sSub>
        <m:r>
          <w:rPr>
            <w:rFonts w:ascii="Cambria Math" w:eastAsia="宋体" w:hAnsi="Cambria Math" w:cs="Times New Roman"/>
            <w:kern w:val="0"/>
            <w:szCs w:val="22"/>
            <w14:ligatures w14:val="none"/>
          </w:rPr>
          <m:t>(k)=P(</m:t>
        </m:r>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S</m:t>
            </m:r>
          </m:e>
          <m:sub>
            <m:r>
              <w:rPr>
                <w:rFonts w:ascii="Cambria Math" w:eastAsia="宋体" w:hAnsi="Cambria Math" w:cs="Times New Roman"/>
                <w:kern w:val="0"/>
                <w:szCs w:val="22"/>
                <w14:ligatures w14:val="none"/>
              </w:rPr>
              <m:t>t</m:t>
            </m:r>
          </m:sub>
        </m:sSub>
        <m:r>
          <w:rPr>
            <w:rFonts w:ascii="Cambria Math" w:eastAsia="宋体" w:hAnsi="Cambria Math" w:cs="Times New Roman"/>
            <w:kern w:val="0"/>
            <w:szCs w:val="22"/>
            <w14:ligatures w14:val="none"/>
          </w:rPr>
          <m:t xml:space="preserve">=k | </m:t>
        </m:r>
        <m:sSub>
          <m:sSubPr>
            <m:ctrlPr>
              <w:rPr>
                <w:rFonts w:ascii="Cambria Math" w:eastAsia="宋体" w:hAnsi="Cambria Math" w:cs="Times New Roman"/>
                <w:i/>
                <w:kern w:val="0"/>
                <w:szCs w:val="22"/>
                <w14:ligatures w14:val="none"/>
              </w:rPr>
            </m:ctrlPr>
          </m:sSubPr>
          <m:e>
            <m:r>
              <w:rPr>
                <w:rFonts w:ascii="Cambria Math" w:eastAsia="宋体" w:hAnsi="Cambria Math" w:cs="Times New Roman"/>
                <w:kern w:val="0"/>
                <w:szCs w:val="22"/>
                <w14:ligatures w14:val="none"/>
              </w:rPr>
              <m:t>O</m:t>
            </m:r>
          </m:e>
          <m:sub>
            <m:r>
              <w:rPr>
                <w:rFonts w:ascii="Cambria Math" w:eastAsia="宋体" w:hAnsi="Cambria Math" w:cs="Times New Roman"/>
                <w:kern w:val="0"/>
                <w:szCs w:val="22"/>
                <w14:ligatures w14:val="none"/>
              </w:rPr>
              <m:t>1:T</m:t>
            </m:r>
          </m:sub>
        </m:sSub>
        <m:r>
          <w:rPr>
            <w:rFonts w:ascii="Cambria Math" w:eastAsia="宋体" w:hAnsi="Cambria Math" w:cs="Times New Roman"/>
            <w:kern w:val="0"/>
            <w:szCs w:val="22"/>
            <w14:ligatures w14:val="none"/>
          </w:rPr>
          <m:t>)</m:t>
        </m:r>
      </m:oMath>
    </w:p>
    <w:p w14:paraId="65A4E668" w14:textId="62F013F1" w:rsidR="006B039E" w:rsidRPr="006B039E" w:rsidRDefault="006B039E" w:rsidP="00B66E4A">
      <w:pPr>
        <w:widowControl/>
        <w:numPr>
          <w:ilvl w:val="0"/>
          <w:numId w:val="29"/>
        </w:numPr>
        <w:spacing w:before="100" w:beforeAutospacing="1" w:after="100" w:afterAutospacing="1" w:line="276" w:lineRule="auto"/>
        <w:rPr>
          <w:rFonts w:ascii="Times New Roman" w:eastAsia="宋体" w:hAnsi="Times New Roman" w:cs="Times New Roman"/>
          <w:kern w:val="0"/>
          <w:szCs w:val="22"/>
          <w14:ligatures w14:val="none"/>
        </w:rPr>
      </w:pPr>
      <w:r w:rsidRPr="006B039E">
        <w:rPr>
          <w:rFonts w:ascii="Times New Roman" w:eastAsia="宋体" w:hAnsi="Times New Roman" w:cs="Times New Roman"/>
          <w:b/>
          <w:bCs/>
          <w:kern w:val="0"/>
          <w:szCs w:val="22"/>
          <w14:ligatures w14:val="none"/>
        </w:rPr>
        <w:t>Learning:</w:t>
      </w:r>
      <w:r w:rsidRPr="006B039E">
        <w:rPr>
          <w:rFonts w:ascii="Times New Roman" w:eastAsia="宋体" w:hAnsi="Times New Roman" w:cs="Times New Roman"/>
          <w:kern w:val="0"/>
          <w:szCs w:val="22"/>
          <w14:ligatures w14:val="none"/>
        </w:rPr>
        <w:t xml:space="preserve"> Parameters (</w:t>
      </w:r>
      <m:oMath>
        <m:r>
          <w:rPr>
            <w:rFonts w:ascii="Cambria Math" w:eastAsia="宋体" w:hAnsi="Cambria Math" w:cs="Times New Roman"/>
            <w:kern w:val="0"/>
            <w:szCs w:val="22"/>
            <w14:ligatures w14:val="none"/>
          </w:rPr>
          <m:t>π, A,μ,</m:t>
        </m:r>
        <m:sSup>
          <m:sSupPr>
            <m:ctrlPr>
              <w:rPr>
                <w:rFonts w:ascii="Cambria Math" w:eastAsia="宋体" w:hAnsi="Cambria Math" w:cs="Times New Roman"/>
                <w:i/>
                <w:kern w:val="0"/>
                <w:szCs w:val="22"/>
                <w14:ligatures w14:val="none"/>
              </w:rPr>
            </m:ctrlPr>
          </m:sSupPr>
          <m:e>
            <m:r>
              <w:rPr>
                <w:rFonts w:ascii="Cambria Math" w:eastAsia="宋体" w:hAnsi="Cambria Math" w:cs="Times New Roman"/>
                <w:kern w:val="0"/>
                <w:szCs w:val="22"/>
                <w14:ligatures w14:val="none"/>
              </w:rPr>
              <m:t>δ</m:t>
            </m:r>
          </m:e>
          <m:sup>
            <m:r>
              <w:rPr>
                <w:rFonts w:ascii="Cambria Math" w:eastAsia="宋体" w:hAnsi="Cambria Math" w:cs="Times New Roman"/>
                <w:kern w:val="0"/>
                <w:szCs w:val="22"/>
                <w14:ligatures w14:val="none"/>
              </w:rPr>
              <m:t>2</m:t>
            </m:r>
          </m:sup>
        </m:sSup>
      </m:oMath>
      <w:r w:rsidRPr="006B039E">
        <w:rPr>
          <w:rFonts w:ascii="Times New Roman" w:eastAsia="宋体" w:hAnsi="Times New Roman" w:cs="Times New Roman"/>
          <w:kern w:val="0"/>
          <w:szCs w:val="22"/>
          <w14:ligatures w14:val="none"/>
        </w:rPr>
        <w:t>) were estimated using the Baum-Welch (EM) algorithm. To mitigate the risk of local optima—a common issue in EM training—we performed random restarts with 5 different initialization seeds and selected the model with the highest final log-likelihood.</w:t>
      </w:r>
    </w:p>
    <w:p w14:paraId="022816CD" w14:textId="77777777" w:rsidR="006B039E" w:rsidRPr="006B039E" w:rsidRDefault="006B039E" w:rsidP="00B66E4A">
      <w:pPr>
        <w:widowControl/>
        <w:numPr>
          <w:ilvl w:val="0"/>
          <w:numId w:val="29"/>
        </w:numPr>
        <w:spacing w:before="100" w:beforeAutospacing="1" w:after="100" w:afterAutospacing="1" w:line="276" w:lineRule="auto"/>
        <w:rPr>
          <w:rFonts w:ascii="Times New Roman" w:eastAsia="宋体" w:hAnsi="Times New Roman" w:cs="Times New Roman"/>
          <w:kern w:val="0"/>
          <w:szCs w:val="22"/>
          <w14:ligatures w14:val="none"/>
        </w:rPr>
      </w:pPr>
      <w:r w:rsidRPr="006B039E">
        <w:rPr>
          <w:rFonts w:ascii="Times New Roman" w:eastAsia="宋体" w:hAnsi="Times New Roman" w:cs="Times New Roman"/>
          <w:b/>
          <w:bCs/>
          <w:kern w:val="0"/>
          <w:szCs w:val="22"/>
          <w14:ligatures w14:val="none"/>
        </w:rPr>
        <w:t>Decoding:</w:t>
      </w:r>
      <w:r w:rsidRPr="006B039E">
        <w:rPr>
          <w:rFonts w:ascii="Times New Roman" w:eastAsia="宋体" w:hAnsi="Times New Roman" w:cs="Times New Roman"/>
          <w:kern w:val="0"/>
          <w:szCs w:val="22"/>
          <w14:ligatures w14:val="none"/>
        </w:rPr>
        <w:t xml:space="preserve"> The </w:t>
      </w:r>
      <w:r w:rsidRPr="006B039E">
        <w:rPr>
          <w:rFonts w:ascii="Times New Roman" w:eastAsia="宋体" w:hAnsi="Times New Roman" w:cs="Times New Roman"/>
          <w:b/>
          <w:bCs/>
          <w:kern w:val="0"/>
          <w:szCs w:val="22"/>
          <w14:ligatures w14:val="none"/>
        </w:rPr>
        <w:t>Viterbi algorithm</w:t>
      </w:r>
      <w:r w:rsidRPr="006B039E">
        <w:rPr>
          <w:rFonts w:ascii="Times New Roman" w:eastAsia="宋体" w:hAnsi="Times New Roman" w:cs="Times New Roman"/>
          <w:kern w:val="0"/>
          <w:szCs w:val="22"/>
          <w14:ligatures w14:val="none"/>
        </w:rPr>
        <w:t xml:space="preserve"> was used to find the single most likely sequence of regimes.</w:t>
      </w:r>
    </w:p>
    <w:p w14:paraId="56FF62FB" w14:textId="43D2832B" w:rsidR="006B039E" w:rsidRPr="006B039E" w:rsidRDefault="006B039E" w:rsidP="00B66E4A">
      <w:pPr>
        <w:widowControl/>
        <w:numPr>
          <w:ilvl w:val="0"/>
          <w:numId w:val="29"/>
        </w:numPr>
        <w:spacing w:before="100" w:beforeAutospacing="1" w:after="100" w:afterAutospacing="1" w:line="276" w:lineRule="auto"/>
        <w:rPr>
          <w:rFonts w:ascii="Times New Roman" w:eastAsia="宋体" w:hAnsi="Times New Roman" w:cs="Times New Roman"/>
          <w:kern w:val="0"/>
          <w:szCs w:val="22"/>
          <w14:ligatures w14:val="none"/>
        </w:rPr>
      </w:pPr>
      <w:r w:rsidRPr="006B039E">
        <w:rPr>
          <w:rFonts w:ascii="Times New Roman" w:eastAsia="宋体" w:hAnsi="Times New Roman" w:cs="Times New Roman"/>
          <w:b/>
          <w:bCs/>
          <w:kern w:val="0"/>
          <w:szCs w:val="22"/>
          <w14:ligatures w14:val="none"/>
        </w:rPr>
        <w:t>Model Selection:</w:t>
      </w:r>
      <w:r w:rsidRPr="006B039E">
        <w:rPr>
          <w:rFonts w:ascii="Times New Roman" w:eastAsia="宋体" w:hAnsi="Times New Roman" w:cs="Times New Roman"/>
          <w:kern w:val="0"/>
          <w:szCs w:val="22"/>
          <w14:ligatures w14:val="none"/>
        </w:rPr>
        <w:t xml:space="preserve"> We determined the optimal number of states (</w:t>
      </w:r>
      <m:oMath>
        <m:r>
          <w:rPr>
            <w:rFonts w:ascii="Cambria Math" w:eastAsia="宋体" w:hAnsi="Cambria Math" w:cs="Times New Roman"/>
            <w:kern w:val="0"/>
            <w:szCs w:val="22"/>
            <w14:ligatures w14:val="none"/>
          </w:rPr>
          <m:t>K</m:t>
        </m:r>
      </m:oMath>
      <w:r w:rsidRPr="006B039E">
        <w:rPr>
          <w:rFonts w:ascii="Times New Roman" w:eastAsia="宋体" w:hAnsi="Times New Roman" w:cs="Times New Roman"/>
          <w:kern w:val="0"/>
          <w:szCs w:val="22"/>
          <w14:ligatures w14:val="none"/>
        </w:rPr>
        <w:t>) by minimizing the Bayesian Information Criterion (</w:t>
      </w:r>
      <w:r w:rsidRPr="006B039E">
        <w:rPr>
          <w:rFonts w:ascii="Times New Roman" w:eastAsia="宋体" w:hAnsi="Times New Roman" w:cs="Times New Roman"/>
          <w:i/>
          <w:iCs/>
          <w:kern w:val="0"/>
          <w:szCs w:val="22"/>
          <w14:ligatures w14:val="none"/>
        </w:rPr>
        <w:t>BIC</w:t>
      </w:r>
      <w:r w:rsidRPr="006B039E">
        <w:rPr>
          <w:rFonts w:ascii="Times New Roman" w:eastAsia="宋体" w:hAnsi="Times New Roman" w:cs="Times New Roman"/>
          <w:kern w:val="0"/>
          <w:szCs w:val="22"/>
          <w14:ligatures w14:val="none"/>
        </w:rPr>
        <w:t>), striking a balance between model fit and complexity.</w:t>
      </w:r>
    </w:p>
    <w:p w14:paraId="0BA286ED" w14:textId="465317C2" w:rsidR="008C5923" w:rsidRPr="00E05223" w:rsidRDefault="58AD4D22"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t>4. Results and Discussion</w:t>
      </w:r>
    </w:p>
    <w:p w14:paraId="2B269F12" w14:textId="43FA8E9D" w:rsidR="009050EB"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t>4.1</w:t>
      </w:r>
      <w:r w:rsidR="006B039E" w:rsidRPr="00E05223">
        <w:rPr>
          <w:rFonts w:ascii="Times New Roman" w:hAnsi="Times New Roman" w:cs="Times New Roman"/>
          <w:b/>
          <w:bCs/>
          <w:szCs w:val="22"/>
        </w:rPr>
        <w:t xml:space="preserve"> Stability Analysis</w:t>
      </w:r>
    </w:p>
    <w:p w14:paraId="453D0C94" w14:textId="4E6969A6" w:rsidR="00A13FF3" w:rsidRPr="00E05223" w:rsidRDefault="00A13FF3" w:rsidP="00B66E4A">
      <w:pPr>
        <w:spacing w:line="276" w:lineRule="auto"/>
        <w:rPr>
          <w:rFonts w:ascii="Times New Roman" w:hAnsi="Times New Roman" w:cs="Times New Roman"/>
          <w:szCs w:val="22"/>
        </w:rPr>
      </w:pPr>
    </w:p>
    <w:p w14:paraId="086604BB" w14:textId="1DE5E237" w:rsidR="007463AF" w:rsidRPr="007463AF" w:rsidRDefault="007463AF" w:rsidP="00B66E4A">
      <w:pPr>
        <w:widowControl/>
        <w:spacing w:before="100" w:beforeAutospacing="1" w:after="100" w:afterAutospacing="1" w:line="276" w:lineRule="auto"/>
        <w:rPr>
          <w:rFonts w:ascii="Times New Roman" w:eastAsia="宋体" w:hAnsi="Times New Roman" w:cs="Times New Roman"/>
          <w:kern w:val="0"/>
          <w:szCs w:val="22"/>
          <w14:ligatures w14:val="none"/>
        </w:rPr>
      </w:pPr>
      <w:r w:rsidRPr="007463AF">
        <w:rPr>
          <w:rFonts w:ascii="Times New Roman" w:eastAsia="宋体" w:hAnsi="Times New Roman" w:cs="Times New Roman"/>
          <w:kern w:val="0"/>
          <w:szCs w:val="22"/>
          <w14:ligatures w14:val="none"/>
        </w:rPr>
        <w:t xml:space="preserve">We first assessed the numerical stability of the training process. </w:t>
      </w:r>
      <w:r w:rsidRPr="007463AF">
        <w:rPr>
          <w:rFonts w:ascii="Times New Roman" w:eastAsia="宋体" w:hAnsi="Times New Roman" w:cs="Times New Roman"/>
          <w:b/>
          <w:bCs/>
          <w:kern w:val="0"/>
          <w:szCs w:val="22"/>
          <w14:ligatures w14:val="none"/>
        </w:rPr>
        <w:t>Figure 2</w:t>
      </w:r>
      <w:r w:rsidRPr="007463AF">
        <w:rPr>
          <w:rFonts w:ascii="Times New Roman" w:eastAsia="宋体" w:hAnsi="Times New Roman" w:cs="Times New Roman"/>
          <w:kern w:val="0"/>
          <w:szCs w:val="22"/>
          <w14:ligatures w14:val="none"/>
        </w:rPr>
        <w:t xml:space="preserve"> illustrates the EM log-likelihood trajectories for Gaussian HMMs with </w:t>
      </w:r>
      <m:oMath>
        <m:r>
          <w:rPr>
            <w:rFonts w:ascii="Cambria Math" w:eastAsia="宋体" w:hAnsi="Cambria Math" w:cs="Times New Roman"/>
            <w:kern w:val="0"/>
            <w:szCs w:val="22"/>
            <w14:ligatures w14:val="none"/>
          </w:rPr>
          <m:t>K=2,3,4</m:t>
        </m:r>
      </m:oMath>
      <w:r w:rsidR="00821E66" w:rsidRPr="00E05223">
        <w:rPr>
          <w:rFonts w:ascii="Times New Roman" w:eastAsia="宋体" w:hAnsi="Times New Roman" w:cs="Times New Roman"/>
          <w:kern w:val="0"/>
          <w:szCs w:val="22"/>
          <w14:ligatures w14:val="none"/>
        </w:rPr>
        <w:t xml:space="preserve"> </w:t>
      </w:r>
      <w:r w:rsidRPr="007463AF">
        <w:rPr>
          <w:rFonts w:ascii="Times New Roman" w:eastAsia="宋体" w:hAnsi="Times New Roman" w:cs="Times New Roman"/>
          <w:kern w:val="0"/>
          <w:szCs w:val="22"/>
          <w14:ligatures w14:val="none"/>
        </w:rPr>
        <w:t xml:space="preserve">states. For all values of </w:t>
      </w:r>
      <m:oMath>
        <m:r>
          <w:rPr>
            <w:rFonts w:ascii="Cambria Math" w:eastAsia="宋体" w:hAnsi="Cambria Math" w:cs="Times New Roman"/>
            <w:kern w:val="0"/>
            <w:szCs w:val="22"/>
            <w14:ligatures w14:val="none"/>
          </w:rPr>
          <m:t>K</m:t>
        </m:r>
      </m:oMath>
      <w:r w:rsidR="009B5B5B" w:rsidRPr="00E05223">
        <w:rPr>
          <w:rFonts w:ascii="Times New Roman" w:eastAsia="宋体" w:hAnsi="Times New Roman" w:cs="Times New Roman"/>
          <w:kern w:val="0"/>
          <w:szCs w:val="22"/>
          <w14:ligatures w14:val="none"/>
        </w:rPr>
        <w:t xml:space="preserve"> </w:t>
      </w:r>
      <w:r w:rsidRPr="007463AF">
        <w:rPr>
          <w:rFonts w:ascii="Times New Roman" w:eastAsia="宋体" w:hAnsi="Times New Roman" w:cs="Times New Roman"/>
          <w:kern w:val="0"/>
          <w:szCs w:val="22"/>
          <w14:ligatures w14:val="none"/>
        </w:rPr>
        <w:t>, the log-</w:t>
      </w:r>
      <w:r w:rsidRPr="007463AF">
        <w:rPr>
          <w:rFonts w:ascii="Times New Roman" w:eastAsia="宋体" w:hAnsi="Times New Roman" w:cs="Times New Roman"/>
          <w:kern w:val="0"/>
          <w:szCs w:val="22"/>
          <w14:ligatures w14:val="none"/>
        </w:rPr>
        <w:lastRenderedPageBreak/>
        <w:t>likelihood increases monotonically and stabilizes quickly without oscillation, indicating that the Baum-Welch algorithm is numerically stable on this dataset.</w:t>
      </w:r>
    </w:p>
    <w:p w14:paraId="4CD01E93" w14:textId="4EDC9035" w:rsidR="007463AF" w:rsidRPr="007463AF" w:rsidRDefault="007463AF" w:rsidP="00B66E4A">
      <w:pPr>
        <w:widowControl/>
        <w:spacing w:before="100" w:beforeAutospacing="1" w:after="100" w:afterAutospacing="1" w:line="276" w:lineRule="auto"/>
        <w:rPr>
          <w:rFonts w:ascii="Times New Roman" w:eastAsia="宋体" w:hAnsi="Times New Roman" w:cs="Times New Roman"/>
          <w:kern w:val="0"/>
          <w:szCs w:val="22"/>
          <w14:ligatures w14:val="none"/>
        </w:rPr>
      </w:pPr>
      <w:r w:rsidRPr="007463AF">
        <w:rPr>
          <w:rFonts w:ascii="Times New Roman" w:eastAsia="宋体" w:hAnsi="Times New Roman" w:cs="Times New Roman"/>
          <w:kern w:val="0"/>
          <w:szCs w:val="22"/>
          <w14:ligatures w14:val="none"/>
        </w:rPr>
        <w:t xml:space="preserve">To ensure that our identified regimes are structural features of the data rather than artifacts of random initialization, we performed 5 random restarts for each </w:t>
      </w:r>
      <m:oMath>
        <m:r>
          <w:rPr>
            <w:rFonts w:ascii="Cambria Math" w:eastAsia="宋体" w:hAnsi="Cambria Math" w:cs="Times New Roman"/>
            <w:kern w:val="0"/>
            <w:szCs w:val="22"/>
            <w14:ligatures w14:val="none"/>
          </w:rPr>
          <m:t>K</m:t>
        </m:r>
      </m:oMath>
      <w:r w:rsidRPr="007463AF">
        <w:rPr>
          <w:rFonts w:ascii="Times New Roman" w:eastAsia="宋体" w:hAnsi="Times New Roman" w:cs="Times New Roman"/>
          <w:kern w:val="0"/>
          <w:szCs w:val="22"/>
          <w14:ligatures w14:val="none"/>
        </w:rPr>
        <w:t xml:space="preserve">. </w:t>
      </w:r>
      <w:r w:rsidRPr="007463AF">
        <w:rPr>
          <w:rFonts w:ascii="Times New Roman" w:eastAsia="宋体" w:hAnsi="Times New Roman" w:cs="Times New Roman"/>
          <w:b/>
          <w:bCs/>
          <w:kern w:val="0"/>
          <w:szCs w:val="22"/>
          <w14:ligatures w14:val="none"/>
        </w:rPr>
        <w:t>Figure 4</w:t>
      </w:r>
      <w:r w:rsidRPr="007463AF">
        <w:rPr>
          <w:rFonts w:ascii="Times New Roman" w:eastAsia="宋体" w:hAnsi="Times New Roman" w:cs="Times New Roman"/>
          <w:kern w:val="0"/>
          <w:szCs w:val="22"/>
          <w14:ligatures w14:val="none"/>
        </w:rPr>
        <w:t xml:space="preserve"> displays the pairwise agreement matrix for the Viterbi-decoded state sequences across these seeds. The high agreement (</w:t>
      </w:r>
      <m:oMath>
        <m:r>
          <w:rPr>
            <w:rFonts w:ascii="Cambria Math" w:eastAsia="宋体" w:hAnsi="Cambria Math" w:cs="Times New Roman"/>
            <w:kern w:val="0"/>
            <w:szCs w:val="22"/>
            <w14:ligatures w14:val="none"/>
          </w:rPr>
          <m:t>&gt;95%</m:t>
        </m:r>
      </m:oMath>
      <w:r w:rsidRPr="007463AF">
        <w:rPr>
          <w:rFonts w:ascii="Times New Roman" w:eastAsia="宋体" w:hAnsi="Times New Roman" w:cs="Times New Roman"/>
          <w:kern w:val="0"/>
          <w:szCs w:val="22"/>
          <w14:ligatures w14:val="none"/>
        </w:rPr>
        <w:t xml:space="preserve"> for convergent runs) confirms that the model consistently identifies the same underlying regime structure regardless of the starting parameters.</w:t>
      </w:r>
    </w:p>
    <w:p w14:paraId="0D446AC2" w14:textId="02F6033A" w:rsidR="007463AF" w:rsidRPr="00E05223" w:rsidRDefault="00F24415" w:rsidP="00B66E4A">
      <w:pPr>
        <w:spacing w:line="276" w:lineRule="auto"/>
        <w:rPr>
          <w:rFonts w:ascii="Times New Roman" w:hAnsi="Times New Roman" w:cs="Times New Roman"/>
          <w:szCs w:val="22"/>
        </w:rPr>
      </w:pPr>
      <w:r w:rsidRPr="00E05223">
        <w:rPr>
          <w:rFonts w:ascii="Times New Roman" w:hAnsi="Times New Roman" w:cs="Times New Roman"/>
          <w:noProof/>
          <w:szCs w:val="22"/>
        </w:rPr>
        <w:drawing>
          <wp:inline distT="0" distB="0" distL="0" distR="0" wp14:anchorId="32E66B10" wp14:editId="10D0B4B5">
            <wp:extent cx="5943600" cy="2407285"/>
            <wp:effectExtent l="0" t="0" r="0" b="5715"/>
            <wp:docPr id="42643331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3311" name="图片 1" descr="表格&#10;&#10;AI 生成的内容可能不正确。"/>
                    <pic:cNvPicPr/>
                  </pic:nvPicPr>
                  <pic:blipFill>
                    <a:blip r:embed="rId13"/>
                    <a:stretch>
                      <a:fillRect/>
                    </a:stretch>
                  </pic:blipFill>
                  <pic:spPr>
                    <a:xfrm>
                      <a:off x="0" y="0"/>
                      <a:ext cx="5943600" cy="2407285"/>
                    </a:xfrm>
                    <a:prstGeom prst="rect">
                      <a:avLst/>
                    </a:prstGeom>
                  </pic:spPr>
                </pic:pic>
              </a:graphicData>
            </a:graphic>
          </wp:inline>
        </w:drawing>
      </w:r>
    </w:p>
    <w:p w14:paraId="760E0AB3" w14:textId="06C7A1C2" w:rsidR="00F24415" w:rsidRPr="00E05223" w:rsidRDefault="00F24415" w:rsidP="00B66E4A">
      <w:pPr>
        <w:spacing w:line="276" w:lineRule="auto"/>
        <w:rPr>
          <w:rFonts w:ascii="Times New Roman" w:hAnsi="Times New Roman" w:cs="Times New Roman"/>
          <w:szCs w:val="22"/>
        </w:rPr>
      </w:pPr>
      <w:r w:rsidRPr="00E05223">
        <w:rPr>
          <w:rFonts w:ascii="Times New Roman" w:hAnsi="Times New Roman" w:cs="Times New Roman"/>
          <w:szCs w:val="22"/>
        </w:rPr>
        <w:t>Figure 2</w:t>
      </w:r>
      <w:r w:rsidR="00D73A42" w:rsidRPr="00E05223">
        <w:rPr>
          <w:rFonts w:ascii="Times New Roman" w:hAnsi="Times New Roman" w:cs="Times New Roman"/>
          <w:szCs w:val="22"/>
        </w:rPr>
        <w:t xml:space="preserve"> EM convergence trajectories for K=2, 3, 4</w:t>
      </w:r>
    </w:p>
    <w:p w14:paraId="00205649" w14:textId="61019554" w:rsidR="00F24415" w:rsidRPr="00E05223" w:rsidRDefault="00F24415" w:rsidP="00B66E4A">
      <w:pPr>
        <w:spacing w:line="276" w:lineRule="auto"/>
        <w:rPr>
          <w:rFonts w:ascii="Times New Roman" w:hAnsi="Times New Roman" w:cs="Times New Roman"/>
          <w:szCs w:val="22"/>
        </w:rPr>
      </w:pPr>
      <w:r w:rsidRPr="00E05223">
        <w:rPr>
          <w:rFonts w:ascii="Times New Roman" w:hAnsi="Times New Roman" w:cs="Times New Roman"/>
          <w:noProof/>
          <w:szCs w:val="22"/>
        </w:rPr>
        <w:drawing>
          <wp:inline distT="0" distB="0" distL="0" distR="0" wp14:anchorId="14CA969A" wp14:editId="55983AAF">
            <wp:extent cx="2998142" cy="2640887"/>
            <wp:effectExtent l="0" t="0" r="0" b="0"/>
            <wp:docPr id="215377131" name="drawing"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77131" name="drawing" descr="图表&#10;&#10;AI 生成的内容可能不正确。"/>
                    <pic:cNvPicPr/>
                  </pic:nvPicPr>
                  <pic:blipFill>
                    <a:blip r:embed="rId14">
                      <a:extLst>
                        <a:ext uri="{28A0092B-C50C-407E-A947-70E740481C1C}">
                          <a14:useLocalDpi xmlns:a14="http://schemas.microsoft.com/office/drawing/2010/main"/>
                        </a:ext>
                      </a:extLst>
                    </a:blip>
                    <a:stretch>
                      <a:fillRect/>
                    </a:stretch>
                  </pic:blipFill>
                  <pic:spPr>
                    <a:xfrm>
                      <a:off x="0" y="0"/>
                      <a:ext cx="2998142" cy="2640887"/>
                    </a:xfrm>
                    <a:prstGeom prst="rect">
                      <a:avLst/>
                    </a:prstGeom>
                  </pic:spPr>
                </pic:pic>
              </a:graphicData>
            </a:graphic>
          </wp:inline>
        </w:drawing>
      </w:r>
    </w:p>
    <w:p w14:paraId="1FC7BCF1" w14:textId="49067C53" w:rsidR="00F24415" w:rsidRPr="00E05223" w:rsidRDefault="00F24415" w:rsidP="00B66E4A">
      <w:pPr>
        <w:spacing w:line="276" w:lineRule="auto"/>
        <w:rPr>
          <w:rFonts w:ascii="Times New Roman" w:hAnsi="Times New Roman" w:cs="Times New Roman"/>
          <w:szCs w:val="22"/>
        </w:rPr>
      </w:pPr>
      <w:r w:rsidRPr="00E05223">
        <w:rPr>
          <w:rFonts w:ascii="Times New Roman" w:hAnsi="Times New Roman" w:cs="Times New Roman"/>
          <w:szCs w:val="22"/>
        </w:rPr>
        <w:t>Figure 4</w:t>
      </w:r>
      <w:r w:rsidR="00D76660" w:rsidRPr="00E05223">
        <w:rPr>
          <w:rFonts w:ascii="Times New Roman" w:hAnsi="Times New Roman" w:cs="Times New Roman"/>
          <w:szCs w:val="22"/>
        </w:rPr>
        <w:t xml:space="preserve"> </w:t>
      </w:r>
      <w:r w:rsidR="00DD6EFE">
        <w:rPr>
          <w:rFonts w:ascii="Times New Roman" w:hAnsi="Times New Roman" w:cs="Times New Roman"/>
          <w:szCs w:val="22"/>
        </w:rPr>
        <w:tab/>
      </w:r>
    </w:p>
    <w:p w14:paraId="4BF5DB88" w14:textId="349A7CD1" w:rsidR="009050EB" w:rsidRPr="00E05223" w:rsidRDefault="58AD4D22" w:rsidP="00B66E4A">
      <w:pPr>
        <w:spacing w:line="276" w:lineRule="auto"/>
        <w:rPr>
          <w:rFonts w:ascii="Times New Roman" w:hAnsi="Times New Roman" w:cs="Times New Roman"/>
          <w:szCs w:val="22"/>
        </w:rPr>
      </w:pPr>
      <w:r w:rsidRPr="00E05223">
        <w:rPr>
          <w:rFonts w:ascii="Times New Roman" w:hAnsi="Times New Roman" w:cs="Times New Roman"/>
          <w:szCs w:val="22"/>
        </w:rPr>
        <w:lastRenderedPageBreak/>
        <w:t xml:space="preserve">4.2 </w:t>
      </w:r>
      <w:r w:rsidR="00FA08AD" w:rsidRPr="00E05223">
        <w:rPr>
          <w:rFonts w:ascii="Times New Roman" w:hAnsi="Times New Roman" w:cs="Times New Roman"/>
          <w:szCs w:val="22"/>
        </w:rPr>
        <w:t>Baseline Comparison: HMM vs. GMM</w:t>
      </w:r>
    </w:p>
    <w:p w14:paraId="6C6475CB" w14:textId="68D31195" w:rsidR="00E22B17" w:rsidRPr="00E05223" w:rsidRDefault="00B54E39" w:rsidP="00B66E4A">
      <w:pPr>
        <w:spacing w:line="276" w:lineRule="auto"/>
        <w:rPr>
          <w:rFonts w:ascii="Times New Roman" w:hAnsi="Times New Roman" w:cs="Times New Roman"/>
          <w:szCs w:val="22"/>
        </w:rPr>
      </w:pPr>
      <w:r w:rsidRPr="00E05223">
        <w:rPr>
          <w:rFonts w:ascii="Times New Roman" w:hAnsi="Times New Roman" w:cs="Times New Roman"/>
          <w:szCs w:val="22"/>
        </w:rPr>
        <w:t xml:space="preserve">To validate the necessity of modeling temporal dependencies (the "Markov" assumption), we compared our HMM against a </w:t>
      </w:r>
      <w:r w:rsidRPr="00E05223">
        <w:rPr>
          <w:rFonts w:ascii="Times New Roman" w:hAnsi="Times New Roman" w:cs="Times New Roman"/>
          <w:b/>
          <w:bCs/>
          <w:szCs w:val="22"/>
        </w:rPr>
        <w:t>Gaussian Mixture Model (GMM)</w:t>
      </w:r>
      <w:r w:rsidRPr="00E05223">
        <w:rPr>
          <w:rFonts w:ascii="Times New Roman" w:hAnsi="Times New Roman" w:cs="Times New Roman"/>
          <w:szCs w:val="22"/>
        </w:rPr>
        <w:t xml:space="preserve"> with the same number of components (</w:t>
      </w:r>
      <m:oMath>
        <m:r>
          <w:rPr>
            <w:rFonts w:ascii="Cambria Math" w:eastAsia="宋体" w:hAnsi="Cambria Math" w:cs="Times New Roman"/>
            <w:kern w:val="0"/>
            <w:szCs w:val="22"/>
            <w14:ligatures w14:val="none"/>
          </w:rPr>
          <m:t>K=3</m:t>
        </m:r>
      </m:oMath>
      <w:r w:rsidRPr="00E05223">
        <w:rPr>
          <w:rFonts w:ascii="Times New Roman" w:hAnsi="Times New Roman" w:cs="Times New Roman"/>
          <w:szCs w:val="22"/>
        </w:rPr>
        <w:t>). While a GMM also models the data as a mixture of Gaussian distributions, it assumes observations are independent and identically distributed (i.i.d.), effectively ignoring the time-series nature of housing cycles.</w:t>
      </w:r>
    </w:p>
    <w:p w14:paraId="102AD969" w14:textId="3B23AACE" w:rsidR="00005C35" w:rsidRPr="00E05223" w:rsidRDefault="00B63357" w:rsidP="00B66E4A">
      <w:pPr>
        <w:spacing w:line="276" w:lineRule="auto"/>
        <w:rPr>
          <w:rFonts w:ascii="Times New Roman" w:hAnsi="Times New Roman" w:cs="Times New Roman"/>
          <w:noProof/>
          <w:szCs w:val="22"/>
        </w:rPr>
      </w:pPr>
      <w:r w:rsidRPr="00E05223">
        <w:rPr>
          <w:rFonts w:ascii="Times New Roman" w:hAnsi="Times New Roman" w:cs="Times New Roman"/>
          <w:b/>
          <w:bCs/>
          <w:szCs w:val="22"/>
        </w:rPr>
        <w:t>Table 1</w:t>
      </w:r>
      <w:r w:rsidRPr="00E05223">
        <w:rPr>
          <w:rFonts w:ascii="Times New Roman" w:hAnsi="Times New Roman" w:cs="Times New Roman"/>
          <w:szCs w:val="22"/>
        </w:rPr>
        <w:t xml:space="preserve"> compares the Bayesian Information Criterion (BIC) for both models (lower is better). The HMM achieves a significantly lower BIC (</w:t>
      </w:r>
      <m:oMath>
        <m:r>
          <m:rPr>
            <m:sty m:val="p"/>
          </m:rPr>
          <w:rPr>
            <w:rFonts w:ascii="Cambria Math" w:hAnsi="Cambria Math" w:cs="Times New Roman"/>
            <w:szCs w:val="22"/>
          </w:rPr>
          <m:t>Δ</m:t>
        </m:r>
        <m:r>
          <w:rPr>
            <w:rFonts w:ascii="Cambria Math" w:hAnsi="Cambria Math" w:cs="Times New Roman"/>
            <w:szCs w:val="22"/>
          </w:rPr>
          <m:t>≈98</m:t>
        </m:r>
      </m:oMath>
      <w:r w:rsidRPr="00E05223">
        <w:rPr>
          <w:rFonts w:ascii="Times New Roman" w:hAnsi="Times New Roman" w:cs="Times New Roman"/>
          <w:szCs w:val="22"/>
        </w:rPr>
        <w:t>), indicating a vastly superior fit.</w:t>
      </w:r>
      <w:r w:rsidR="009959EA" w:rsidRPr="00E05223">
        <w:rPr>
          <w:rFonts w:ascii="Times New Roman" w:hAnsi="Times New Roman" w:cs="Times New Roman"/>
          <w:noProof/>
          <w:szCs w:val="22"/>
        </w:rPr>
        <w:t xml:space="preserve"> </w:t>
      </w:r>
    </w:p>
    <w:p w14:paraId="38186AED" w14:textId="77777777" w:rsidR="0006436D" w:rsidRPr="00E05223" w:rsidRDefault="00005C35" w:rsidP="00B66E4A">
      <w:pPr>
        <w:spacing w:line="276" w:lineRule="auto"/>
        <w:rPr>
          <w:rFonts w:ascii="Times New Roman" w:hAnsi="Times New Roman" w:cs="Times New Roman"/>
          <w:noProof/>
          <w:szCs w:val="22"/>
        </w:rPr>
      </w:pPr>
      <w:r w:rsidRPr="00E05223">
        <w:rPr>
          <w:rFonts w:ascii="Times New Roman" w:hAnsi="Times New Roman" w:cs="Times New Roman"/>
          <w:szCs w:val="22"/>
        </w:rPr>
        <w:t>Table 1: Baseline Model Comparison (BIC)</w:t>
      </w:r>
      <w:r w:rsidRPr="00E05223">
        <w:rPr>
          <w:rFonts w:ascii="Times New Roman" w:hAnsi="Times New Roman" w:cs="Times New Roman"/>
          <w:noProof/>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3725"/>
        <w:gridCol w:w="2152"/>
      </w:tblGrid>
      <w:tr w:rsidR="0006436D" w:rsidRPr="006D19E3" w14:paraId="2F9ACB16" w14:textId="77777777" w:rsidTr="0074781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CADFDD"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b/>
                <w:bCs/>
                <w:kern w:val="0"/>
                <w:szCs w:val="22"/>
                <w14:ligatures w14:val="none"/>
              </w:rPr>
              <w:t>Model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AEBFD"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b/>
                <w:bCs/>
                <w:kern w:val="0"/>
                <w:szCs w:val="22"/>
                <w14:ligatures w14:val="none"/>
              </w:rPr>
              <w:t>Assumptions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C266C"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b/>
                <w:bCs/>
                <w:kern w:val="0"/>
                <w:szCs w:val="22"/>
                <w14:ligatures w14:val="none"/>
              </w:rPr>
              <w:t>BIC (Lower is Better)</w:t>
            </w:r>
          </w:p>
        </w:tc>
      </w:tr>
      <w:tr w:rsidR="0006436D" w:rsidRPr="006D19E3" w14:paraId="599FEF2B" w14:textId="77777777" w:rsidTr="007478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6DDA44"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b/>
                <w:bCs/>
                <w:kern w:val="0"/>
                <w:szCs w:val="22"/>
                <w14:ligatures w14:val="none"/>
              </w:rPr>
              <w:t>Gaussian Mixture Model (GMM)</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B4348"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kern w:val="0"/>
                <w:szCs w:val="22"/>
                <w14:ligatures w14:val="none"/>
              </w:rPr>
              <w:t>Independence (No temporal dependency)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12687"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kern w:val="0"/>
                <w:szCs w:val="22"/>
                <w14:ligatures w14:val="none"/>
              </w:rPr>
              <w:t>-798.57</w:t>
            </w:r>
          </w:p>
        </w:tc>
      </w:tr>
      <w:tr w:rsidR="0006436D" w:rsidRPr="006D19E3" w14:paraId="5C6F6FB8" w14:textId="77777777" w:rsidTr="0074781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73490"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b/>
                <w:bCs/>
                <w:kern w:val="0"/>
                <w:szCs w:val="22"/>
                <w14:ligatures w14:val="none"/>
              </w:rPr>
              <w:t>Hidden Markov Model (HMM)</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86064"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kern w:val="0"/>
                <w:szCs w:val="22"/>
                <w14:ligatures w14:val="none"/>
              </w:rPr>
              <w:t>Markov Dynamics (Regime 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69B45" w14:textId="77777777" w:rsidR="0006436D" w:rsidRPr="006D19E3" w:rsidRDefault="0006436D" w:rsidP="00B66E4A">
            <w:pPr>
              <w:widowControl/>
              <w:spacing w:after="0" w:line="276" w:lineRule="auto"/>
              <w:rPr>
                <w:rFonts w:ascii="Times New Roman" w:eastAsia="宋体" w:hAnsi="Times New Roman" w:cs="Times New Roman"/>
                <w:kern w:val="0"/>
                <w:szCs w:val="22"/>
                <w14:ligatures w14:val="none"/>
              </w:rPr>
            </w:pPr>
            <w:r w:rsidRPr="006D19E3">
              <w:rPr>
                <w:rFonts w:ascii="Times New Roman" w:eastAsia="宋体" w:hAnsi="Times New Roman" w:cs="Times New Roman"/>
                <w:b/>
                <w:bCs/>
                <w:kern w:val="0"/>
                <w:szCs w:val="22"/>
                <w14:ligatures w14:val="none"/>
              </w:rPr>
              <w:t>-891.29</w:t>
            </w:r>
          </w:p>
        </w:tc>
      </w:tr>
    </w:tbl>
    <w:p w14:paraId="19AD8FB3" w14:textId="78392D5F" w:rsidR="00FD1F99" w:rsidRDefault="00FD1F99" w:rsidP="00B66E4A">
      <w:pPr>
        <w:spacing w:line="276" w:lineRule="auto"/>
        <w:rPr>
          <w:rFonts w:ascii="Times New Roman" w:hAnsi="Times New Roman" w:cs="Times New Roman"/>
          <w:szCs w:val="22"/>
        </w:rPr>
      </w:pPr>
    </w:p>
    <w:p w14:paraId="4817D970" w14:textId="16140918" w:rsidR="00B63357" w:rsidRPr="00E05223" w:rsidRDefault="00754024" w:rsidP="00B66E4A">
      <w:pPr>
        <w:spacing w:line="276" w:lineRule="auto"/>
        <w:rPr>
          <w:rFonts w:ascii="Times New Roman" w:hAnsi="Times New Roman" w:cs="Times New Roman"/>
          <w:szCs w:val="22"/>
        </w:rPr>
      </w:pPr>
      <w:r w:rsidRPr="00E05223">
        <w:rPr>
          <w:rFonts w:ascii="Times New Roman" w:hAnsi="Times New Roman" w:cs="Times New Roman"/>
          <w:szCs w:val="22"/>
        </w:rPr>
        <w:t xml:space="preserve">result confirms that housing market returns exhibit strong </w:t>
      </w:r>
      <w:r w:rsidRPr="00E05223">
        <w:rPr>
          <w:rFonts w:ascii="Times New Roman" w:hAnsi="Times New Roman" w:cs="Times New Roman"/>
          <w:b/>
          <w:bCs/>
          <w:szCs w:val="22"/>
        </w:rPr>
        <w:t>regime persistence</w:t>
      </w:r>
      <w:r w:rsidRPr="00E05223">
        <w:rPr>
          <w:rFonts w:ascii="Times New Roman" w:hAnsi="Times New Roman" w:cs="Times New Roman"/>
          <w:szCs w:val="22"/>
        </w:rPr>
        <w:t>—a boom today increases the probability of a boom tomorrow. The GMM treats returns as random draws, failing to capture the "volatility clustering" and sequential logic inherent in economic cycles.</w:t>
      </w:r>
    </w:p>
    <w:p w14:paraId="3339E551" w14:textId="2C32E7D9" w:rsidR="008A45FE" w:rsidRPr="00E05223" w:rsidRDefault="00F87C57"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t>4.3 Model Selection</w:t>
      </w:r>
    </w:p>
    <w:p w14:paraId="6A62477E" w14:textId="77777777" w:rsidR="008C6A58" w:rsidRPr="00E05223" w:rsidRDefault="00CF1066" w:rsidP="00B66E4A">
      <w:pPr>
        <w:spacing w:line="276" w:lineRule="auto"/>
        <w:rPr>
          <w:rFonts w:ascii="Times New Roman" w:hAnsi="Times New Roman" w:cs="Times New Roman"/>
          <w:szCs w:val="22"/>
        </w:rPr>
      </w:pPr>
      <w:r w:rsidRPr="00E05223">
        <w:rPr>
          <w:rFonts w:ascii="Times New Roman" w:hAnsi="Times New Roman" w:cs="Times New Roman"/>
          <w:szCs w:val="22"/>
        </w:rPr>
        <w:t>We determined the optimal number of latent states by training HMMs with</w:t>
      </w:r>
      <w:r w:rsidR="00902EFA" w:rsidRPr="00E05223">
        <w:rPr>
          <w:rFonts w:ascii="Times New Roman" w:hAnsi="Times New Roman" w:cs="Times New Roman"/>
          <w:szCs w:val="22"/>
        </w:rPr>
        <w:t xml:space="preserve"> </w:t>
      </w:r>
      <m:oMath>
        <m:r>
          <w:rPr>
            <w:rFonts w:ascii="Cambria Math" w:eastAsia="宋体" w:hAnsi="Cambria Math" w:cs="Times New Roman"/>
            <w:kern w:val="0"/>
            <w:szCs w:val="22"/>
            <w14:ligatures w14:val="none"/>
          </w:rPr>
          <m:t>K=2,3,4</m:t>
        </m:r>
      </m:oMath>
      <w:r w:rsidRPr="00E05223">
        <w:rPr>
          <w:rFonts w:ascii="Times New Roman" w:hAnsi="Times New Roman" w:cs="Times New Roman"/>
          <w:szCs w:val="22"/>
        </w:rPr>
        <w:t xml:space="preserve"> and comparing their information criteria. </w:t>
      </w:r>
    </w:p>
    <w:p w14:paraId="60CA9286" w14:textId="78B24732" w:rsidR="00CF1066" w:rsidRPr="00E05223" w:rsidRDefault="00CF1066" w:rsidP="00B66E4A">
      <w:pPr>
        <w:spacing w:line="276" w:lineRule="auto"/>
        <w:rPr>
          <w:rFonts w:ascii="Times New Roman" w:hAnsi="Times New Roman" w:cs="Times New Roman"/>
          <w:szCs w:val="22"/>
        </w:rPr>
      </w:pPr>
      <w:r w:rsidRPr="00E05223">
        <w:rPr>
          <w:rFonts w:ascii="Times New Roman" w:hAnsi="Times New Roman" w:cs="Times New Roman"/>
          <w:b/>
          <w:bCs/>
          <w:szCs w:val="22"/>
        </w:rPr>
        <w:t>Table 2</w:t>
      </w:r>
      <w:r w:rsidRPr="00E05223">
        <w:rPr>
          <w:rFonts w:ascii="Times New Roman" w:hAnsi="Times New Roman" w:cs="Times New Roman"/>
          <w:szCs w:val="22"/>
        </w:rPr>
        <w:t xml:space="preserve"> summarizes the results.</w:t>
      </w:r>
    </w:p>
    <w:p w14:paraId="5F91B097" w14:textId="7330799A" w:rsidR="00677EDA" w:rsidRPr="00E05223" w:rsidRDefault="009D0B4C" w:rsidP="00B66E4A">
      <w:pPr>
        <w:spacing w:line="276" w:lineRule="auto"/>
        <w:rPr>
          <w:rFonts w:ascii="Times New Roman" w:hAnsi="Times New Roman" w:cs="Times New Roman"/>
          <w:szCs w:val="22"/>
        </w:rPr>
      </w:pPr>
      <w:r w:rsidRPr="00E05223">
        <w:rPr>
          <w:rFonts w:ascii="Times New Roman" w:hAnsi="Times New Roman" w:cs="Times New Roman"/>
          <w:noProof/>
          <w:szCs w:val="22"/>
        </w:rPr>
        <w:drawing>
          <wp:inline distT="0" distB="0" distL="0" distR="0" wp14:anchorId="0A7FBE27" wp14:editId="61AE855B">
            <wp:extent cx="3686689" cy="1200318"/>
            <wp:effectExtent l="0" t="0" r="0" b="0"/>
            <wp:docPr id="129457696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76960" name="图片 1" descr="表格&#10;&#10;AI 生成的内容可能不正确。"/>
                    <pic:cNvPicPr/>
                  </pic:nvPicPr>
                  <pic:blipFill>
                    <a:blip r:embed="rId15"/>
                    <a:stretch>
                      <a:fillRect/>
                    </a:stretch>
                  </pic:blipFill>
                  <pic:spPr>
                    <a:xfrm>
                      <a:off x="0" y="0"/>
                      <a:ext cx="3686689" cy="1200318"/>
                    </a:xfrm>
                    <a:prstGeom prst="rect">
                      <a:avLst/>
                    </a:prstGeom>
                  </pic:spPr>
                </pic:pic>
              </a:graphicData>
            </a:graphic>
          </wp:inline>
        </w:drawing>
      </w:r>
    </w:p>
    <w:p w14:paraId="3B6C366A" w14:textId="6C3B3A08" w:rsidR="008C6A58" w:rsidRPr="00E05223" w:rsidRDefault="008C6A58" w:rsidP="00B66E4A">
      <w:pPr>
        <w:spacing w:line="276" w:lineRule="auto"/>
        <w:rPr>
          <w:rFonts w:ascii="Times New Roman" w:hAnsi="Times New Roman" w:cs="Times New Roman"/>
          <w:szCs w:val="22"/>
        </w:rPr>
      </w:pPr>
      <w:r w:rsidRPr="00E05223">
        <w:rPr>
          <w:rFonts w:ascii="Times New Roman" w:hAnsi="Times New Roman" w:cs="Times New Roman"/>
          <w:szCs w:val="22"/>
        </w:rPr>
        <w:t xml:space="preserve">As increases, the log-likelihood improves substantially. While yields the lowest BIC, the improvement from </w:t>
      </w:r>
      <m:oMath>
        <m:r>
          <w:rPr>
            <w:rFonts w:ascii="Cambria Math" w:eastAsia="宋体" w:hAnsi="Cambria Math" w:cs="Times New Roman"/>
            <w:kern w:val="0"/>
            <w:szCs w:val="22"/>
            <w14:ligatures w14:val="none"/>
          </w:rPr>
          <m:t>K=3</m:t>
        </m:r>
      </m:oMath>
      <w:r w:rsidR="00070E42" w:rsidRPr="00E05223">
        <w:rPr>
          <w:rFonts w:ascii="Times New Roman" w:hAnsi="Times New Roman" w:cs="Times New Roman"/>
          <w:kern w:val="0"/>
          <w:szCs w:val="22"/>
          <w14:ligatures w14:val="none"/>
        </w:rPr>
        <w:t xml:space="preserve"> </w:t>
      </w:r>
      <w:r w:rsidRPr="00E05223">
        <w:rPr>
          <w:rFonts w:ascii="Times New Roman" w:hAnsi="Times New Roman" w:cs="Times New Roman"/>
          <w:szCs w:val="22"/>
        </w:rPr>
        <w:t>to</w:t>
      </w:r>
      <w:r w:rsidR="00070E42" w:rsidRPr="00E05223">
        <w:rPr>
          <w:rFonts w:ascii="Times New Roman" w:hAnsi="Times New Roman" w:cs="Times New Roman"/>
          <w:szCs w:val="22"/>
        </w:rPr>
        <w:t xml:space="preserve"> </w:t>
      </w:r>
      <m:oMath>
        <m:r>
          <w:rPr>
            <w:rFonts w:ascii="Cambria Math" w:eastAsia="宋体" w:hAnsi="Cambria Math" w:cs="Times New Roman"/>
            <w:kern w:val="0"/>
            <w:szCs w:val="22"/>
            <w14:ligatures w14:val="none"/>
          </w:rPr>
          <m:t>K=4</m:t>
        </m:r>
      </m:oMath>
      <w:r w:rsidRPr="00E05223">
        <w:rPr>
          <w:rFonts w:ascii="Times New Roman" w:hAnsi="Times New Roman" w:cs="Times New Roman"/>
          <w:szCs w:val="22"/>
        </w:rPr>
        <w:t xml:space="preserve"> is marginal compared to the jump from </w:t>
      </w:r>
      <m:oMath>
        <m:r>
          <w:rPr>
            <w:rFonts w:ascii="Cambria Math" w:eastAsia="宋体" w:hAnsi="Cambria Math" w:cs="Times New Roman"/>
            <w:kern w:val="0"/>
            <w:szCs w:val="22"/>
            <w14:ligatures w14:val="none"/>
          </w:rPr>
          <m:t>K=2</m:t>
        </m:r>
      </m:oMath>
      <w:r w:rsidR="003B6E2D" w:rsidRPr="00E05223">
        <w:rPr>
          <w:rFonts w:ascii="Times New Roman" w:hAnsi="Times New Roman" w:cs="Times New Roman"/>
          <w:kern w:val="0"/>
          <w:szCs w:val="22"/>
          <w14:ligatures w14:val="none"/>
        </w:rPr>
        <w:t xml:space="preserve"> </w:t>
      </w:r>
      <w:r w:rsidRPr="00E05223">
        <w:rPr>
          <w:rFonts w:ascii="Times New Roman" w:hAnsi="Times New Roman" w:cs="Times New Roman"/>
          <w:szCs w:val="22"/>
        </w:rPr>
        <w:t xml:space="preserve">to </w:t>
      </w:r>
      <m:oMath>
        <m:r>
          <w:rPr>
            <w:rFonts w:ascii="Cambria Math" w:eastAsia="宋体" w:hAnsi="Cambria Math" w:cs="Times New Roman"/>
            <w:kern w:val="0"/>
            <w:szCs w:val="22"/>
            <w14:ligatures w14:val="none"/>
          </w:rPr>
          <m:t>K=3</m:t>
        </m:r>
      </m:oMath>
      <w:r w:rsidRPr="00E05223">
        <w:rPr>
          <w:rFonts w:ascii="Times New Roman" w:hAnsi="Times New Roman" w:cs="Times New Roman"/>
          <w:szCs w:val="22"/>
        </w:rPr>
        <w:t>. We selected</w:t>
      </w:r>
      <w:r w:rsidR="00707067" w:rsidRPr="00E05223">
        <w:rPr>
          <w:rFonts w:ascii="Times New Roman" w:hAnsi="Times New Roman" w:cs="Times New Roman"/>
          <w:szCs w:val="22"/>
        </w:rPr>
        <w:t xml:space="preserve"> </w:t>
      </w:r>
      <m:oMath>
        <m:r>
          <w:rPr>
            <w:rFonts w:ascii="Cambria Math" w:eastAsia="宋体" w:hAnsi="Cambria Math" w:cs="Times New Roman"/>
            <w:kern w:val="0"/>
            <w:szCs w:val="22"/>
            <w14:ligatures w14:val="none"/>
          </w:rPr>
          <m:t>K=3</m:t>
        </m:r>
      </m:oMath>
      <w:r w:rsidRPr="00E05223">
        <w:rPr>
          <w:rFonts w:ascii="Times New Roman" w:hAnsi="Times New Roman" w:cs="Times New Roman"/>
          <w:szCs w:val="22"/>
        </w:rPr>
        <w:t xml:space="preserve"> as our final model to balance goodness-of-fit with interpretability, as three states map naturally to standard economic phases (Expansion, Neutral, Downturn).</w:t>
      </w:r>
    </w:p>
    <w:p w14:paraId="75DBEA1C" w14:textId="0BF94997" w:rsidR="00F657B0" w:rsidRPr="00E05223" w:rsidRDefault="00F657B0"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lastRenderedPageBreak/>
        <w:t>4.4</w:t>
      </w:r>
      <w:r w:rsidR="00A56881" w:rsidRPr="00E05223">
        <w:rPr>
          <w:rFonts w:ascii="Times New Roman" w:hAnsi="Times New Roman" w:cs="Times New Roman"/>
          <w:b/>
          <w:bCs/>
          <w:szCs w:val="22"/>
        </w:rPr>
        <w:t xml:space="preserve"> Regime Interpretation</w:t>
      </w:r>
    </w:p>
    <w:p w14:paraId="4A375A89" w14:textId="22A80E56" w:rsidR="00A56881" w:rsidRPr="00E05223" w:rsidRDefault="00A56881" w:rsidP="00B66E4A">
      <w:pPr>
        <w:spacing w:line="276" w:lineRule="auto"/>
        <w:rPr>
          <w:rFonts w:ascii="Times New Roman" w:hAnsi="Times New Roman" w:cs="Times New Roman"/>
          <w:szCs w:val="22"/>
        </w:rPr>
      </w:pPr>
      <w:r w:rsidRPr="00E05223">
        <w:rPr>
          <w:rFonts w:ascii="Times New Roman" w:hAnsi="Times New Roman" w:cs="Times New Roman"/>
          <w:szCs w:val="22"/>
        </w:rPr>
        <w:t xml:space="preserve">Using the model, we decoded the most likely sequence of market regimes via the Viterbi algorithm. </w:t>
      </w:r>
      <w:r w:rsidRPr="00E05223">
        <w:rPr>
          <w:rFonts w:ascii="Times New Roman" w:hAnsi="Times New Roman" w:cs="Times New Roman"/>
          <w:b/>
          <w:bCs/>
          <w:szCs w:val="22"/>
        </w:rPr>
        <w:t>Figure 3</w:t>
      </w:r>
      <w:r w:rsidRPr="00E05223">
        <w:rPr>
          <w:rFonts w:ascii="Times New Roman" w:hAnsi="Times New Roman" w:cs="Times New Roman"/>
          <w:szCs w:val="22"/>
        </w:rPr>
        <w:t xml:space="preserve"> overlays these regimes on the quarterly log-returns, with macroeconomic periods marked for context.</w:t>
      </w:r>
    </w:p>
    <w:p w14:paraId="7A3A0205" w14:textId="0B9CF862" w:rsidR="00D1016B" w:rsidRPr="00E05223" w:rsidRDefault="00734DA9" w:rsidP="00B66E4A">
      <w:pPr>
        <w:spacing w:line="276" w:lineRule="auto"/>
        <w:rPr>
          <w:rFonts w:ascii="Times New Roman" w:hAnsi="Times New Roman" w:cs="Times New Roman"/>
          <w:szCs w:val="22"/>
        </w:rPr>
      </w:pPr>
      <w:r w:rsidRPr="00E05223">
        <w:rPr>
          <w:rFonts w:ascii="Times New Roman" w:hAnsi="Times New Roman" w:cs="Times New Roman"/>
          <w:noProof/>
          <w:szCs w:val="22"/>
        </w:rPr>
        <w:drawing>
          <wp:inline distT="0" distB="0" distL="0" distR="0" wp14:anchorId="1FF173BD" wp14:editId="78927355">
            <wp:extent cx="5943600" cy="2447290"/>
            <wp:effectExtent l="0" t="0" r="0" b="3810"/>
            <wp:docPr id="744614322"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14322" name="图片 2" descr="图表&#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47290"/>
                    </a:xfrm>
                    <a:prstGeom prst="rect">
                      <a:avLst/>
                    </a:prstGeom>
                    <a:noFill/>
                    <a:ln>
                      <a:noFill/>
                    </a:ln>
                  </pic:spPr>
                </pic:pic>
              </a:graphicData>
            </a:graphic>
          </wp:inline>
        </w:drawing>
      </w:r>
    </w:p>
    <w:p w14:paraId="52F0B2EA" w14:textId="77777777" w:rsidR="00DF2B5B" w:rsidRPr="00DF2B5B" w:rsidRDefault="00DF2B5B" w:rsidP="00B66E4A">
      <w:pPr>
        <w:widowControl/>
        <w:spacing w:before="100" w:beforeAutospacing="1" w:after="100" w:afterAutospacing="1" w:line="276" w:lineRule="auto"/>
        <w:rPr>
          <w:rFonts w:ascii="Times New Roman" w:eastAsia="宋体" w:hAnsi="Times New Roman" w:cs="Times New Roman"/>
          <w:kern w:val="0"/>
          <w:szCs w:val="22"/>
          <w14:ligatures w14:val="none"/>
        </w:rPr>
      </w:pPr>
      <w:r w:rsidRPr="00DF2B5B">
        <w:rPr>
          <w:rFonts w:ascii="Times New Roman" w:eastAsia="宋体" w:hAnsi="Times New Roman" w:cs="Times New Roman"/>
          <w:kern w:val="0"/>
          <w:szCs w:val="22"/>
          <w14:ligatures w14:val="none"/>
        </w:rPr>
        <w:t>The identified states are highly interpretable:</w:t>
      </w:r>
    </w:p>
    <w:p w14:paraId="770CAE8B" w14:textId="77777777" w:rsidR="00DF2B5B" w:rsidRPr="00DF2B5B" w:rsidRDefault="00DF2B5B" w:rsidP="00B66E4A">
      <w:pPr>
        <w:widowControl/>
        <w:numPr>
          <w:ilvl w:val="0"/>
          <w:numId w:val="30"/>
        </w:numPr>
        <w:spacing w:before="100" w:beforeAutospacing="1" w:after="100" w:afterAutospacing="1" w:line="276" w:lineRule="auto"/>
        <w:rPr>
          <w:rFonts w:ascii="Times New Roman" w:eastAsia="宋体" w:hAnsi="Times New Roman" w:cs="Times New Roman"/>
          <w:kern w:val="0"/>
          <w:szCs w:val="22"/>
          <w14:ligatures w14:val="none"/>
        </w:rPr>
      </w:pPr>
      <w:r w:rsidRPr="00DF2B5B">
        <w:rPr>
          <w:rFonts w:ascii="Times New Roman" w:eastAsia="宋体" w:hAnsi="Times New Roman" w:cs="Times New Roman"/>
          <w:b/>
          <w:bCs/>
          <w:kern w:val="0"/>
          <w:szCs w:val="22"/>
          <w14:ligatures w14:val="none"/>
        </w:rPr>
        <w:t>Regime 0 (Neutral):</w:t>
      </w:r>
      <w:r w:rsidRPr="00DF2B5B">
        <w:rPr>
          <w:rFonts w:ascii="Times New Roman" w:eastAsia="宋体" w:hAnsi="Times New Roman" w:cs="Times New Roman"/>
          <w:kern w:val="0"/>
          <w:szCs w:val="22"/>
          <w14:ligatures w14:val="none"/>
        </w:rPr>
        <w:t xml:space="preserve"> Characterized by low variance and moderate positive returns, corresponding to stable growth periods.</w:t>
      </w:r>
    </w:p>
    <w:p w14:paraId="3C910E25" w14:textId="77777777" w:rsidR="00DF2B5B" w:rsidRPr="00DF2B5B" w:rsidRDefault="00DF2B5B" w:rsidP="00B66E4A">
      <w:pPr>
        <w:widowControl/>
        <w:numPr>
          <w:ilvl w:val="0"/>
          <w:numId w:val="30"/>
        </w:numPr>
        <w:spacing w:before="100" w:beforeAutospacing="1" w:after="100" w:afterAutospacing="1" w:line="276" w:lineRule="auto"/>
        <w:rPr>
          <w:rFonts w:ascii="Times New Roman" w:eastAsia="宋体" w:hAnsi="Times New Roman" w:cs="Times New Roman"/>
          <w:kern w:val="0"/>
          <w:szCs w:val="22"/>
          <w14:ligatures w14:val="none"/>
        </w:rPr>
      </w:pPr>
      <w:r w:rsidRPr="00DF2B5B">
        <w:rPr>
          <w:rFonts w:ascii="Times New Roman" w:eastAsia="宋体" w:hAnsi="Times New Roman" w:cs="Times New Roman"/>
          <w:b/>
          <w:bCs/>
          <w:kern w:val="0"/>
          <w:szCs w:val="22"/>
          <w14:ligatures w14:val="none"/>
        </w:rPr>
        <w:t>Regime 1 (Expansion):</w:t>
      </w:r>
      <w:r w:rsidRPr="00DF2B5B">
        <w:rPr>
          <w:rFonts w:ascii="Times New Roman" w:eastAsia="宋体" w:hAnsi="Times New Roman" w:cs="Times New Roman"/>
          <w:kern w:val="0"/>
          <w:szCs w:val="22"/>
          <w14:ligatures w14:val="none"/>
        </w:rPr>
        <w:t xml:space="preserve"> Associated with high means and moderate volatility, appearing prominently during the mid-2000s housing boom and the post-2020 recovery.</w:t>
      </w:r>
    </w:p>
    <w:p w14:paraId="23D880D4" w14:textId="77777777" w:rsidR="00DF2B5B" w:rsidRPr="00DF2B5B" w:rsidRDefault="00DF2B5B" w:rsidP="00B66E4A">
      <w:pPr>
        <w:widowControl/>
        <w:numPr>
          <w:ilvl w:val="0"/>
          <w:numId w:val="30"/>
        </w:numPr>
        <w:spacing w:before="100" w:beforeAutospacing="1" w:after="100" w:afterAutospacing="1" w:line="276" w:lineRule="auto"/>
        <w:rPr>
          <w:rFonts w:ascii="Times New Roman" w:eastAsia="宋体" w:hAnsi="Times New Roman" w:cs="Times New Roman"/>
          <w:kern w:val="0"/>
          <w:szCs w:val="22"/>
          <w14:ligatures w14:val="none"/>
        </w:rPr>
      </w:pPr>
      <w:r w:rsidRPr="00DF2B5B">
        <w:rPr>
          <w:rFonts w:ascii="Times New Roman" w:eastAsia="宋体" w:hAnsi="Times New Roman" w:cs="Times New Roman"/>
          <w:b/>
          <w:bCs/>
          <w:kern w:val="0"/>
          <w:szCs w:val="22"/>
          <w14:ligatures w14:val="none"/>
        </w:rPr>
        <w:t>Regime 2 (Downturn/Correction):</w:t>
      </w:r>
      <w:r w:rsidRPr="00DF2B5B">
        <w:rPr>
          <w:rFonts w:ascii="Times New Roman" w:eastAsia="宋体" w:hAnsi="Times New Roman" w:cs="Times New Roman"/>
          <w:kern w:val="0"/>
          <w:szCs w:val="22"/>
          <w14:ligatures w14:val="none"/>
        </w:rPr>
        <w:t xml:space="preserve"> Captures periods of negative returns and high volatility. This regime clusters tightly around known crisis points, including the early-2000s recession and the 2007-2009 Global Financial Crisis.</w:t>
      </w:r>
    </w:p>
    <w:p w14:paraId="6731DE9C" w14:textId="395F09C6" w:rsidR="00F657B0" w:rsidRPr="00E05223" w:rsidRDefault="008A01BB" w:rsidP="00B66E4A">
      <w:pPr>
        <w:spacing w:line="276" w:lineRule="auto"/>
        <w:rPr>
          <w:rFonts w:ascii="Times New Roman" w:hAnsi="Times New Roman" w:cs="Times New Roman"/>
          <w:szCs w:val="22"/>
        </w:rPr>
      </w:pPr>
      <w:r w:rsidRPr="00E05223">
        <w:rPr>
          <w:rFonts w:ascii="Times New Roman" w:hAnsi="Times New Roman" w:cs="Times New Roman"/>
          <w:szCs w:val="22"/>
        </w:rPr>
        <w:t>This alignment with historical macroeconomic events demonstrates that the unsupervised HMM successfully extracts meaningful economic signals solely from price data.</w:t>
      </w:r>
    </w:p>
    <w:p w14:paraId="68952AA2" w14:textId="2C89B785" w:rsidR="00445D0F" w:rsidRPr="00E05223" w:rsidRDefault="58AD4D22"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t>4.</w:t>
      </w:r>
      <w:r w:rsidR="00331FBB" w:rsidRPr="00E05223">
        <w:rPr>
          <w:rFonts w:ascii="Times New Roman" w:hAnsi="Times New Roman" w:cs="Times New Roman"/>
          <w:b/>
          <w:bCs/>
          <w:szCs w:val="22"/>
        </w:rPr>
        <w:t>5</w:t>
      </w:r>
      <w:r w:rsidR="00242104" w:rsidRPr="00E05223">
        <w:rPr>
          <w:rFonts w:ascii="Times New Roman" w:hAnsi="Times New Roman" w:cs="Times New Roman"/>
          <w:b/>
          <w:bCs/>
          <w:szCs w:val="22"/>
        </w:rPr>
        <w:t xml:space="preserve"> Downturn Detection &amp; Predictive Power</w:t>
      </w:r>
    </w:p>
    <w:p w14:paraId="2EDFB027" w14:textId="77777777" w:rsidR="00BF62F3" w:rsidRPr="00BF62F3" w:rsidRDefault="00BF62F3" w:rsidP="00B66E4A">
      <w:pPr>
        <w:widowControl/>
        <w:spacing w:before="100" w:beforeAutospacing="1" w:after="100" w:afterAutospacing="1" w:line="276" w:lineRule="auto"/>
        <w:rPr>
          <w:rFonts w:ascii="Times New Roman" w:eastAsia="宋体" w:hAnsi="Times New Roman" w:cs="Times New Roman"/>
          <w:kern w:val="0"/>
          <w:szCs w:val="22"/>
          <w14:ligatures w14:val="none"/>
        </w:rPr>
      </w:pPr>
      <w:r w:rsidRPr="00BF62F3">
        <w:rPr>
          <w:rFonts w:ascii="Times New Roman" w:eastAsia="宋体" w:hAnsi="Times New Roman" w:cs="Times New Roman"/>
          <w:kern w:val="0"/>
          <w:szCs w:val="22"/>
          <w14:ligatures w14:val="none"/>
        </w:rPr>
        <w:t xml:space="preserve">Finally, we evaluated the model’s utility as an early warning system. We defined a binary "Downturn Label" for periods where the </w:t>
      </w:r>
      <w:r w:rsidRPr="00BF62F3">
        <w:rPr>
          <w:rFonts w:ascii="Times New Roman" w:eastAsia="宋体" w:hAnsi="Times New Roman" w:cs="Times New Roman"/>
          <w:i/>
          <w:iCs/>
          <w:kern w:val="0"/>
          <w:szCs w:val="22"/>
          <w14:ligatures w14:val="none"/>
        </w:rPr>
        <w:t>rolling 3-month cumulative return</w:t>
      </w:r>
      <w:r w:rsidRPr="00BF62F3">
        <w:rPr>
          <w:rFonts w:ascii="Times New Roman" w:eastAsia="宋体" w:hAnsi="Times New Roman" w:cs="Times New Roman"/>
          <w:kern w:val="0"/>
          <w:szCs w:val="22"/>
          <w14:ligatures w14:val="none"/>
        </w:rPr>
        <w:t xml:space="preserve"> was negative.</w:t>
      </w:r>
    </w:p>
    <w:p w14:paraId="567597AA" w14:textId="77777777" w:rsidR="00BF62F3" w:rsidRPr="00BF62F3" w:rsidRDefault="00BF62F3" w:rsidP="00B66E4A">
      <w:pPr>
        <w:widowControl/>
        <w:spacing w:before="100" w:beforeAutospacing="1" w:after="100" w:afterAutospacing="1" w:line="276" w:lineRule="auto"/>
        <w:rPr>
          <w:rFonts w:ascii="Times New Roman" w:eastAsia="宋体" w:hAnsi="Times New Roman" w:cs="Times New Roman"/>
          <w:kern w:val="0"/>
          <w:szCs w:val="22"/>
          <w14:ligatures w14:val="none"/>
        </w:rPr>
      </w:pPr>
      <w:r w:rsidRPr="00BF62F3">
        <w:rPr>
          <w:rFonts w:ascii="Times New Roman" w:eastAsia="宋体" w:hAnsi="Times New Roman" w:cs="Times New Roman"/>
          <w:b/>
          <w:bCs/>
          <w:kern w:val="0"/>
          <w:szCs w:val="22"/>
          <w14:ligatures w14:val="none"/>
        </w:rPr>
        <w:t>Figure 9</w:t>
      </w:r>
      <w:r w:rsidRPr="00BF62F3">
        <w:rPr>
          <w:rFonts w:ascii="Times New Roman" w:eastAsia="宋体" w:hAnsi="Times New Roman" w:cs="Times New Roman"/>
          <w:kern w:val="0"/>
          <w:szCs w:val="22"/>
          <w14:ligatures w14:val="none"/>
        </w:rPr>
        <w:t xml:space="preserve"> compares the Receiver Operating Characteristic (ROC) curves for two tasks:</w:t>
      </w:r>
    </w:p>
    <w:p w14:paraId="78484A3E" w14:textId="77777777" w:rsidR="00BF62F3" w:rsidRPr="00BF62F3" w:rsidRDefault="00BF62F3" w:rsidP="00B66E4A">
      <w:pPr>
        <w:widowControl/>
        <w:numPr>
          <w:ilvl w:val="0"/>
          <w:numId w:val="31"/>
        </w:numPr>
        <w:spacing w:before="100" w:beforeAutospacing="1" w:after="100" w:afterAutospacing="1" w:line="276" w:lineRule="auto"/>
        <w:rPr>
          <w:rFonts w:ascii="Times New Roman" w:eastAsia="宋体" w:hAnsi="Times New Roman" w:cs="Times New Roman"/>
          <w:kern w:val="0"/>
          <w:szCs w:val="22"/>
          <w14:ligatures w14:val="none"/>
        </w:rPr>
      </w:pPr>
      <w:r w:rsidRPr="00BF62F3">
        <w:rPr>
          <w:rFonts w:ascii="Times New Roman" w:eastAsia="宋体" w:hAnsi="Times New Roman" w:cs="Times New Roman"/>
          <w:b/>
          <w:bCs/>
          <w:kern w:val="0"/>
          <w:szCs w:val="22"/>
          <w14:ligatures w14:val="none"/>
        </w:rPr>
        <w:lastRenderedPageBreak/>
        <w:t>Same-period Detection:</w:t>
      </w:r>
      <w:r w:rsidRPr="00BF62F3">
        <w:rPr>
          <w:rFonts w:ascii="Times New Roman" w:eastAsia="宋体" w:hAnsi="Times New Roman" w:cs="Times New Roman"/>
          <w:kern w:val="0"/>
          <w:szCs w:val="22"/>
          <w14:ligatures w14:val="none"/>
        </w:rPr>
        <w:t xml:space="preserve"> Classifying the current quarter's downturn status.</w:t>
      </w:r>
    </w:p>
    <w:p w14:paraId="08552589" w14:textId="77777777" w:rsidR="00BF62F3" w:rsidRPr="00BF62F3" w:rsidRDefault="00BF62F3" w:rsidP="00B66E4A">
      <w:pPr>
        <w:widowControl/>
        <w:numPr>
          <w:ilvl w:val="0"/>
          <w:numId w:val="31"/>
        </w:numPr>
        <w:spacing w:before="100" w:beforeAutospacing="1" w:after="100" w:afterAutospacing="1" w:line="276" w:lineRule="auto"/>
        <w:rPr>
          <w:rFonts w:ascii="Times New Roman" w:eastAsia="宋体" w:hAnsi="Times New Roman" w:cs="Times New Roman"/>
          <w:kern w:val="0"/>
          <w:szCs w:val="22"/>
          <w14:ligatures w14:val="none"/>
        </w:rPr>
      </w:pPr>
      <w:r w:rsidRPr="00BF62F3">
        <w:rPr>
          <w:rFonts w:ascii="Times New Roman" w:eastAsia="宋体" w:hAnsi="Times New Roman" w:cs="Times New Roman"/>
          <w:b/>
          <w:bCs/>
          <w:kern w:val="0"/>
          <w:szCs w:val="22"/>
          <w14:ligatures w14:val="none"/>
        </w:rPr>
        <w:t>Lead-1 Prediction:</w:t>
      </w:r>
      <w:r w:rsidRPr="00BF62F3">
        <w:rPr>
          <w:rFonts w:ascii="Times New Roman" w:eastAsia="宋体" w:hAnsi="Times New Roman" w:cs="Times New Roman"/>
          <w:kern w:val="0"/>
          <w:szCs w:val="22"/>
          <w14:ligatures w14:val="none"/>
        </w:rPr>
        <w:t xml:space="preserve"> Predicting a downturn </w:t>
      </w:r>
      <w:r w:rsidRPr="00BF62F3">
        <w:rPr>
          <w:rFonts w:ascii="Times New Roman" w:eastAsia="宋体" w:hAnsi="Times New Roman" w:cs="Times New Roman"/>
          <w:i/>
          <w:iCs/>
          <w:kern w:val="0"/>
          <w:szCs w:val="22"/>
          <w14:ligatures w14:val="none"/>
        </w:rPr>
        <w:t>one quarter ahead</w:t>
      </w:r>
      <w:r w:rsidRPr="00BF62F3">
        <w:rPr>
          <w:rFonts w:ascii="Times New Roman" w:eastAsia="宋体" w:hAnsi="Times New Roman" w:cs="Times New Roman"/>
          <w:kern w:val="0"/>
          <w:szCs w:val="22"/>
          <w14:ligatures w14:val="none"/>
        </w:rPr>
        <w:t xml:space="preserve"> using the current posterior probability.</w:t>
      </w:r>
    </w:p>
    <w:p w14:paraId="244DE81C" w14:textId="5AEBFABE" w:rsidR="00BF62F3" w:rsidRPr="00E05223" w:rsidRDefault="006C7F1C" w:rsidP="00B66E4A">
      <w:pPr>
        <w:spacing w:line="276" w:lineRule="auto"/>
        <w:rPr>
          <w:rFonts w:ascii="Times New Roman" w:hAnsi="Times New Roman" w:cs="Times New Roman"/>
          <w:szCs w:val="22"/>
        </w:rPr>
      </w:pPr>
      <w:r w:rsidRPr="00E05223">
        <w:rPr>
          <w:rFonts w:ascii="Times New Roman" w:hAnsi="Times New Roman" w:cs="Times New Roman"/>
          <w:noProof/>
          <w:szCs w:val="22"/>
        </w:rPr>
        <w:drawing>
          <wp:inline distT="0" distB="0" distL="0" distR="0" wp14:anchorId="29FF3DE4" wp14:editId="7C3108BB">
            <wp:extent cx="5943600" cy="2343150"/>
            <wp:effectExtent l="0" t="0" r="0" b="6350"/>
            <wp:docPr id="933648249" name="drawing" descr="图表, 折线图,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48249" name="drawing" descr="图表, 折线图, 散点图&#10;&#10;AI 生成的内容可能不正确。"/>
                    <pic:cNvPicPr/>
                  </pic:nvPicPr>
                  <pic:blipFill>
                    <a:blip r:embed="rId17">
                      <a:extLst>
                        <a:ext uri="{28A0092B-C50C-407E-A947-70E740481C1C}">
                          <a14:useLocalDpi xmlns:a14="http://schemas.microsoft.com/office/drawing/2010/main"/>
                        </a:ext>
                      </a:extLst>
                    </a:blip>
                    <a:stretch>
                      <a:fillRect/>
                    </a:stretch>
                  </pic:blipFill>
                  <pic:spPr>
                    <a:xfrm>
                      <a:off x="0" y="0"/>
                      <a:ext cx="5943600" cy="2343150"/>
                    </a:xfrm>
                    <a:prstGeom prst="rect">
                      <a:avLst/>
                    </a:prstGeom>
                  </pic:spPr>
                </pic:pic>
              </a:graphicData>
            </a:graphic>
          </wp:inline>
        </w:drawing>
      </w:r>
    </w:p>
    <w:p w14:paraId="64124302" w14:textId="0E5B92E3" w:rsidR="00283DD6" w:rsidRPr="00E05223" w:rsidRDefault="00283DD6" w:rsidP="00B66E4A">
      <w:pPr>
        <w:spacing w:line="276" w:lineRule="auto"/>
        <w:rPr>
          <w:rFonts w:ascii="Times New Roman" w:hAnsi="Times New Roman" w:cs="Times New Roman"/>
          <w:szCs w:val="22"/>
        </w:rPr>
      </w:pPr>
      <w:r w:rsidRPr="00E05223">
        <w:rPr>
          <w:rFonts w:ascii="Times New Roman" w:hAnsi="Times New Roman" w:cs="Times New Roman"/>
          <w:szCs w:val="22"/>
        </w:rPr>
        <w:t>Figure 9: ROC comparison for same-period vs. early warning downturn detection</w:t>
      </w:r>
    </w:p>
    <w:p w14:paraId="79EAF36A" w14:textId="77777777" w:rsidR="005876D7" w:rsidRDefault="005876D7" w:rsidP="00B66E4A">
      <w:pPr>
        <w:widowControl/>
        <w:spacing w:after="0" w:line="276" w:lineRule="auto"/>
        <w:rPr>
          <w:rFonts w:ascii="Times New Roman" w:eastAsia="宋体" w:hAnsi="Times New Roman" w:cs="Times New Roman"/>
          <w:kern w:val="0"/>
          <w:szCs w:val="22"/>
          <w14:ligatures w14:val="none"/>
        </w:rPr>
      </w:pPr>
      <w:r w:rsidRPr="005876D7">
        <w:rPr>
          <w:rFonts w:ascii="Times New Roman" w:eastAsia="宋体" w:hAnsi="Times New Roman" w:cs="Times New Roman"/>
          <w:kern w:val="0"/>
          <w:szCs w:val="22"/>
          <w14:ligatures w14:val="none"/>
        </w:rPr>
        <w:t xml:space="preserve">The model achieved an AUC of </w:t>
      </w:r>
      <w:r w:rsidRPr="005876D7">
        <w:rPr>
          <w:rFonts w:ascii="Times New Roman" w:eastAsia="宋体" w:hAnsi="Times New Roman" w:cs="Times New Roman"/>
          <w:b/>
          <w:bCs/>
          <w:kern w:val="0"/>
          <w:szCs w:val="22"/>
          <w14:ligatures w14:val="none"/>
        </w:rPr>
        <w:t>0.998</w:t>
      </w:r>
      <w:r w:rsidRPr="005876D7">
        <w:rPr>
          <w:rFonts w:ascii="Times New Roman" w:eastAsia="宋体" w:hAnsi="Times New Roman" w:cs="Times New Roman"/>
          <w:kern w:val="0"/>
          <w:szCs w:val="22"/>
          <w14:ligatures w14:val="none"/>
        </w:rPr>
        <w:t xml:space="preserve"> for the 1-step ahead prediction. This indicates that the "Downturn State" probability is a robust leading indicator, capable of signaling negative market momentum before it is fully reflected in the lagging aggregate statistics.</w:t>
      </w:r>
    </w:p>
    <w:p w14:paraId="2B723DF5" w14:textId="77777777" w:rsidR="005D582F" w:rsidRPr="005876D7" w:rsidRDefault="005D582F" w:rsidP="00B66E4A">
      <w:pPr>
        <w:widowControl/>
        <w:spacing w:after="0" w:line="276" w:lineRule="auto"/>
        <w:rPr>
          <w:rFonts w:ascii="Times New Roman" w:eastAsia="宋体" w:hAnsi="Times New Roman" w:cs="Times New Roman"/>
          <w:kern w:val="0"/>
          <w:szCs w:val="22"/>
          <w14:ligatures w14:val="none"/>
        </w:rPr>
      </w:pPr>
    </w:p>
    <w:p w14:paraId="3CCC371D" w14:textId="63903792" w:rsidR="0008434C" w:rsidRPr="00E05223" w:rsidRDefault="58AD4D22"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t>5. Conclusion</w:t>
      </w:r>
    </w:p>
    <w:p w14:paraId="46955F79" w14:textId="1B759D6B" w:rsidR="00D608D6" w:rsidRPr="00E05223" w:rsidRDefault="03C5D0DD" w:rsidP="00B66E4A">
      <w:pPr>
        <w:spacing w:line="276" w:lineRule="auto"/>
        <w:rPr>
          <w:rFonts w:ascii="Times New Roman" w:hAnsi="Times New Roman" w:cs="Times New Roman"/>
          <w:szCs w:val="22"/>
        </w:rPr>
      </w:pPr>
      <w:r w:rsidRPr="00E05223">
        <w:rPr>
          <w:rFonts w:ascii="Times New Roman" w:hAnsi="Times New Roman" w:cs="Times New Roman"/>
          <w:szCs w:val="22"/>
        </w:rPr>
        <w:t>Using the FHFA seasonally adjusted purchase-only HPI, we build quarterly log returns for 1992Q1–2025Q2 and fit a 1-D Gaussian HMM to capture latent housing-market regimes.</w:t>
      </w:r>
      <w:r w:rsidR="58AD4D22" w:rsidRPr="00E05223">
        <w:rPr>
          <w:rFonts w:ascii="Times New Roman" w:hAnsi="Times New Roman" w:cs="Times New Roman"/>
          <w:szCs w:val="22"/>
        </w:rPr>
        <w:br/>
      </w:r>
      <w:r w:rsidRPr="00E05223">
        <w:rPr>
          <w:rFonts w:ascii="Times New Roman" w:hAnsi="Times New Roman" w:cs="Times New Roman"/>
          <w:szCs w:val="22"/>
        </w:rPr>
        <w:t>The EM algorithm converges monotonically for K = 2, 3, and 4, indicating stable training. As K increases, the log-likelihood improves, and BIC reaches its minimum at K = 4, while K = 3 offers a good trade-off between fit and interpretability.</w:t>
      </w:r>
      <w:r w:rsidR="58AD4D22" w:rsidRPr="00E05223">
        <w:rPr>
          <w:rFonts w:ascii="Times New Roman" w:hAnsi="Times New Roman" w:cs="Times New Roman"/>
          <w:szCs w:val="22"/>
        </w:rPr>
        <w:br/>
      </w:r>
      <w:r w:rsidRPr="00E05223">
        <w:rPr>
          <w:rFonts w:ascii="Times New Roman" w:hAnsi="Times New Roman" w:cs="Times New Roman"/>
          <w:szCs w:val="22"/>
        </w:rPr>
        <w:t>In the three-state model, the regimes roughly correspond to “high-return expansion,” “neutral,” and “low/negative-return downturn,” with the downturn state used more often during crisis and correction periods. This suggests that meaningful market phases can be extracted from prices alone.</w:t>
      </w:r>
      <w:r w:rsidR="58AD4D22" w:rsidRPr="00E05223">
        <w:rPr>
          <w:rFonts w:ascii="Times New Roman" w:hAnsi="Times New Roman" w:cs="Times New Roman"/>
          <w:szCs w:val="22"/>
        </w:rPr>
        <w:br/>
      </w:r>
      <w:r w:rsidR="58AD4D22" w:rsidRPr="00E05223">
        <w:rPr>
          <w:rFonts w:ascii="Times New Roman" w:hAnsi="Times New Roman" w:cs="Times New Roman"/>
          <w:szCs w:val="22"/>
        </w:rPr>
        <w:br/>
      </w:r>
      <w:r w:rsidRPr="00E05223">
        <w:rPr>
          <w:rFonts w:ascii="Times New Roman" w:hAnsi="Times New Roman" w:cs="Times New Roman"/>
          <w:szCs w:val="22"/>
        </w:rPr>
        <w:t>Main limitations: (</w:t>
      </w:r>
      <w:proofErr w:type="spellStart"/>
      <w:r w:rsidRPr="00E05223">
        <w:rPr>
          <w:rFonts w:ascii="Times New Roman" w:hAnsi="Times New Roman" w:cs="Times New Roman"/>
          <w:szCs w:val="22"/>
        </w:rPr>
        <w:t>i</w:t>
      </w:r>
      <w:proofErr w:type="spellEnd"/>
      <w:r w:rsidRPr="00E05223">
        <w:rPr>
          <w:rFonts w:ascii="Times New Roman" w:hAnsi="Times New Roman" w:cs="Times New Roman"/>
          <w:szCs w:val="22"/>
        </w:rPr>
        <w:t>) we only use national price returns and ignore macro factors and regional heterogeneity; (ii) evaluation is mostly in-sample, based on log-likelihood and AIC/BIC, without systematic out-of-sample and robustness checks.</w:t>
      </w:r>
      <w:r w:rsidR="58AD4D22" w:rsidRPr="00E05223">
        <w:rPr>
          <w:rFonts w:ascii="Times New Roman" w:hAnsi="Times New Roman" w:cs="Times New Roman"/>
          <w:szCs w:val="22"/>
        </w:rPr>
        <w:br/>
      </w:r>
      <w:r w:rsidRPr="00E05223">
        <w:rPr>
          <w:rFonts w:ascii="Times New Roman" w:hAnsi="Times New Roman" w:cs="Times New Roman"/>
          <w:szCs w:val="22"/>
        </w:rPr>
        <w:t xml:space="preserve">Future work can first focus </w:t>
      </w:r>
      <w:bookmarkStart w:id="1" w:name="_Int_Z68tVVko"/>
      <w:r w:rsidRPr="00E05223">
        <w:rPr>
          <w:rFonts w:ascii="Times New Roman" w:hAnsi="Times New Roman" w:cs="Times New Roman"/>
          <w:szCs w:val="22"/>
        </w:rPr>
        <w:t>on:</w:t>
      </w:r>
      <w:bookmarkEnd w:id="1"/>
      <w:r w:rsidRPr="00E05223">
        <w:rPr>
          <w:rFonts w:ascii="Times New Roman" w:hAnsi="Times New Roman" w:cs="Times New Roman"/>
          <w:szCs w:val="22"/>
        </w:rPr>
        <w:t xml:space="preserve"> adding macro and regional variables in multivariate or hierarchical </w:t>
      </w:r>
      <w:bookmarkStart w:id="2" w:name="_Int_V3AlXtc2"/>
      <w:r w:rsidRPr="00E05223">
        <w:rPr>
          <w:rFonts w:ascii="Times New Roman" w:hAnsi="Times New Roman" w:cs="Times New Roman"/>
          <w:szCs w:val="22"/>
        </w:rPr>
        <w:t>HMMs, and</w:t>
      </w:r>
      <w:bookmarkEnd w:id="2"/>
      <w:r w:rsidRPr="00E05223">
        <w:rPr>
          <w:rFonts w:ascii="Times New Roman" w:hAnsi="Times New Roman" w:cs="Times New Roman"/>
          <w:szCs w:val="22"/>
        </w:rPr>
        <w:t xml:space="preserve"> designing out-of-sample and robustness tests that use the inferred downturn-state probability </w:t>
      </w:r>
      <w:r w:rsidRPr="00E05223">
        <w:rPr>
          <w:rFonts w:ascii="Times New Roman" w:hAnsi="Times New Roman" w:cs="Times New Roman"/>
          <w:szCs w:val="22"/>
        </w:rPr>
        <w:lastRenderedPageBreak/>
        <w:t>as a simple early-warning signal.</w:t>
      </w:r>
    </w:p>
    <w:p w14:paraId="5F775097" w14:textId="77777777" w:rsidR="00C07AA0" w:rsidRPr="00E05223" w:rsidRDefault="00C07AA0" w:rsidP="00B66E4A">
      <w:pPr>
        <w:spacing w:line="276" w:lineRule="auto"/>
        <w:rPr>
          <w:rFonts w:ascii="Times New Roman" w:hAnsi="Times New Roman" w:cs="Times New Roman"/>
          <w:szCs w:val="22"/>
        </w:rPr>
      </w:pPr>
    </w:p>
    <w:p w14:paraId="3B2595E1" w14:textId="3F07EC65" w:rsidR="004232A4" w:rsidRPr="00E05223" w:rsidRDefault="004232A4"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t>6</w:t>
      </w:r>
      <w:r w:rsidR="003054EC" w:rsidRPr="00E05223">
        <w:rPr>
          <w:rFonts w:ascii="Times New Roman" w:hAnsi="Times New Roman" w:cs="Times New Roman"/>
          <w:b/>
          <w:bCs/>
          <w:szCs w:val="22"/>
        </w:rPr>
        <w:t>.</w:t>
      </w:r>
      <w:r w:rsidRPr="00E05223">
        <w:rPr>
          <w:rFonts w:ascii="Times New Roman" w:hAnsi="Times New Roman" w:cs="Times New Roman"/>
          <w:b/>
          <w:bCs/>
          <w:szCs w:val="22"/>
        </w:rPr>
        <w:t>Reflections &amp; Contributions</w:t>
      </w:r>
    </w:p>
    <w:p w14:paraId="29E57A3A" w14:textId="77777777" w:rsidR="003054EC" w:rsidRPr="00E05223" w:rsidRDefault="003054EC" w:rsidP="00B66E4A">
      <w:pPr>
        <w:spacing w:line="276" w:lineRule="auto"/>
        <w:rPr>
          <w:rFonts w:ascii="Times New Roman" w:hAnsi="Times New Roman" w:cs="Times New Roman"/>
          <w:szCs w:val="22"/>
        </w:rPr>
      </w:pPr>
    </w:p>
    <w:p w14:paraId="07393A0D" w14:textId="42B31D1B" w:rsidR="003054EC" w:rsidRPr="00E05223" w:rsidRDefault="003054EC"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t>7. References</w:t>
      </w:r>
    </w:p>
    <w:p w14:paraId="2C8F763E" w14:textId="736A6353" w:rsidR="00631E23" w:rsidRPr="00E05223" w:rsidRDefault="00631E23" w:rsidP="00B66E4A">
      <w:pPr>
        <w:spacing w:line="276" w:lineRule="auto"/>
        <w:rPr>
          <w:rFonts w:ascii="Times New Roman" w:hAnsi="Times New Roman" w:cs="Times New Roman"/>
          <w:szCs w:val="22"/>
        </w:rPr>
      </w:pPr>
      <w:r w:rsidRPr="00E05223">
        <w:rPr>
          <w:rFonts w:ascii="Times New Roman" w:hAnsi="Times New Roman" w:cs="Times New Roman"/>
          <w:b/>
          <w:bCs/>
          <w:szCs w:val="22"/>
        </w:rPr>
        <w:t>Hamilton, J. D. (1989).</w:t>
      </w:r>
      <w:r w:rsidRPr="00E05223">
        <w:rPr>
          <w:rFonts w:ascii="Times New Roman" w:hAnsi="Times New Roman" w:cs="Times New Roman"/>
          <w:szCs w:val="22"/>
        </w:rPr>
        <w:t xml:space="preserve"> "A New Approach to the Economic Analysis of Nonstationary Time Series and the Business Cycle." </w:t>
      </w:r>
      <w:proofErr w:type="spellStart"/>
      <w:r w:rsidRPr="00E05223">
        <w:rPr>
          <w:rFonts w:ascii="Times New Roman" w:hAnsi="Times New Roman" w:cs="Times New Roman"/>
          <w:i/>
          <w:iCs/>
          <w:szCs w:val="22"/>
        </w:rPr>
        <w:t>Econometrica</w:t>
      </w:r>
      <w:proofErr w:type="spellEnd"/>
      <w:r w:rsidRPr="00E05223">
        <w:rPr>
          <w:rFonts w:ascii="Times New Roman" w:hAnsi="Times New Roman" w:cs="Times New Roman"/>
          <w:szCs w:val="22"/>
        </w:rPr>
        <w:t>, 57(2), 357–384.</w:t>
      </w:r>
    </w:p>
    <w:p w14:paraId="76536A35" w14:textId="4373D4CE" w:rsidR="00141E05" w:rsidRPr="00E05223" w:rsidRDefault="00141E05" w:rsidP="00B66E4A">
      <w:pPr>
        <w:spacing w:line="276" w:lineRule="auto"/>
        <w:rPr>
          <w:rFonts w:ascii="Times New Roman" w:hAnsi="Times New Roman" w:cs="Times New Roman"/>
          <w:szCs w:val="22"/>
        </w:rPr>
      </w:pPr>
      <w:r w:rsidRPr="00E05223">
        <w:rPr>
          <w:rFonts w:ascii="Times New Roman" w:hAnsi="Times New Roman" w:cs="Times New Roman"/>
          <w:b/>
          <w:bCs/>
          <w:szCs w:val="22"/>
        </w:rPr>
        <w:t>Rabiner, L. R. (1989).</w:t>
      </w:r>
      <w:r w:rsidRPr="00E05223">
        <w:rPr>
          <w:rFonts w:ascii="Times New Roman" w:hAnsi="Times New Roman" w:cs="Times New Roman"/>
          <w:szCs w:val="22"/>
        </w:rPr>
        <w:t xml:space="preserve"> "A Tutorial on Hidden Markov Models and Selected Applications in Speech Recognition." </w:t>
      </w:r>
      <w:r w:rsidRPr="00E05223">
        <w:rPr>
          <w:rFonts w:ascii="Times New Roman" w:hAnsi="Times New Roman" w:cs="Times New Roman"/>
          <w:i/>
          <w:iCs/>
          <w:szCs w:val="22"/>
        </w:rPr>
        <w:t>Proceedings of the IEEE</w:t>
      </w:r>
      <w:r w:rsidRPr="00E05223">
        <w:rPr>
          <w:rFonts w:ascii="Times New Roman" w:hAnsi="Times New Roman" w:cs="Times New Roman"/>
          <w:szCs w:val="22"/>
        </w:rPr>
        <w:t>, 77(2), 257–286.</w:t>
      </w:r>
    </w:p>
    <w:p w14:paraId="446187CE" w14:textId="029AA2D8" w:rsidR="001E4EDA" w:rsidRPr="00E05223" w:rsidRDefault="001E4EDA" w:rsidP="00B66E4A">
      <w:pPr>
        <w:spacing w:line="276" w:lineRule="auto"/>
        <w:rPr>
          <w:rFonts w:ascii="Times New Roman" w:hAnsi="Times New Roman" w:cs="Times New Roman"/>
          <w:szCs w:val="22"/>
        </w:rPr>
      </w:pPr>
      <w:r w:rsidRPr="00E05223">
        <w:rPr>
          <w:rFonts w:ascii="Times New Roman" w:hAnsi="Times New Roman" w:cs="Times New Roman"/>
          <w:b/>
          <w:bCs/>
          <w:szCs w:val="22"/>
        </w:rPr>
        <w:t>Federal Housing Finance Agency (FHFA).</w:t>
      </w:r>
      <w:r w:rsidRPr="00E05223">
        <w:rPr>
          <w:rFonts w:ascii="Times New Roman" w:hAnsi="Times New Roman" w:cs="Times New Roman"/>
          <w:szCs w:val="22"/>
        </w:rPr>
        <w:t xml:space="preserve"> "HPI Technical Description." </w:t>
      </w:r>
      <w:r w:rsidRPr="00E05223">
        <w:rPr>
          <w:rFonts w:ascii="Times New Roman" w:hAnsi="Times New Roman" w:cs="Times New Roman"/>
          <w:i/>
          <w:iCs/>
          <w:szCs w:val="22"/>
        </w:rPr>
        <w:t>FHFA.gov</w:t>
      </w:r>
      <w:r w:rsidRPr="00E05223">
        <w:rPr>
          <w:rFonts w:ascii="Times New Roman" w:hAnsi="Times New Roman" w:cs="Times New Roman"/>
          <w:szCs w:val="22"/>
        </w:rPr>
        <w:t>.</w:t>
      </w:r>
    </w:p>
    <w:p w14:paraId="13881A31" w14:textId="38E09FBD" w:rsidR="00745C33" w:rsidRPr="00E05223" w:rsidRDefault="00745C33" w:rsidP="00B66E4A">
      <w:pPr>
        <w:spacing w:line="276" w:lineRule="auto"/>
        <w:rPr>
          <w:rFonts w:ascii="Times New Roman" w:hAnsi="Times New Roman" w:cs="Times New Roman"/>
          <w:b/>
          <w:bCs/>
          <w:szCs w:val="22"/>
        </w:rPr>
      </w:pPr>
      <w:r w:rsidRPr="00E05223">
        <w:rPr>
          <w:rFonts w:ascii="Times New Roman" w:hAnsi="Times New Roman" w:cs="Times New Roman"/>
          <w:b/>
          <w:bCs/>
          <w:szCs w:val="22"/>
        </w:rPr>
        <w:t>McLachlan, G. J., &amp; Peel, D. (2000).</w:t>
      </w:r>
      <w:r w:rsidRPr="00E05223">
        <w:rPr>
          <w:rFonts w:ascii="Times New Roman" w:hAnsi="Times New Roman" w:cs="Times New Roman"/>
          <w:szCs w:val="22"/>
        </w:rPr>
        <w:t xml:space="preserve"> </w:t>
      </w:r>
      <w:r w:rsidRPr="00E05223">
        <w:rPr>
          <w:rFonts w:ascii="Times New Roman" w:hAnsi="Times New Roman" w:cs="Times New Roman"/>
          <w:i/>
          <w:iCs/>
          <w:szCs w:val="22"/>
        </w:rPr>
        <w:t>Finite Mixture Models</w:t>
      </w:r>
      <w:r w:rsidRPr="00E05223">
        <w:rPr>
          <w:rFonts w:ascii="Times New Roman" w:hAnsi="Times New Roman" w:cs="Times New Roman"/>
          <w:szCs w:val="22"/>
        </w:rPr>
        <w:t>. John Wiley &amp; Sons.</w:t>
      </w:r>
    </w:p>
    <w:sectPr w:rsidR="00745C33" w:rsidRPr="00E05223" w:rsidSect="00880BED">
      <w:pgSz w:w="12240" w:h="15840"/>
      <w:pgMar w:top="1440" w:right="1440" w:bottom="1440" w:left="1440" w:header="708" w:footer="708" w:gutter="0"/>
      <w:cols w:space="708"/>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2271" w14:textId="77777777" w:rsidR="00FA2072" w:rsidRDefault="00FA2072" w:rsidP="00DB7D69">
      <w:pPr>
        <w:spacing w:after="0" w:line="240" w:lineRule="auto"/>
      </w:pPr>
      <w:r>
        <w:separator/>
      </w:r>
    </w:p>
  </w:endnote>
  <w:endnote w:type="continuationSeparator" w:id="0">
    <w:p w14:paraId="5DB56613" w14:textId="77777777" w:rsidR="00FA2072" w:rsidRDefault="00FA2072" w:rsidP="00DB7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5AAD7" w14:textId="77777777" w:rsidR="00FA2072" w:rsidRDefault="00FA2072" w:rsidP="00DB7D69">
      <w:pPr>
        <w:spacing w:after="0" w:line="240" w:lineRule="auto"/>
      </w:pPr>
      <w:r>
        <w:separator/>
      </w:r>
    </w:p>
  </w:footnote>
  <w:footnote w:type="continuationSeparator" w:id="0">
    <w:p w14:paraId="0BD231C8" w14:textId="77777777" w:rsidR="00FA2072" w:rsidRDefault="00FA2072" w:rsidP="00DB7D6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veKHsWQgi4Xq" int2:id="9i6nggYa">
      <int2:state int2:value="Rejected" int2:type="spell"/>
    </int2:textHash>
    <int2:textHash int2:hashCode="UjdxnKTtYvvv6S" int2:id="RvEX2ZdO">
      <int2:state int2:value="Rejected" int2:type="spell"/>
    </int2:textHash>
    <int2:textHash int2:hashCode="NFtBSU/xZPck29" int2:id="exiekPou">
      <int2:state int2:value="Rejected" int2:type="spell"/>
    </int2:textHash>
    <int2:textHash int2:hashCode="hsVKnbk7N/1Q70" int2:id="hz1zgAtt">
      <int2:state int2:value="Rejected" int2:type="spell"/>
    </int2:textHash>
    <int2:textHash int2:hashCode="ElBwEnGs5APnHB" int2:id="iXG4maze">
      <int2:state int2:value="Rejected" int2:type="spell"/>
    </int2:textHash>
    <int2:textHash int2:hashCode="YE2qmw8DstnVpx" int2:id="iqkIMaTm">
      <int2:state int2:value="Rejected" int2:type="spell"/>
    </int2:textHash>
    <int2:bookmark int2:bookmarkName="_Int_V3AlXtc2" int2:invalidationBookmarkName="" int2:hashCode="tpdPP8LoChhKhW" int2:id="vPPCkOeU">
      <int2:state int2:value="Rejected" int2:type="gram"/>
    </int2:bookmark>
    <int2:bookmark int2:bookmarkName="_Int_rRsm4LKS" int2:invalidationBookmarkName="" int2:hashCode="fcpdTN31+l3lGz" int2:id="n2WK119W">
      <int2:state int2:value="Rejected" int2:type="gram"/>
    </int2:bookmark>
    <int2:bookmark int2:bookmarkName="_Int_Z68tVVko" int2:invalidationBookmarkName="" int2:hashCode="i9rlyHJ+k/bzcS" int2:id="7ookyVV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0F3"/>
    <w:multiLevelType w:val="multilevel"/>
    <w:tmpl w:val="7FF2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128E0"/>
    <w:multiLevelType w:val="multilevel"/>
    <w:tmpl w:val="B5AA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277F9"/>
    <w:multiLevelType w:val="multilevel"/>
    <w:tmpl w:val="B12A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A6766"/>
    <w:multiLevelType w:val="multilevel"/>
    <w:tmpl w:val="0982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45EA"/>
    <w:multiLevelType w:val="multilevel"/>
    <w:tmpl w:val="A650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D6677"/>
    <w:multiLevelType w:val="multilevel"/>
    <w:tmpl w:val="70E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2B53"/>
    <w:multiLevelType w:val="multilevel"/>
    <w:tmpl w:val="A96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65720"/>
    <w:multiLevelType w:val="multilevel"/>
    <w:tmpl w:val="665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81F5E"/>
    <w:multiLevelType w:val="multilevel"/>
    <w:tmpl w:val="FE1A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C21E4"/>
    <w:multiLevelType w:val="multilevel"/>
    <w:tmpl w:val="AD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23AB1"/>
    <w:multiLevelType w:val="multilevel"/>
    <w:tmpl w:val="B7B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14E91"/>
    <w:multiLevelType w:val="multilevel"/>
    <w:tmpl w:val="C6704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201156"/>
    <w:multiLevelType w:val="multilevel"/>
    <w:tmpl w:val="6A18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E1A09"/>
    <w:multiLevelType w:val="multilevel"/>
    <w:tmpl w:val="028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693083"/>
    <w:multiLevelType w:val="multilevel"/>
    <w:tmpl w:val="9ED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76E49"/>
    <w:multiLevelType w:val="multilevel"/>
    <w:tmpl w:val="4F3E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B17A2"/>
    <w:multiLevelType w:val="multilevel"/>
    <w:tmpl w:val="A396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8144C"/>
    <w:multiLevelType w:val="multilevel"/>
    <w:tmpl w:val="A64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23904"/>
    <w:multiLevelType w:val="multilevel"/>
    <w:tmpl w:val="05504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9002B1"/>
    <w:multiLevelType w:val="multilevel"/>
    <w:tmpl w:val="00D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A1078E"/>
    <w:multiLevelType w:val="multilevel"/>
    <w:tmpl w:val="F33C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D1E44"/>
    <w:multiLevelType w:val="multilevel"/>
    <w:tmpl w:val="BDB0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40FDB"/>
    <w:multiLevelType w:val="multilevel"/>
    <w:tmpl w:val="028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44551"/>
    <w:multiLevelType w:val="multilevel"/>
    <w:tmpl w:val="DFF6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0B0E7B"/>
    <w:multiLevelType w:val="multilevel"/>
    <w:tmpl w:val="6A70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2857C2"/>
    <w:multiLevelType w:val="multilevel"/>
    <w:tmpl w:val="DDB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7534DA"/>
    <w:multiLevelType w:val="multilevel"/>
    <w:tmpl w:val="A75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725F9"/>
    <w:multiLevelType w:val="multilevel"/>
    <w:tmpl w:val="09D4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E2576"/>
    <w:multiLevelType w:val="multilevel"/>
    <w:tmpl w:val="ABC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17134"/>
    <w:multiLevelType w:val="multilevel"/>
    <w:tmpl w:val="4446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E424EA"/>
    <w:multiLevelType w:val="multilevel"/>
    <w:tmpl w:val="BF9E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54603">
    <w:abstractNumId w:val="27"/>
  </w:num>
  <w:num w:numId="2" w16cid:durableId="1771508897">
    <w:abstractNumId w:val="12"/>
  </w:num>
  <w:num w:numId="3" w16cid:durableId="1394550244">
    <w:abstractNumId w:val="24"/>
  </w:num>
  <w:num w:numId="4" w16cid:durableId="740054937">
    <w:abstractNumId w:val="21"/>
  </w:num>
  <w:num w:numId="5" w16cid:durableId="1310743465">
    <w:abstractNumId w:val="18"/>
  </w:num>
  <w:num w:numId="6" w16cid:durableId="2064061553">
    <w:abstractNumId w:val="11"/>
  </w:num>
  <w:num w:numId="7" w16cid:durableId="1554923258">
    <w:abstractNumId w:val="3"/>
  </w:num>
  <w:num w:numId="8" w16cid:durableId="94983546">
    <w:abstractNumId w:val="25"/>
  </w:num>
  <w:num w:numId="9" w16cid:durableId="1775441662">
    <w:abstractNumId w:val="9"/>
  </w:num>
  <w:num w:numId="10" w16cid:durableId="165441201">
    <w:abstractNumId w:val="16"/>
  </w:num>
  <w:num w:numId="11" w16cid:durableId="1858345678">
    <w:abstractNumId w:val="7"/>
  </w:num>
  <w:num w:numId="12" w16cid:durableId="1178496224">
    <w:abstractNumId w:val="29"/>
  </w:num>
  <w:num w:numId="13" w16cid:durableId="1959796784">
    <w:abstractNumId w:val="22"/>
  </w:num>
  <w:num w:numId="14" w16cid:durableId="1867867411">
    <w:abstractNumId w:val="28"/>
  </w:num>
  <w:num w:numId="15" w16cid:durableId="892934783">
    <w:abstractNumId w:val="0"/>
  </w:num>
  <w:num w:numId="16" w16cid:durableId="1210264272">
    <w:abstractNumId w:val="4"/>
  </w:num>
  <w:num w:numId="17" w16cid:durableId="1969312434">
    <w:abstractNumId w:val="14"/>
  </w:num>
  <w:num w:numId="18" w16cid:durableId="1259752918">
    <w:abstractNumId w:val="13"/>
  </w:num>
  <w:num w:numId="19" w16cid:durableId="4747020">
    <w:abstractNumId w:val="19"/>
  </w:num>
  <w:num w:numId="20" w16cid:durableId="830095441">
    <w:abstractNumId w:val="30"/>
  </w:num>
  <w:num w:numId="21" w16cid:durableId="1239830462">
    <w:abstractNumId w:val="1"/>
  </w:num>
  <w:num w:numId="22" w16cid:durableId="594898450">
    <w:abstractNumId w:val="15"/>
  </w:num>
  <w:num w:numId="23" w16cid:durableId="2088650545">
    <w:abstractNumId w:val="5"/>
  </w:num>
  <w:num w:numId="24" w16cid:durableId="1291781827">
    <w:abstractNumId w:val="26"/>
  </w:num>
  <w:num w:numId="25" w16cid:durableId="1809475537">
    <w:abstractNumId w:val="8"/>
  </w:num>
  <w:num w:numId="26" w16cid:durableId="1570111840">
    <w:abstractNumId w:val="17"/>
  </w:num>
  <w:num w:numId="27" w16cid:durableId="924336400">
    <w:abstractNumId w:val="6"/>
  </w:num>
  <w:num w:numId="28" w16cid:durableId="1123497999">
    <w:abstractNumId w:val="20"/>
  </w:num>
  <w:num w:numId="29" w16cid:durableId="1038550318">
    <w:abstractNumId w:val="23"/>
  </w:num>
  <w:num w:numId="30" w16cid:durableId="443813152">
    <w:abstractNumId w:val="10"/>
  </w:num>
  <w:num w:numId="31" w16cid:durableId="532693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1A"/>
    <w:rsid w:val="00005143"/>
    <w:rsid w:val="00005C35"/>
    <w:rsid w:val="00011155"/>
    <w:rsid w:val="000159B2"/>
    <w:rsid w:val="00033B2F"/>
    <w:rsid w:val="0003767A"/>
    <w:rsid w:val="00046527"/>
    <w:rsid w:val="0005759C"/>
    <w:rsid w:val="0006436D"/>
    <w:rsid w:val="00070E42"/>
    <w:rsid w:val="00073DBF"/>
    <w:rsid w:val="00074A4E"/>
    <w:rsid w:val="0008434C"/>
    <w:rsid w:val="000941B4"/>
    <w:rsid w:val="000A4D76"/>
    <w:rsid w:val="000B29A0"/>
    <w:rsid w:val="000B3440"/>
    <w:rsid w:val="000C2B4A"/>
    <w:rsid w:val="000C7905"/>
    <w:rsid w:val="000D0292"/>
    <w:rsid w:val="000E032D"/>
    <w:rsid w:val="000E1DF7"/>
    <w:rsid w:val="001160FC"/>
    <w:rsid w:val="0011666F"/>
    <w:rsid w:val="00127877"/>
    <w:rsid w:val="00130CB9"/>
    <w:rsid w:val="001320AC"/>
    <w:rsid w:val="00137971"/>
    <w:rsid w:val="00141E05"/>
    <w:rsid w:val="0015105A"/>
    <w:rsid w:val="00152FDC"/>
    <w:rsid w:val="001677B3"/>
    <w:rsid w:val="0018200A"/>
    <w:rsid w:val="00197CEA"/>
    <w:rsid w:val="001B017F"/>
    <w:rsid w:val="001C1762"/>
    <w:rsid w:val="001C6041"/>
    <w:rsid w:val="001D0BCA"/>
    <w:rsid w:val="001D287E"/>
    <w:rsid w:val="001D3F73"/>
    <w:rsid w:val="001E4D15"/>
    <w:rsid w:val="001E4EDA"/>
    <w:rsid w:val="001E6048"/>
    <w:rsid w:val="002111A3"/>
    <w:rsid w:val="00226300"/>
    <w:rsid w:val="002364E6"/>
    <w:rsid w:val="00242104"/>
    <w:rsid w:val="00257A76"/>
    <w:rsid w:val="002633C9"/>
    <w:rsid w:val="00265256"/>
    <w:rsid w:val="00277480"/>
    <w:rsid w:val="002807BF"/>
    <w:rsid w:val="00282CA1"/>
    <w:rsid w:val="00283DD6"/>
    <w:rsid w:val="002874E9"/>
    <w:rsid w:val="00290950"/>
    <w:rsid w:val="002933E9"/>
    <w:rsid w:val="002963EB"/>
    <w:rsid w:val="002973EB"/>
    <w:rsid w:val="002A5FC5"/>
    <w:rsid w:val="002C2C9D"/>
    <w:rsid w:val="002D36EA"/>
    <w:rsid w:val="003054EC"/>
    <w:rsid w:val="00316086"/>
    <w:rsid w:val="003218B1"/>
    <w:rsid w:val="00324770"/>
    <w:rsid w:val="00331FBB"/>
    <w:rsid w:val="00336E52"/>
    <w:rsid w:val="00340C40"/>
    <w:rsid w:val="003705D5"/>
    <w:rsid w:val="00397491"/>
    <w:rsid w:val="003A4B9E"/>
    <w:rsid w:val="003A50FE"/>
    <w:rsid w:val="003A5B54"/>
    <w:rsid w:val="003B1834"/>
    <w:rsid w:val="003B3E4C"/>
    <w:rsid w:val="003B6E2D"/>
    <w:rsid w:val="003B701A"/>
    <w:rsid w:val="003C6A9C"/>
    <w:rsid w:val="003D2B33"/>
    <w:rsid w:val="00406D17"/>
    <w:rsid w:val="00413709"/>
    <w:rsid w:val="00417285"/>
    <w:rsid w:val="004232A4"/>
    <w:rsid w:val="00445D0F"/>
    <w:rsid w:val="00452F6E"/>
    <w:rsid w:val="0046077B"/>
    <w:rsid w:val="00481B0C"/>
    <w:rsid w:val="004850D3"/>
    <w:rsid w:val="00486CC8"/>
    <w:rsid w:val="004C1E50"/>
    <w:rsid w:val="004D7620"/>
    <w:rsid w:val="004E6840"/>
    <w:rsid w:val="004F137A"/>
    <w:rsid w:val="004F7586"/>
    <w:rsid w:val="00504E3F"/>
    <w:rsid w:val="005245AD"/>
    <w:rsid w:val="00530ECA"/>
    <w:rsid w:val="005367FC"/>
    <w:rsid w:val="00546E57"/>
    <w:rsid w:val="00550D10"/>
    <w:rsid w:val="00552887"/>
    <w:rsid w:val="00557D36"/>
    <w:rsid w:val="00575621"/>
    <w:rsid w:val="00586CB0"/>
    <w:rsid w:val="005876D7"/>
    <w:rsid w:val="00587B4A"/>
    <w:rsid w:val="0059331D"/>
    <w:rsid w:val="005A0A4E"/>
    <w:rsid w:val="005B0CE8"/>
    <w:rsid w:val="005B3849"/>
    <w:rsid w:val="005B57A4"/>
    <w:rsid w:val="005C2976"/>
    <w:rsid w:val="005C5902"/>
    <w:rsid w:val="005C6105"/>
    <w:rsid w:val="005D56E2"/>
    <w:rsid w:val="005D582F"/>
    <w:rsid w:val="005D6138"/>
    <w:rsid w:val="006074C4"/>
    <w:rsid w:val="00631E23"/>
    <w:rsid w:val="006330DF"/>
    <w:rsid w:val="006418A2"/>
    <w:rsid w:val="00642A61"/>
    <w:rsid w:val="006555C3"/>
    <w:rsid w:val="00663098"/>
    <w:rsid w:val="00674311"/>
    <w:rsid w:val="00674E3A"/>
    <w:rsid w:val="00677EDA"/>
    <w:rsid w:val="006948AC"/>
    <w:rsid w:val="006978CA"/>
    <w:rsid w:val="006A1204"/>
    <w:rsid w:val="006B039E"/>
    <w:rsid w:val="006B511A"/>
    <w:rsid w:val="006C32C1"/>
    <w:rsid w:val="006C7CEA"/>
    <w:rsid w:val="006C7F1C"/>
    <w:rsid w:val="006D19E3"/>
    <w:rsid w:val="006D74EF"/>
    <w:rsid w:val="006F57AA"/>
    <w:rsid w:val="00700452"/>
    <w:rsid w:val="00701901"/>
    <w:rsid w:val="00707067"/>
    <w:rsid w:val="0072562B"/>
    <w:rsid w:val="00734DA9"/>
    <w:rsid w:val="00744129"/>
    <w:rsid w:val="00745C33"/>
    <w:rsid w:val="007463AF"/>
    <w:rsid w:val="00750AEA"/>
    <w:rsid w:val="00750D6C"/>
    <w:rsid w:val="00754024"/>
    <w:rsid w:val="00764B56"/>
    <w:rsid w:val="007705D2"/>
    <w:rsid w:val="00770F83"/>
    <w:rsid w:val="00786065"/>
    <w:rsid w:val="007A3FA6"/>
    <w:rsid w:val="007B0C9E"/>
    <w:rsid w:val="007C7D44"/>
    <w:rsid w:val="007F297D"/>
    <w:rsid w:val="007F5090"/>
    <w:rsid w:val="00821E66"/>
    <w:rsid w:val="008476C6"/>
    <w:rsid w:val="00852FA9"/>
    <w:rsid w:val="00856759"/>
    <w:rsid w:val="008679E7"/>
    <w:rsid w:val="00880BED"/>
    <w:rsid w:val="0088673A"/>
    <w:rsid w:val="00890D6E"/>
    <w:rsid w:val="008A01BB"/>
    <w:rsid w:val="008A45FE"/>
    <w:rsid w:val="008B0DCE"/>
    <w:rsid w:val="008C068E"/>
    <w:rsid w:val="008C5923"/>
    <w:rsid w:val="008C6A58"/>
    <w:rsid w:val="008E66E6"/>
    <w:rsid w:val="008F7947"/>
    <w:rsid w:val="00902EFA"/>
    <w:rsid w:val="00904898"/>
    <w:rsid w:val="009050EB"/>
    <w:rsid w:val="009149CC"/>
    <w:rsid w:val="00922852"/>
    <w:rsid w:val="0092761A"/>
    <w:rsid w:val="0093789C"/>
    <w:rsid w:val="00940124"/>
    <w:rsid w:val="009433BF"/>
    <w:rsid w:val="00947DA5"/>
    <w:rsid w:val="00951C81"/>
    <w:rsid w:val="00954CB0"/>
    <w:rsid w:val="00960E34"/>
    <w:rsid w:val="00976939"/>
    <w:rsid w:val="00977B99"/>
    <w:rsid w:val="00981C81"/>
    <w:rsid w:val="009959EA"/>
    <w:rsid w:val="009A0A0E"/>
    <w:rsid w:val="009A19AB"/>
    <w:rsid w:val="009A513E"/>
    <w:rsid w:val="009A6EA7"/>
    <w:rsid w:val="009A7943"/>
    <w:rsid w:val="009B1EEE"/>
    <w:rsid w:val="009B5B5B"/>
    <w:rsid w:val="009D0B4C"/>
    <w:rsid w:val="009F62BB"/>
    <w:rsid w:val="00A0015C"/>
    <w:rsid w:val="00A06248"/>
    <w:rsid w:val="00A079B1"/>
    <w:rsid w:val="00A10ED3"/>
    <w:rsid w:val="00A13FF3"/>
    <w:rsid w:val="00A1766F"/>
    <w:rsid w:val="00A1797D"/>
    <w:rsid w:val="00A23DC4"/>
    <w:rsid w:val="00A3506E"/>
    <w:rsid w:val="00A469D0"/>
    <w:rsid w:val="00A55C59"/>
    <w:rsid w:val="00A56881"/>
    <w:rsid w:val="00A671A7"/>
    <w:rsid w:val="00A9275A"/>
    <w:rsid w:val="00A97600"/>
    <w:rsid w:val="00AA7085"/>
    <w:rsid w:val="00AB5D66"/>
    <w:rsid w:val="00AD7E44"/>
    <w:rsid w:val="00AE334E"/>
    <w:rsid w:val="00AF50DE"/>
    <w:rsid w:val="00AF725F"/>
    <w:rsid w:val="00B05E01"/>
    <w:rsid w:val="00B11425"/>
    <w:rsid w:val="00B42222"/>
    <w:rsid w:val="00B52607"/>
    <w:rsid w:val="00B54E39"/>
    <w:rsid w:val="00B63357"/>
    <w:rsid w:val="00B636BE"/>
    <w:rsid w:val="00B66E4A"/>
    <w:rsid w:val="00B73CE2"/>
    <w:rsid w:val="00B75407"/>
    <w:rsid w:val="00B835E6"/>
    <w:rsid w:val="00BA432F"/>
    <w:rsid w:val="00BA73D7"/>
    <w:rsid w:val="00BC3F83"/>
    <w:rsid w:val="00BD7E79"/>
    <w:rsid w:val="00BF62F3"/>
    <w:rsid w:val="00C05D55"/>
    <w:rsid w:val="00C07AA0"/>
    <w:rsid w:val="00C34520"/>
    <w:rsid w:val="00C3515A"/>
    <w:rsid w:val="00C54CFF"/>
    <w:rsid w:val="00C62AF5"/>
    <w:rsid w:val="00C75764"/>
    <w:rsid w:val="00CB6AEC"/>
    <w:rsid w:val="00CB6D08"/>
    <w:rsid w:val="00CC5B91"/>
    <w:rsid w:val="00CE43DC"/>
    <w:rsid w:val="00CE7A3B"/>
    <w:rsid w:val="00CE7A9A"/>
    <w:rsid w:val="00CF1066"/>
    <w:rsid w:val="00D1016B"/>
    <w:rsid w:val="00D133BB"/>
    <w:rsid w:val="00D313D0"/>
    <w:rsid w:val="00D5506D"/>
    <w:rsid w:val="00D608D6"/>
    <w:rsid w:val="00D73A42"/>
    <w:rsid w:val="00D76660"/>
    <w:rsid w:val="00D83AAA"/>
    <w:rsid w:val="00DA3846"/>
    <w:rsid w:val="00DB7D69"/>
    <w:rsid w:val="00DC3814"/>
    <w:rsid w:val="00DD287E"/>
    <w:rsid w:val="00DD6EFE"/>
    <w:rsid w:val="00DE2276"/>
    <w:rsid w:val="00DE44DA"/>
    <w:rsid w:val="00DF2B5B"/>
    <w:rsid w:val="00E0128C"/>
    <w:rsid w:val="00E05223"/>
    <w:rsid w:val="00E05359"/>
    <w:rsid w:val="00E22B17"/>
    <w:rsid w:val="00E348FC"/>
    <w:rsid w:val="00E526EB"/>
    <w:rsid w:val="00E54172"/>
    <w:rsid w:val="00E541EA"/>
    <w:rsid w:val="00E55AD1"/>
    <w:rsid w:val="00E61F18"/>
    <w:rsid w:val="00E63958"/>
    <w:rsid w:val="00E67068"/>
    <w:rsid w:val="00E72A03"/>
    <w:rsid w:val="00E76757"/>
    <w:rsid w:val="00E86310"/>
    <w:rsid w:val="00E94D23"/>
    <w:rsid w:val="00EA459A"/>
    <w:rsid w:val="00EB33AB"/>
    <w:rsid w:val="00ED219A"/>
    <w:rsid w:val="00ED732F"/>
    <w:rsid w:val="00EF1210"/>
    <w:rsid w:val="00EF1230"/>
    <w:rsid w:val="00EF1507"/>
    <w:rsid w:val="00EF15A8"/>
    <w:rsid w:val="00EF20E8"/>
    <w:rsid w:val="00EF2F04"/>
    <w:rsid w:val="00F10896"/>
    <w:rsid w:val="00F24415"/>
    <w:rsid w:val="00F302D2"/>
    <w:rsid w:val="00F31E86"/>
    <w:rsid w:val="00F45AA7"/>
    <w:rsid w:val="00F657B0"/>
    <w:rsid w:val="00F66FAB"/>
    <w:rsid w:val="00F75B81"/>
    <w:rsid w:val="00F838A4"/>
    <w:rsid w:val="00F87C57"/>
    <w:rsid w:val="00F9235F"/>
    <w:rsid w:val="00FA08AD"/>
    <w:rsid w:val="00FA2072"/>
    <w:rsid w:val="00FA7A81"/>
    <w:rsid w:val="00FB3883"/>
    <w:rsid w:val="00FC2101"/>
    <w:rsid w:val="00FD1F99"/>
    <w:rsid w:val="00FD7129"/>
    <w:rsid w:val="00FE606B"/>
    <w:rsid w:val="00FE7BA4"/>
    <w:rsid w:val="03C5D0DD"/>
    <w:rsid w:val="0932EDE7"/>
    <w:rsid w:val="540B4CC1"/>
    <w:rsid w:val="58AD4D22"/>
    <w:rsid w:val="718E823D"/>
    <w:rsid w:val="723DC372"/>
    <w:rsid w:val="7C2161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A6D68"/>
  <w15:chartTrackingRefBased/>
  <w15:docId w15:val="{0CC0F946-ED83-401B-BF29-469986BF2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276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76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276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276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76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76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76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76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76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76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76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276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2761A"/>
    <w:rPr>
      <w:rFonts w:cstheme="majorBidi"/>
      <w:color w:val="0F4761" w:themeColor="accent1" w:themeShade="BF"/>
      <w:sz w:val="28"/>
      <w:szCs w:val="28"/>
    </w:rPr>
  </w:style>
  <w:style w:type="character" w:customStyle="1" w:styleId="50">
    <w:name w:val="标题 5 字符"/>
    <w:basedOn w:val="a0"/>
    <w:link w:val="5"/>
    <w:uiPriority w:val="9"/>
    <w:semiHidden/>
    <w:rsid w:val="0092761A"/>
    <w:rPr>
      <w:rFonts w:cstheme="majorBidi"/>
      <w:color w:val="0F4761" w:themeColor="accent1" w:themeShade="BF"/>
      <w:sz w:val="24"/>
    </w:rPr>
  </w:style>
  <w:style w:type="character" w:customStyle="1" w:styleId="60">
    <w:name w:val="标题 6 字符"/>
    <w:basedOn w:val="a0"/>
    <w:link w:val="6"/>
    <w:uiPriority w:val="9"/>
    <w:semiHidden/>
    <w:rsid w:val="0092761A"/>
    <w:rPr>
      <w:rFonts w:cstheme="majorBidi"/>
      <w:b/>
      <w:bCs/>
      <w:color w:val="0F4761" w:themeColor="accent1" w:themeShade="BF"/>
    </w:rPr>
  </w:style>
  <w:style w:type="character" w:customStyle="1" w:styleId="70">
    <w:name w:val="标题 7 字符"/>
    <w:basedOn w:val="a0"/>
    <w:link w:val="7"/>
    <w:uiPriority w:val="9"/>
    <w:semiHidden/>
    <w:rsid w:val="0092761A"/>
    <w:rPr>
      <w:rFonts w:cstheme="majorBidi"/>
      <w:b/>
      <w:bCs/>
      <w:color w:val="595959" w:themeColor="text1" w:themeTint="A6"/>
    </w:rPr>
  </w:style>
  <w:style w:type="character" w:customStyle="1" w:styleId="80">
    <w:name w:val="标题 8 字符"/>
    <w:basedOn w:val="a0"/>
    <w:link w:val="8"/>
    <w:uiPriority w:val="9"/>
    <w:semiHidden/>
    <w:rsid w:val="0092761A"/>
    <w:rPr>
      <w:rFonts w:cstheme="majorBidi"/>
      <w:color w:val="595959" w:themeColor="text1" w:themeTint="A6"/>
    </w:rPr>
  </w:style>
  <w:style w:type="character" w:customStyle="1" w:styleId="90">
    <w:name w:val="标题 9 字符"/>
    <w:basedOn w:val="a0"/>
    <w:link w:val="9"/>
    <w:uiPriority w:val="9"/>
    <w:semiHidden/>
    <w:rsid w:val="0092761A"/>
    <w:rPr>
      <w:rFonts w:eastAsiaTheme="majorEastAsia" w:cstheme="majorBidi"/>
      <w:color w:val="595959" w:themeColor="text1" w:themeTint="A6"/>
    </w:rPr>
  </w:style>
  <w:style w:type="paragraph" w:styleId="a3">
    <w:name w:val="Title"/>
    <w:basedOn w:val="a"/>
    <w:next w:val="a"/>
    <w:link w:val="a4"/>
    <w:uiPriority w:val="10"/>
    <w:qFormat/>
    <w:rsid w:val="0092761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76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76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76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761A"/>
    <w:pPr>
      <w:spacing w:before="160"/>
      <w:jc w:val="center"/>
    </w:pPr>
    <w:rPr>
      <w:i/>
      <w:iCs/>
      <w:color w:val="404040" w:themeColor="text1" w:themeTint="BF"/>
    </w:rPr>
  </w:style>
  <w:style w:type="character" w:customStyle="1" w:styleId="a8">
    <w:name w:val="引用 字符"/>
    <w:basedOn w:val="a0"/>
    <w:link w:val="a7"/>
    <w:uiPriority w:val="29"/>
    <w:rsid w:val="0092761A"/>
    <w:rPr>
      <w:i/>
      <w:iCs/>
      <w:color w:val="404040" w:themeColor="text1" w:themeTint="BF"/>
    </w:rPr>
  </w:style>
  <w:style w:type="paragraph" w:styleId="a9">
    <w:name w:val="List Paragraph"/>
    <w:basedOn w:val="a"/>
    <w:uiPriority w:val="34"/>
    <w:qFormat/>
    <w:rsid w:val="0092761A"/>
    <w:pPr>
      <w:ind w:left="720"/>
      <w:contextualSpacing/>
    </w:pPr>
  </w:style>
  <w:style w:type="character" w:styleId="aa">
    <w:name w:val="Intense Emphasis"/>
    <w:basedOn w:val="a0"/>
    <w:uiPriority w:val="21"/>
    <w:qFormat/>
    <w:rsid w:val="0092761A"/>
    <w:rPr>
      <w:i/>
      <w:iCs/>
      <w:color w:val="0F4761" w:themeColor="accent1" w:themeShade="BF"/>
    </w:rPr>
  </w:style>
  <w:style w:type="paragraph" w:styleId="ab">
    <w:name w:val="Intense Quote"/>
    <w:basedOn w:val="a"/>
    <w:next w:val="a"/>
    <w:link w:val="ac"/>
    <w:uiPriority w:val="30"/>
    <w:qFormat/>
    <w:rsid w:val="00927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761A"/>
    <w:rPr>
      <w:i/>
      <w:iCs/>
      <w:color w:val="0F4761" w:themeColor="accent1" w:themeShade="BF"/>
    </w:rPr>
  </w:style>
  <w:style w:type="character" w:styleId="ad">
    <w:name w:val="Intense Reference"/>
    <w:basedOn w:val="a0"/>
    <w:uiPriority w:val="32"/>
    <w:qFormat/>
    <w:rsid w:val="0092761A"/>
    <w:rPr>
      <w:b/>
      <w:bCs/>
      <w:smallCaps/>
      <w:color w:val="0F4761" w:themeColor="accent1" w:themeShade="BF"/>
      <w:spacing w:val="5"/>
    </w:rPr>
  </w:style>
  <w:style w:type="paragraph" w:styleId="ae">
    <w:name w:val="header"/>
    <w:basedOn w:val="a"/>
    <w:link w:val="af"/>
    <w:uiPriority w:val="99"/>
    <w:unhideWhenUsed/>
    <w:rsid w:val="00DB7D69"/>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DB7D69"/>
    <w:rPr>
      <w:sz w:val="18"/>
      <w:szCs w:val="18"/>
    </w:rPr>
  </w:style>
  <w:style w:type="paragraph" w:styleId="af0">
    <w:name w:val="footer"/>
    <w:basedOn w:val="a"/>
    <w:link w:val="af1"/>
    <w:uiPriority w:val="99"/>
    <w:unhideWhenUsed/>
    <w:rsid w:val="00DB7D69"/>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DB7D69"/>
    <w:rPr>
      <w:sz w:val="18"/>
      <w:szCs w:val="18"/>
    </w:rPr>
  </w:style>
  <w:style w:type="character" w:styleId="af2">
    <w:name w:val="Hyperlink"/>
    <w:basedOn w:val="a0"/>
    <w:uiPriority w:val="99"/>
    <w:unhideWhenUsed/>
    <w:rsid w:val="00557D36"/>
    <w:rPr>
      <w:color w:val="467886" w:themeColor="hyperlink"/>
      <w:u w:val="single"/>
    </w:rPr>
  </w:style>
  <w:style w:type="character" w:styleId="af3">
    <w:name w:val="Unresolved Mention"/>
    <w:basedOn w:val="a0"/>
    <w:uiPriority w:val="99"/>
    <w:semiHidden/>
    <w:unhideWhenUsed/>
    <w:rsid w:val="00557D36"/>
    <w:rPr>
      <w:color w:val="605E5C"/>
      <w:shd w:val="clear" w:color="auto" w:fill="E1DFDD"/>
    </w:rPr>
  </w:style>
  <w:style w:type="paragraph" w:styleId="af4">
    <w:name w:val="Normal (Web)"/>
    <w:basedOn w:val="a"/>
    <w:uiPriority w:val="99"/>
    <w:semiHidden/>
    <w:unhideWhenUsed/>
    <w:rsid w:val="00290950"/>
    <w:rPr>
      <w:rFonts w:ascii="Times New Roman" w:hAnsi="Times New Roman" w:cs="Times New Roman"/>
      <w:sz w:val="24"/>
    </w:rPr>
  </w:style>
  <w:style w:type="character" w:styleId="af5">
    <w:name w:val="Strong"/>
    <w:basedOn w:val="a0"/>
    <w:uiPriority w:val="22"/>
    <w:qFormat/>
    <w:rsid w:val="006D19E3"/>
    <w:rPr>
      <w:b/>
      <w:bCs/>
    </w:rPr>
  </w:style>
  <w:style w:type="character" w:styleId="af6">
    <w:name w:val="Placeholder Text"/>
    <w:basedOn w:val="a0"/>
    <w:uiPriority w:val="99"/>
    <w:semiHidden/>
    <w:rsid w:val="00674E3A"/>
    <w:rPr>
      <w:color w:val="666666"/>
    </w:rPr>
  </w:style>
  <w:style w:type="character" w:customStyle="1" w:styleId="citation-481">
    <w:name w:val="citation-481"/>
    <w:basedOn w:val="a0"/>
    <w:rsid w:val="00587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hfa.gov/data/hpi/datasets?tab=quarterly-data"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hfa.gov/data/hpi/datasets"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F1B5DAEDDD6D346A9F2CF7AE639D1F3" ma:contentTypeVersion="5" ma:contentTypeDescription="Create a new document." ma:contentTypeScope="" ma:versionID="a9956b547b7cbd16501e534cbcef1767">
  <xsd:schema xmlns:xsd="http://www.w3.org/2001/XMLSchema" xmlns:xs="http://www.w3.org/2001/XMLSchema" xmlns:p="http://schemas.microsoft.com/office/2006/metadata/properties" xmlns:ns3="c2feeff3-74d9-4a8a-ae30-85827de69b8e" targetNamespace="http://schemas.microsoft.com/office/2006/metadata/properties" ma:root="true" ma:fieldsID="1a0bfff1b3e77dd5521cdfc177a62b0e" ns3:_="">
    <xsd:import namespace="c2feeff3-74d9-4a8a-ae30-85827de69b8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feeff3-74d9-4a8a-ae30-85827de69b8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D25CE3-039C-48C8-8081-B76666ACAAA0}">
  <ds:schemaRefs>
    <ds:schemaRef ds:uri="http://schemas.microsoft.com/sharepoint/v3/contenttype/forms"/>
  </ds:schemaRefs>
</ds:datastoreItem>
</file>

<file path=customXml/itemProps2.xml><?xml version="1.0" encoding="utf-8"?>
<ds:datastoreItem xmlns:ds="http://schemas.openxmlformats.org/officeDocument/2006/customXml" ds:itemID="{15C129DF-CE49-4FD8-AA99-A59569C1BD85}">
  <ds:schemaRefs>
    <ds:schemaRef ds:uri="http://schemas.openxmlformats.org/officeDocument/2006/bibliography"/>
  </ds:schemaRefs>
</ds:datastoreItem>
</file>

<file path=customXml/itemProps3.xml><?xml version="1.0" encoding="utf-8"?>
<ds:datastoreItem xmlns:ds="http://schemas.openxmlformats.org/officeDocument/2006/customXml" ds:itemID="{B42C4237-6691-4529-971D-C97F47910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feeff3-74d9-4a8a-ae30-85827de69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173A1D-121D-4EF8-9B6E-63C906AE4F2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7</Pages>
  <Words>1434</Words>
  <Characters>8180</Characters>
  <Application>Microsoft Office Word</Application>
  <DocSecurity>0</DocSecurity>
  <Lines>68</Lines>
  <Paragraphs>19</Paragraphs>
  <ScaleCrop>false</ScaleCrop>
  <Company/>
  <LinksUpToDate>false</LinksUpToDate>
  <CharactersWithSpaces>9595</CharactersWithSpaces>
  <SharedDoc>false</SharedDoc>
  <HLinks>
    <vt:vector size="12" baseType="variant">
      <vt:variant>
        <vt:i4>5177369</vt:i4>
      </vt:variant>
      <vt:variant>
        <vt:i4>3</vt:i4>
      </vt:variant>
      <vt:variant>
        <vt:i4>0</vt:i4>
      </vt:variant>
      <vt:variant>
        <vt:i4>5</vt:i4>
      </vt:variant>
      <vt:variant>
        <vt:lpwstr>https://www.fhfa.gov/data/hpi/datasets?tab=quarterly-data</vt:lpwstr>
      </vt:variant>
      <vt:variant>
        <vt:lpwstr/>
      </vt:variant>
      <vt:variant>
        <vt:i4>2490424</vt:i4>
      </vt:variant>
      <vt:variant>
        <vt:i4>0</vt:i4>
      </vt:variant>
      <vt:variant>
        <vt:i4>0</vt:i4>
      </vt:variant>
      <vt:variant>
        <vt:i4>5</vt:i4>
      </vt:variant>
      <vt:variant>
        <vt:lpwstr>https://www.fhfa.gov/data/hpi/datasets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Wenrong</dc:creator>
  <cp:keywords/>
  <dc:description/>
  <cp:lastModifiedBy>Dennis Sun</cp:lastModifiedBy>
  <cp:revision>102</cp:revision>
  <dcterms:created xsi:type="dcterms:W3CDTF">2025-11-24T20:20:00Z</dcterms:created>
  <dcterms:modified xsi:type="dcterms:W3CDTF">2025-11-28T07:09:00Z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0x0101009F1B5DAEDDD6D346A9F2CF7AE639D1F3</vt:lpwstr>
  </property>
</Properties>
</file>