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4E79"/>
          <w:sz w:val="48"/>
        </w:rPr>
        <w:t>보(Beam) 설계검토 웹 수식 엔진</w:t>
      </w:r>
    </w:p>
    <w:p>
      <w:pPr>
        <w:jc w:val="center"/>
      </w:pPr>
      <w:r>
        <w:rPr>
          <w:rFonts w:ascii="맑은 고딕" w:hAnsi="맑은 고딕" w:eastAsia="맑은 고딕" w:cs="맑은 고딕"/>
          <w:color w:val="555555"/>
          <w:sz w:val="24"/>
        </w:rPr>
        <w:t>QuickRebar NX API — 브라우저 내 φMn / φVn 산정 및 OK/NG 판정 기술 문서</w:t>
      </w:r>
    </w:p>
    <w:p>
      <w:pPr>
        <w:jc w:val="center"/>
      </w:pPr>
      <w:r>
        <w:rPr>
          <w:rFonts w:ascii="맑은 고딕" w:hAnsi="맑은 고딕" w:eastAsia="맑은 고딕" w:cs="맑은 고딕"/>
          <w:color w:val="555555"/>
          <w:sz w:val="19"/>
        </w:rPr>
        <w:t>작성일 2026-07-25 · 대상 모듈 rcBeamCheck.ts · beamBoard.ts · rcCodePresets.ts</w:t>
      </w:r>
    </w:p>
    <w:p/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1. 배경과 설계 의도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21"/>
        </w:rPr>
        <w:t>QuickRebar NX API는 MIDAS Gen NX에서 실행 중인 구조 모델의 철근(배근) 데이터를 웹에서 직접 편집·저장하는 도구다. 사용자가 보의 주근/스터럽을 바꿀 때, 그 변경이 구조적으로 안전한지(OK) 아닌지(NG)를 즉시 알려주기 위해 브라우저 안에서 휨·전단 강도를 실시간으로 계산하는 검토 엔진을 구현했다.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i w:val="0"/>
          <w:sz w:val="21"/>
        </w:rPr>
        <w:t>이 방식을 택한 핵심 이유는 세 가지다.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즉시성 — </w:t>
      </w:r>
      <w:r>
        <w:rPr>
          <w:rFonts w:ascii="맑은 고딕" w:hAnsi="맑은 고딕" w:eastAsia="맑은 고딕" w:cs="맑은 고딕"/>
          <w:sz w:val="21"/>
        </w:rPr>
        <w:t>사용자가 배근을 바꾸는 즉시(저장 전에도) 결과가 갱신되어야 한다. 매 편집마다 Gen NX에 재해석을 요청하면 느리고, 저장 전 값은 아예 반영되지도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안정성 — </w:t>
      </w:r>
      <w:r>
        <w:rPr>
          <w:rFonts w:ascii="맑은 고딕" w:hAnsi="맑은 고딕" w:eastAsia="맑은 고딕" w:cs="맑은 고딕"/>
          <w:sz w:val="21"/>
        </w:rPr>
        <w:t>당시 Gen NX의 설계검토 수행 API(*-ANAL 계열)는 데스크톱 앱을 재현적으로 멈추게/크래시시키는 것으로 확인되어 호출을 회피해야 했다.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검증가능성 — </w:t>
      </w:r>
      <w:r>
        <w:rPr>
          <w:rFonts w:ascii="맑은 고딕" w:hAnsi="맑은 고딕" w:eastAsia="맑은 고딕" w:cs="맑은 고딕"/>
          <w:sz w:val="21"/>
        </w:rPr>
        <w:t>OK/NG의 근거 수식이 코드 원문(1차 출처)으로 검증 가능해야 하고, 결과가 손 안에서 투명하게 재현되어야 한다.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2. 적용 범위 (설계기준)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21"/>
        </w:rPr>
        <w:t>휨·전단 계수(φ, β1, η, Vc 계수)는 '코드 원문과 1:1로 대조 검증된' 설계기준에만 연결했다. 유사성(예: ACI를 닮았다)만으로 계수를 붙이지 않았다. 현재 검증·연결된 설계기준은 두 개다.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설계기준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국가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수식 계열(rcCheckFamily)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1차 출처</w:t>
            </w:r>
          </w:p>
        </w:tc>
      </w:tr>
      <w:tr>
        <w:tc>
          <w:tcPr>
            <w:tcW w:type="dxa" w:w="198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KDS 41 20 : 2022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대한민국</w:t>
            </w:r>
          </w:p>
        </w:tc>
        <w:tc>
          <w:tcPr>
            <w:tcW w:type="dxa" w:w="215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KDS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KDS 14 20 10 / 14 20 20 / 14 20 22 (국가건설기준센터)</w:t>
            </w:r>
          </w:p>
        </w:tc>
      </w:tr>
      <w:tr>
        <w:tc>
          <w:tcPr>
            <w:tcW w:type="dxa" w:w="198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TWN-USD112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대만</w:t>
            </w:r>
          </w:p>
        </w:tc>
        <w:tc>
          <w:tcPr>
            <w:tcW w:type="dxa" w:w="215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TWN_ACI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混凝土結構設計規範 (112년판) 22장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color w:val="555555"/>
          <w:sz w:val="19"/>
        </w:rPr>
        <w:t>설계기준별 계수 세트의 유일한 출처는 rcCodePresets.ts의 DESIGN_CODES[code].rcCheckFamily 필드다. rcBeamCheck.ts는 이 값을 그대로 읽어 계수를 고르므로, 검증되지 않은 설계기준에는 계수가 실수로 붙지 않는다(그 경우 검토 패널은 판정을 내리지 않는다).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3. 입력 데이터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47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기호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의미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b, h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단면 폭·춤 (mm)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/db/SECT (SB형 vSIZE=[H,B]) → mm 환산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dt, db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상·하부 피복 (mm)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REBB 항목의 DT/DB → mm 환산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As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인장철근 단면적 (mm²)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주근 규격·개수 → π/4·d²·n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fck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콘크리트 설계강도 (MPa)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재료/사용자 입력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fy, fyt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주근·스터럽 항복강도 (MPa)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재료/사용자 입력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Mu±, Vu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계수휨·전단 수요 (kN·m, kN)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Gen NX BC-TABLE(요소별) 또는 수동 입력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color w:val="555555"/>
          <w:sz w:val="19"/>
        </w:rPr>
        <w:t>길이는 보 보드 전 구간에서 mm로 통일해 다룬다(모델 활성단위 ↔ mm 변환은 로드/세이브 경계에서만 수행). 수요값 Mu/Vu만 Gen NX의 이미 계산된 설계결과(BC-TABLE)에서 읽거나 사용자가 직접 입력한다 — 즉 '강도(용량)'는 브라우저가, '수요'는 Gen NX가 담당한다.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4. 휨강도 φMn 산정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i w:val="0"/>
          <w:sz w:val="21"/>
        </w:rPr>
        <w:t>단철근 직사각형 단면 + 등가직사각형 응력블록(Whitney) 가정. 압축철근 기여는 무시한다(보수적 단순화). 절차는 다음과 같다.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i w:val="0"/>
          <w:sz w:val="21"/>
        </w:rPr>
        <w:t>① 등가응력블록 깊이 a, 중립축 c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a = As·fy / (0.85 · η · fck · b)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c = a / β1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19"/>
        </w:rPr>
        <w:t>KDS는 η(에타)·β1을 KDS 14 20 20 표 4.1-2에서 취하고 40MPa 초과 구간은 표 점 사이를 선형보간한다. TWN_ACI는 η=1, β1은 ACI 318-19와 동일한 표(대만 112년판 22.2.2.4.3)를 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fck (MPa)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≤40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60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70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80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90</w:t>
            </w:r>
          </w:p>
        </w:tc>
      </w:tr>
      <w:tr>
        <w:tc>
          <w:tcPr>
            <w:tcW w:type="dxa" w:w="181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η (KDS)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1.00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0.97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0.95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0.91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0.87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0.84</w:t>
            </w:r>
          </w:p>
        </w:tc>
      </w:tr>
      <w:tr>
        <w:tc>
          <w:tcPr>
            <w:tcW w:type="dxa" w:w="181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β1 (KDS)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0.80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0.80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0.76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0.74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0.72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0.70</w:t>
            </w:r>
          </w:p>
        </w:tc>
      </w:tr>
    </w:tbl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TWN/ACI:  β1 = 0.85 (fck≤28),  0.65 (fck≥56),  그 사이 0.85 − 0.05·(fck−28)/7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i w:val="0"/>
          <w:sz w:val="21"/>
        </w:rPr>
        <w:t>② 인장변형률 εt 와 강도감소계수 φ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εt = 0.003 · (d − c) / c ,   εty = fy / Es ,   Es = 200,000 MPa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19"/>
        </w:rPr>
        <w:t>변형률 영역(zone)에 따라 φ를 정한다. 인장지배·압축지배·천이 구간의 규정이 두 계열에서 다르다.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구간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KDS 14 20 10 4.2.3</w:t>
            </w:r>
          </w:p>
        </w:tc>
        <w:tc>
          <w:tcPr>
            <w:tcW w:type="dxa" w:w="3572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TWN/ACI Table 21.2.2</w:t>
            </w:r>
          </w:p>
        </w:tc>
      </w:tr>
      <w:tr>
        <w:tc>
          <w:tcPr>
            <w:tcW w:type="dxa" w:w="141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인장지배</w:t>
            </w:r>
          </w:p>
        </w:tc>
        <w:tc>
          <w:tcPr>
            <w:tcW w:type="dxa" w:w="3515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εt ≥ 0.005 → φ = 0.85</w:t>
            </w:r>
          </w:p>
        </w:tc>
        <w:tc>
          <w:tcPr>
            <w:tcW w:type="dxa" w:w="357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εt ≥ εty+0.003 → φ = 0.90</w:t>
            </w:r>
          </w:p>
        </w:tc>
      </w:tr>
      <w:tr>
        <w:tc>
          <w:tcPr>
            <w:tcW w:type="dxa" w:w="141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압축지배</w:t>
            </w:r>
          </w:p>
        </w:tc>
        <w:tc>
          <w:tcPr>
            <w:tcW w:type="dxa" w:w="3515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εt ≤ εty → φ = 0.65</w:t>
            </w:r>
          </w:p>
        </w:tc>
        <w:tc>
          <w:tcPr>
            <w:tcW w:type="dxa" w:w="357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εt ≤ εty → φ = 0.65</w:t>
            </w:r>
          </w:p>
        </w:tc>
      </w:tr>
      <w:tr>
        <w:tc>
          <w:tcPr>
            <w:tcW w:type="dxa" w:w="1417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천이</w:t>
            </w:r>
          </w:p>
        </w:tc>
        <w:tc>
          <w:tcPr>
            <w:tcW w:type="dxa" w:w="3515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0.65~0.85 선형 (εty→0.005)</w:t>
            </w:r>
          </w:p>
        </w:tc>
        <w:tc>
          <w:tcPr>
            <w:tcW w:type="dxa" w:w="3572"/>
          </w:tcPr>
          <w:p>
            <w:r>
              <w:rPr>
                <w:rFonts w:ascii="맑은 고딕" w:hAnsi="맑은 고딕" w:eastAsia="맑은 고딕" w:cs="맑은 고딕"/>
                <w:sz w:val="19"/>
              </w:rPr>
              <w:t>0.65~0.90 선형 (εty→εty+0.003)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 w:cs="맑은 고딕"/>
          <w:b/>
          <w:i w:val="0"/>
          <w:sz w:val="21"/>
        </w:rPr>
        <w:t>③ 공칭·설계 휨강도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Mn = As·fy·(d − a/2) ,   φMn = φ · Mn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color w:val="555555"/>
          <w:sz w:val="19"/>
        </w:rPr>
        <w:t>상부근은 부(−, 하강)모멘트를, 하부근은 정(+, 상승)모멘트를 부담하므로 유효깊이는 각각 d_neg = h − dt, d_pos = h − db로 따로 계산한다. a ≥ 2d(모멘트 팔이 0 이하 = 과다철근으로 물리적으로 무의미)면 '유효 강도 없음(null)'으로 처리해 음수 Mn을 내지 않는다.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5. 전단강도 φVn 산정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Vc = coeff · λ · √fck · bw · d      (KDS: coeff = 1/6,  TWN 112: coeff = 0.17)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Vs = Av · fyt · d / s     (스터럽 규격·다리수·간격으로 산정, 없으면 0)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Vn = Vc + Vs ,   φVn = 0.75 · Vn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color w:val="555555"/>
          <w:sz w:val="19"/>
        </w:rPr>
        <w:t>KDS 14 20 22 식(4.2-1)의 1/6(≈0.167)과 대만 112년판 22.5.5.1(a)의 0.17은 사실상 같은 계수지만, 공유를 가정하지 않고 각 코드에서 독립적으로 확인해 계열별로 분리했다. 전단 강도감소계수 φ는 두 계열 모두 0.75.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21"/>
        </w:rPr>
        <w:t>보조식: 철근 단면적  As(1개) = (π/4)·d²  (d = 공칭지름 mm).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6. OK / NG 판정 로직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i w:val="0"/>
          <w:sz w:val="21"/>
        </w:rPr>
        <w:t>한 단면(section)은 세 위치(I=단부, M=중앙, J=단부)의 설계점을 갖는다. 판정은 다음과 같다.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지배 강도 — </w:t>
      </w:r>
      <w:r>
        <w:rPr>
          <w:rFonts w:ascii="맑은 고딕" w:hAnsi="맑은 고딕" w:eastAsia="맑은 고딕" w:cs="맑은 고딕"/>
          <w:sz w:val="21"/>
        </w:rPr>
        <w:t>각 위치에서 φMn(상/하부)·φVn을 산정하고, 단면의 '지배(governing) 강도'는 세 위치 중 최소값으로 잡는다.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최대 비 — </w:t>
      </w:r>
      <w:r>
        <w:rPr>
          <w:rFonts w:ascii="맑은 고딕" w:hAnsi="맑은 고딕" w:eastAsia="맑은 고딕" w:cs="맑은 고딕"/>
          <w:sz w:val="21"/>
        </w:rPr>
        <w:t>수요/강도 비를 위치·작용별로 구해 최댓값을 취한다. 휨비는 부모멘트(상부근 대 Mu−)와 정모멘트(하부근 대 Mu+)를 함께 접고, 전단비는 Vu/φVn.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ratio_flex = max( Mu⁻/φMn_neg , Mu⁺/φMn_pos )   (전 위치)</w:t>
      </w:r>
    </w:p>
    <w:p>
      <w:pPr>
        <w:spacing w:after="80"/>
        <w:ind w:left="454"/>
      </w:pPr>
      <w:r>
        <w:rPr>
          <w:rFonts w:ascii="Consolas" w:hAnsi="Consolas" w:eastAsia="Consolas" w:cs="Consolas"/>
          <w:color w:val="000000"/>
          <w:sz w:val="21"/>
        </w:rPr>
        <w:t>ratio_shear = max( Vu / φVn )                    (전 위치)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판정 — </w:t>
      </w:r>
      <w:r>
        <w:rPr>
          <w:rFonts w:ascii="맑은 고딕" w:hAnsi="맑은 고딕" w:eastAsia="맑은 고딕" w:cs="맑은 고딕"/>
          <w:sz w:val="21"/>
        </w:rPr>
        <w:t>휨비·전단비가 모두 1 이하이면 OK, 하나라도 1을 초과하면 NG.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수요 없음 — </w:t>
      </w:r>
      <w:r>
        <w:rPr>
          <w:rFonts w:ascii="맑은 고딕" w:hAnsi="맑은 고딕" w:eastAsia="맑은 고딕" w:cs="맑은 고딕"/>
          <w:sz w:val="21"/>
        </w:rPr>
        <w:t>수요값(Mu/Vu)이 아직 없으면 판정을 내리지 않고(verdict 보류) 강도만 표시한다 — 수요 부재를 'OK'로 오해시키지 않기 위함.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7. 구현과 실행 방식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순수함수 — </w:t>
      </w:r>
      <w:r>
        <w:rPr>
          <w:rFonts w:ascii="맑은 고딕" w:hAnsi="맑은 고딕" w:eastAsia="맑은 고딕" w:cs="맑은 고딕"/>
          <w:sz w:val="21"/>
        </w:rPr>
        <w:t>모든 수식은 부수효과 없는 TypeScript 순수함수로 구현: flexuralCapacity(), shearCapacity(), barArea_mm2() (rcBeamCheck.ts).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실시간 — </w:t>
      </w:r>
      <w:r>
        <w:rPr>
          <w:rFonts w:ascii="맑은 고딕" w:hAnsi="맑은 고딕" w:eastAsia="맑은 고딕" w:cs="맑은 고딕"/>
          <w:sz w:val="21"/>
        </w:rPr>
        <w:t>보 보드는 judgeSection()으로 전 단면을 한 번에 돌려 단면별 OK/NG 뱃지를 표로 보여준다 (beamBoard.ts). 사용자가 배근을 편집하면 즉시 재계산된다.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데이터 주도 — </w:t>
      </w:r>
      <w:r>
        <w:rPr>
          <w:rFonts w:ascii="맑은 고딕" w:hAnsi="맑은 고딕" w:eastAsia="맑은 고딕" w:cs="맑은 고딕"/>
          <w:sz w:val="21"/>
        </w:rPr>
        <w:t>계수 계열(KDS/TWN_ACI)은 설계기준 데이터(rcCodePresets.ts)로 결정 — 라벨 하나 고치면 검토 패널이 자동으로 따라온다(문자열 중복 desync 방지).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  <w:sz w:val="21"/>
        </w:rPr>
        <w:t xml:space="preserve">단위테스트 — </w:t>
      </w:r>
      <w:r>
        <w:rPr>
          <w:rFonts w:ascii="맑은 고딕" w:hAnsi="맑은 고딕" w:eastAsia="맑은 고딕" w:cs="맑은 고딕"/>
          <w:sz w:val="21"/>
        </w:rPr>
        <w:t>핵심 수치는 vitest 단위테스트로 고정: barArea(25)≈490.87mm², KDS vs TWN의 Vc 계수, φ=0.85(KDS 인장)/0.90(TWN), 과다철근 → null 등.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8. 한계와 단순화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i w:val="0"/>
          <w:sz w:val="21"/>
        </w:rPr>
        <w:t>이 웹 수식 엔진은 '배근 편집의 즉각적 적정성 감(感)'을 주는 것이 목적이며, Gen NX의 정식 설계검토를 대체하지 않는다. 의도적으로 다루지 않는 항목:</w:t>
      </w:r>
    </w:p>
    <w:p>
      <w:pPr>
        <w:pStyle w:val="ListBullet"/>
      </w:pPr>
      <w:r>
        <w:rPr>
          <w:rFonts w:ascii="맑은 고딕" w:hAnsi="맑은 고딕" w:eastAsia="맑은 고딕" w:cs="맑은 고딕"/>
          <w:sz w:val="21"/>
        </w:rPr>
        <w:t>검증된 두 설계기준(KDS 41 20:2022, TWN-USD112) 외에는 판정하지 않음.</w:t>
      </w:r>
    </w:p>
    <w:p>
      <w:pPr>
        <w:pStyle w:val="ListBullet"/>
      </w:pPr>
      <w:r>
        <w:rPr>
          <w:rFonts w:ascii="맑은 고딕" w:hAnsi="맑은 고딕" w:eastAsia="맑은 고딕" w:cs="맑은 고딕"/>
          <w:sz w:val="21"/>
        </w:rPr>
        <w:t>단철근 가정 — 압축철근 기여, 복철근 상호작용 미반영.</w:t>
      </w:r>
    </w:p>
    <w:p>
      <w:pPr>
        <w:pStyle w:val="ListBullet"/>
      </w:pPr>
      <w:r>
        <w:rPr>
          <w:rFonts w:ascii="맑은 고딕" w:hAnsi="맑은 고딕" w:eastAsia="맑은 고딕" w:cs="맑은 고딕"/>
          <w:sz w:val="21"/>
        </w:rPr>
        <w:t>보에 국한 — 축력(P-M 상호작용), 비틀림, 처짐·사용성, 배근 상세규정(최소/최대 철근비·간격 등)은 미포함. 이는 Gen NX 설계검토의 영역.</w:t>
      </w:r>
    </w:p>
    <w:p>
      <w:pPr>
        <w:pStyle w:val="ListBullet"/>
      </w:pPr>
      <w:r>
        <w:rPr>
          <w:rFonts w:ascii="맑은 고딕" w:hAnsi="맑은 고딕" w:eastAsia="맑은 고딕" w:cs="맑은 고딕"/>
          <w:sz w:val="21"/>
        </w:rPr>
        <w:t>수요(Mu/Vu)는 여전히 Gen NX(BC-TABLE) 또는 수동 입력에 의존.</w:t>
      </w:r>
    </w:p>
    <w:p>
      <w:pPr>
        <w:spacing w:before="280" w:after="120"/>
      </w:pPr>
      <w:r>
        <w:rPr>
          <w:rFonts w:ascii="맑은 고딕" w:hAnsi="맑은 고딕" w:eastAsia="맑은 고딕" w:cs="맑은 고딕"/>
          <w:b/>
          <w:color w:val="1F4E79"/>
          <w:sz w:val="34"/>
        </w:rPr>
        <w:t>9. 향후 방향 — Gen NX 실시간 검토로 전환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21"/>
        </w:rPr>
        <w:t>2026-07-25 라이브 재검증에서, 회피 대상이던 설계검토 수행 API(*-ANAL)가 현재 Gen NX 빌드에서는 더 이상 멈추지 않음을 확인했다(CC-ANAL/BC-ANAL 포함 4/4 정상, 앱 연결 유지). 이에 따라 보의 판정을 '브라우저 수식'에서 'Gen NX와 실시간 통신(설계검토 수행 후 BC-TABLE 결과 읽기)'으로 전환할 수 있게 되었다.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i w:val="0"/>
          <w:sz w:val="21"/>
        </w:rPr>
        <w:t>Gen NX 결과를 직접 쓰면 위 8절의 한계(설계기준 제한, 복철근, 축력·비틀림·상세규정)가 대부분 해소되고, 동일 방식으로 기둥(CC-TABLE)·벽체(WC-TABLE)까지 확장할 수 있다. 다만 RC 배근/검토 API는 현재 KDS-41-20-2022 네임스페이스에서만 확인되어, 다른 활성 설계코드 모델에서는 동작하지 않을 수 있다 — 그 경우 안전한 대체 흐름(기존 웹 수식 또는 안내 메시지)이 필요하다.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