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 w:cs="맑은 고딕"/>
          <w:b/>
          <w:color w:val="1F4E79"/>
          <w:sz w:val="48"/>
        </w:rPr>
        <w:t xml:space="preserve">보(Beam) 설계검토 웹 수식 엔진</w:t>
      </w:r>
    </w:p>
    <w:p>
      <w:pPr>
        <w:jc w:val="center"/>
      </w:pPr>
      <w:r>
        <w:rPr>
          <w:rFonts w:ascii="맑은 고딕" w:hAnsi="맑은 고딕" w:eastAsia="맑은 고딕" w:cs="맑은 고딕"/>
          <w:color w:val="555555"/>
          <w:sz w:val="24"/>
        </w:rPr>
        <w:t xml:space="preserve">QuickRebar NX API — 브라우저 내 φMn / φVn 산정, KDS 배근 상세 경고, OK/NG 판정 기술 문서</w:t>
      </w:r>
    </w:p>
    <w:p>
      <w:pPr>
        <w:jc w:val="center"/>
      </w:pPr>
      <w:r>
        <w:rPr>
          <w:rFonts w:ascii="맑은 고딕" w:hAnsi="맑은 고딕" w:eastAsia="맑은 고딕" w:cs="맑은 고딕"/>
          <w:color w:val="555555"/>
          <w:sz w:val="19"/>
        </w:rPr>
        <w:t xml:space="preserve">작성 2026-07-25 · 개정 2026-10-12 (GB/T 50010 수식, KDS 배근 상세 경고, Gen NX 판정 우선 구조 반영) · 대상 모듈 rcBeamCheck.ts · beamBoard.ts · kdsDetailing.ts · rcCodePresets.ts</w:t>
      </w:r>
    </w:p>
    <w:p/>
    <w:p>
      <w:pPr>
        <w:spacing w:before="280" w:after="120"/>
      </w:pPr>
      <w:r>
        <w:rPr>
          <w:rFonts w:ascii="맑은 고딕" w:hAnsi="맑은 고딕" w:eastAsia="맑은 고딕" w:cs="맑은 고딕"/>
          <w:b/>
          <w:color w:val="1F4E79"/>
          <w:sz w:val="34"/>
        </w:rPr>
        <w:t xml:space="preserve">1. 배경과 설계 의도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i w:val="0"/>
          <w:sz w:val="21"/>
        </w:rPr>
        <w:t xml:space="preserve">QuickRebar NX API는 MIDAS Gen NX에서 실행 중인 구조 모델의 철근(배근) 데이터를 웹에서 직접 편집·저장하는 도구다. 사용자가 보의 주근/스터럽을 바꿀 때, 그 변경이 구조적으로 안전한지(OK) 아닌지(NG)를 즉시 알려주기 위해 브라우저 안에서 휨·전단 강도를 실시간으로 계산하는 검토 엔진을 구현했다.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i w:val="0"/>
          <w:sz w:val="21"/>
        </w:rPr>
        <w:t xml:space="preserve">2026-10 현재 OK/NG의 1순위는 Gen NX 자체 설계검토(*-ANAL 수행 후 BC-TABLE 읽기)다. 이 엔진은 Gen NX 결과가 아직 없을 때와, 저장 전 편집 중이라 마지막 Gen NX 결과가 낡았을 때 '예상' 판정을 내는 역할을 맡는다(8절).</w:t>
      </w:r>
    </w:p>
    <w:p>
      <w:pPr>
        <w:spacing w:after="40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이 방식을 택한 핵심 이유는 세 가지다.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sz w:val="21"/>
        </w:rPr>
        <w:t xml:space="preserve">즉시성 — </w:t>
      </w:r>
      <w:r>
        <w:rPr>
          <w:rFonts w:ascii="맑은 고딕" w:hAnsi="맑은 고딕" w:eastAsia="맑은 고딕" w:cs="맑은 고딕"/>
          <w:sz w:val="21"/>
        </w:rPr>
        <w:t xml:space="preserve">사용자가 배근을 바꾸는 즉시(저장 전에도) 결과가 갱신되어야 한다. 매 편집마다 Gen NX에 재해석을 요청하면 느리고, 저장 전 값은 아예 반영되지도 않는다.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sz w:val="21"/>
        </w:rPr>
        <w:t xml:space="preserve">안정성 — </w:t>
      </w:r>
      <w:r>
        <w:rPr>
          <w:rFonts w:ascii="맑은 고딕" w:hAnsi="맑은 고딕" w:eastAsia="맑은 고딕" w:cs="맑은 고딕"/>
          <w:sz w:val="21"/>
        </w:rPr>
        <w:t xml:space="preserve">작성 당시 Gen NX의 설계검토 수행 API(*-ANAL 계열)는 데스크톱 앱을 재현적으로 멈추게 해 호출을 피해야 했다(2026-07-25 재검증으로 해소 — 11절).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sz w:val="21"/>
        </w:rPr>
        <w:t xml:space="preserve">검증가능성 — </w:t>
      </w:r>
      <w:r>
        <w:rPr>
          <w:rFonts w:ascii="맑은 고딕" w:hAnsi="맑은 고딕" w:eastAsia="맑은 고딕" w:cs="맑은 고딕"/>
          <w:sz w:val="21"/>
        </w:rPr>
        <w:t xml:space="preserve">OK/NG의 근거 수식이 코드 원문(1차 출처)으로 검증 가능해야 하고, 결과가 손 안에서 투명하게 재현되어야 한다.</w:t>
      </w:r>
    </w:p>
    <w:p>
      <w:pPr>
        <w:spacing w:before="280" w:after="120"/>
      </w:pPr>
      <w:r>
        <w:rPr>
          <w:rFonts w:ascii="맑은 고딕" w:hAnsi="맑은 고딕" w:eastAsia="맑은 고딕" w:cs="맑은 고딕"/>
          <w:b/>
          <w:color w:val="1F4E79"/>
          <w:sz w:val="34"/>
        </w:rPr>
        <w:t xml:space="preserve">2. 적용 범위 (설계기준)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i w:val="0"/>
          <w:sz w:val="21"/>
        </w:rPr>
        <w:t xml:space="preserve">휨·전단 계수는 '코드 원문과 1:1로 대조 검증된' 설계기준에만 연결했다. 유사성(예: ACI를 닮았다)만으로 계수를 붙이지 않았다. 현재 검증·연결된 설계기준은 세 개다.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 xml:space="preserve">설계기준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 xml:space="preserve">국가</w:t>
            </w:r>
          </w:p>
        </w:tc>
        <w:tc>
          <w:tcPr>
            <w:tcW w:type="dxa" w:w="2154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 xml:space="preserve">수식 계열(rcCheckFamily)</w:t>
            </w:r>
          </w:p>
        </w:tc>
        <w:tc>
          <w:tcPr>
            <w:tcW w:type="dxa" w:w="3402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 xml:space="preserve">1차 출처</w:t>
            </w:r>
          </w:p>
        </w:tc>
      </w:tr>
      <w:tr>
        <w:tc>
          <w:tcPr>
            <w:tcW w:type="dxa" w:w="1984"/>
          </w:tcPr>
          <w:p>
            <w:r>
              <w:rPr>
                <w:rFonts w:ascii="맑은 고딕" w:hAnsi="맑은 고딕" w:eastAsia="맑은 고딕" w:cs="맑은 고딕"/>
                <w:sz w:val="19"/>
              </w:rPr>
              <w:t xml:space="preserve">KDS 41 20 : 2022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 w:cs="맑은 고딕"/>
                <w:sz w:val="19"/>
              </w:rPr>
              <w:t xml:space="preserve">대한민국</w:t>
            </w:r>
          </w:p>
        </w:tc>
        <w:tc>
          <w:tcPr>
            <w:tcW w:type="dxa" w:w="2154"/>
          </w:tcPr>
          <w:p>
            <w:r>
              <w:rPr>
                <w:rFonts w:ascii="맑은 고딕" w:hAnsi="맑은 고딕" w:eastAsia="맑은 고딕" w:cs="맑은 고딕"/>
                <w:sz w:val="19"/>
              </w:rPr>
              <w:t xml:space="preserve">KDS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 w:eastAsia="맑은 고딕" w:cs="맑은 고딕"/>
                <w:sz w:val="19"/>
              </w:rPr>
              <w:t xml:space="preserve">KDS 14 20 10 / 14 20 20 / 14 20 22 (국가건설기준센터 KCSC 원문)</w:t>
            </w:r>
          </w:p>
        </w:tc>
      </w:tr>
      <w:tr>
        <w:tc>
          <w:tcPr>
            <w:tcW w:type="dxa" w:w="1984"/>
          </w:tcPr>
          <w:p>
            <w:r>
              <w:rPr>
                <w:rFonts w:ascii="맑은 고딕" w:hAnsi="맑은 고딕" w:eastAsia="맑은 고딕" w:cs="맑은 고딕"/>
                <w:sz w:val="19"/>
              </w:rPr>
              <w:t xml:space="preserve">TWN-USD112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 w:cs="맑은 고딕"/>
                <w:sz w:val="19"/>
              </w:rPr>
              <w:t xml:space="preserve">대만</w:t>
            </w:r>
          </w:p>
        </w:tc>
        <w:tc>
          <w:tcPr>
            <w:tcW w:type="dxa" w:w="2154"/>
          </w:tcPr>
          <w:p>
            <w:r>
              <w:rPr>
                <w:rFonts w:ascii="맑은 고딕" w:hAnsi="맑은 고딕" w:eastAsia="맑은 고딕" w:cs="맑은 고딕"/>
                <w:sz w:val="19"/>
              </w:rPr>
              <w:t xml:space="preserve">TWN_ACI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 w:eastAsia="맑은 고딕" w:cs="맑은 고딕"/>
                <w:sz w:val="19"/>
              </w:rPr>
              <w:t xml:space="preserve">混凝土結構設計規範 (112년판) 22장</w:t>
            </w:r>
          </w:p>
        </w:tc>
      </w:tr>
      <w:tr>
        <w:tc>
          <w:tcPr>
            <w:tcW w:type="dxa" w:w="1984"/>
          </w:tcPr>
          <w:p>
            <w:r>
              <w:rPr>
                <w:rFonts w:ascii="맑은 고딕" w:hAnsi="맑은 고딕" w:eastAsia="맑은 고딕" w:cs="맑은 고딕"/>
                <w:sz w:val="19"/>
              </w:rPr>
              <w:t xml:space="preserve">GB/T50010-10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 w:cs="맑은 고딕"/>
                <w:sz w:val="19"/>
              </w:rPr>
              <w:t xml:space="preserve">중국</w:t>
            </w:r>
          </w:p>
        </w:tc>
        <w:tc>
          <w:tcPr>
            <w:tcW w:type="dxa" w:w="2154"/>
          </w:tcPr>
          <w:p>
            <w:r>
              <w:rPr>
                <w:rFonts w:ascii="맑은 고딕" w:hAnsi="맑은 고딕" w:eastAsia="맑은 고딕" w:cs="맑은 고딕"/>
                <w:sz w:val="19"/>
              </w:rPr>
              <w:t xml:space="preserve">GB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 w:eastAsia="맑은 고딕" w:cs="맑은 고딕"/>
                <w:sz w:val="19"/>
              </w:rPr>
              <w:t xml:space="preserve">GB/T 50010-2010 (2024년판) 4.1.4 · 4.2.3 · 6.2 · 6.3</w:t>
            </w:r>
          </w:p>
        </w:tc>
      </w:tr>
    </w:tbl>
    <w:p>
      <w:pPr>
        <w:spacing w:after="120"/>
      </w:pPr>
      <w:r>
        <w:rPr>
          <w:rFonts w:ascii="맑은 고딕" w:hAnsi="맑은 고딕" w:eastAsia="맑은 고딕" w:cs="맑은 고딕"/>
          <w:b w:val="0"/>
          <w:i w:val="0"/>
          <w:color w:val="555555"/>
          <w:sz w:val="19"/>
        </w:rPr>
        <w:t xml:space="preserve">설계기준별 계수 세트의 유일한 출처는 rcCodePresets.ts의 DESIGN_CODES[code].rcCheckFamily 필드다. rcBeamCheck.ts는 이 값을 그대로 읽어 계수를 고르므로, 검증되지 않은 설계기준에는 계수가 실수로 붙지 않는다(그 경우 '예상' 판정을 내지 않는다).</w:t>
      </w:r>
    </w:p>
    <w:p>
      <w:pPr>
        <w:spacing w:before="280" w:after="120"/>
      </w:pPr>
      <w:r>
        <w:rPr>
          <w:rFonts w:ascii="맑은 고딕" w:hAnsi="맑은 고딕" w:eastAsia="맑은 고딕" w:cs="맑은 고딕"/>
          <w:b/>
          <w:color w:val="1F4E79"/>
          <w:sz w:val="34"/>
        </w:rPr>
        <w:t xml:space="preserve">3. 입력 데이터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47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 xml:space="preserve">기호</w:t>
            </w:r>
          </w:p>
        </w:tc>
        <w:tc>
          <w:tcPr>
            <w:tcW w:type="dxa" w:w="3402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 xml:space="preserve">의미</w:t>
            </w:r>
          </w:p>
        </w:tc>
        <w:tc>
          <w:tcPr>
            <w:tcW w:type="dxa" w:w="3969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 xml:space="preserve">출처</w:t>
            </w:r>
          </w:p>
        </w:tc>
      </w:tr>
      <w:tr>
        <w:tc>
          <w:tcPr>
            <w:tcW w:type="dxa" w:w="1247"/>
          </w:tcPr>
          <w:p>
            <w:r>
              <w:rPr>
                <w:rFonts w:ascii="맑은 고딕" w:hAnsi="맑은 고딕" w:eastAsia="맑은 고딕" w:cs="맑은 고딕"/>
                <w:sz w:val="19"/>
              </w:rPr>
              <w:t xml:space="preserve">b, h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 w:eastAsia="맑은 고딕" w:cs="맑은 고딕"/>
                <w:sz w:val="19"/>
              </w:rPr>
              <w:t xml:space="preserve">단면 폭·춤 (mm)</w:t>
            </w:r>
          </w:p>
        </w:tc>
        <w:tc>
          <w:tcPr>
            <w:tcW w:type="dxa" w:w="3969"/>
          </w:tcPr>
          <w:p>
            <w:r>
              <w:rPr>
                <w:rFonts w:ascii="맑은 고딕" w:hAnsi="맑은 고딕" w:eastAsia="맑은 고딕" w:cs="맑은 고딕"/>
                <w:sz w:val="19"/>
              </w:rPr>
              <w:t xml:space="preserve">/db/SECT (SB형 vSIZE=[H,B]) → mm 환산</w:t>
            </w:r>
          </w:p>
        </w:tc>
      </w:tr>
      <w:tr>
        <w:tc>
          <w:tcPr>
            <w:tcW w:type="dxa" w:w="1247"/>
          </w:tcPr>
          <w:p>
            <w:r>
              <w:rPr>
                <w:rFonts w:ascii="맑은 고딕" w:hAnsi="맑은 고딕" w:eastAsia="맑은 고딕" w:cs="맑은 고딕"/>
                <w:sz w:val="19"/>
              </w:rPr>
              <w:t xml:space="preserve">dt, db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 w:eastAsia="맑은 고딕" w:cs="맑은 고딕"/>
                <w:sz w:val="19"/>
              </w:rPr>
              <w:t xml:space="preserve">상·하부 피복 (mm)</w:t>
            </w:r>
          </w:p>
        </w:tc>
        <w:tc>
          <w:tcPr>
            <w:tcW w:type="dxa" w:w="3969"/>
          </w:tcPr>
          <w:p>
            <w:r>
              <w:rPr>
                <w:rFonts w:ascii="맑은 고딕" w:hAnsi="맑은 고딕" w:eastAsia="맑은 고딕" w:cs="맑은 고딕"/>
                <w:sz w:val="19"/>
              </w:rPr>
              <w:t xml:space="preserve">REBB 항목의 DT/DB → mm 환산</w:t>
            </w:r>
          </w:p>
        </w:tc>
      </w:tr>
      <w:tr>
        <w:tc>
          <w:tcPr>
            <w:tcW w:type="dxa" w:w="1247"/>
          </w:tcPr>
          <w:p>
            <w:r>
              <w:rPr>
                <w:rFonts w:ascii="맑은 고딕" w:hAnsi="맑은 고딕" w:eastAsia="맑은 고딕" w:cs="맑은 고딕"/>
                <w:sz w:val="19"/>
              </w:rPr>
              <w:t xml:space="preserve">As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 w:eastAsia="맑은 고딕" w:cs="맑은 고딕"/>
                <w:sz w:val="19"/>
              </w:rPr>
              <w:t xml:space="preserve">인장철근 단면적 (mm²)</w:t>
            </w:r>
          </w:p>
        </w:tc>
        <w:tc>
          <w:tcPr>
            <w:tcW w:type="dxa" w:w="3969"/>
          </w:tcPr>
          <w:p>
            <w:r>
              <w:rPr>
                <w:rFonts w:ascii="맑은 고딕" w:hAnsi="맑은 고딕" w:eastAsia="맑은 고딕" w:cs="맑은 고딕"/>
                <w:sz w:val="19"/>
              </w:rPr>
              <w:t xml:space="preserve">주근 규격·개수 → π/4·d²·n</w:t>
            </w:r>
          </w:p>
        </w:tc>
      </w:tr>
      <w:tr>
        <w:tc>
          <w:tcPr>
            <w:tcW w:type="dxa" w:w="1247"/>
          </w:tcPr>
          <w:p>
            <w:r>
              <w:rPr>
                <w:rFonts w:ascii="맑은 고딕" w:hAnsi="맑은 고딕" w:eastAsia="맑은 고딕" w:cs="맑은 고딕"/>
                <w:sz w:val="19"/>
              </w:rPr>
              <w:t xml:space="preserve">fck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 w:eastAsia="맑은 고딕" w:cs="맑은 고딕"/>
                <w:sz w:val="19"/>
              </w:rPr>
              <w:t xml:space="preserve">콘크리트 강도 (MPa). GB는 강도등급 fcu,k (C30 → 30)</w:t>
            </w:r>
          </w:p>
        </w:tc>
        <w:tc>
          <w:tcPr>
            <w:tcW w:type="dxa" w:w="3969"/>
          </w:tcPr>
          <w:p>
            <w:r>
              <w:rPr>
                <w:rFonts w:ascii="맑은 고딕" w:hAnsi="맑은 고딕" w:eastAsia="맑은 고딕" w:cs="맑은 고딕"/>
                <w:sz w:val="19"/>
              </w:rPr>
              <w:t xml:space="preserve">보드 상단 재료 입력</w:t>
            </w:r>
          </w:p>
        </w:tc>
      </w:tr>
      <w:tr>
        <w:tc>
          <w:tcPr>
            <w:tcW w:type="dxa" w:w="1247"/>
          </w:tcPr>
          <w:p>
            <w:r>
              <w:rPr>
                <w:rFonts w:ascii="맑은 고딕" w:hAnsi="맑은 고딕" w:eastAsia="맑은 고딕" w:cs="맑은 고딕"/>
                <w:sz w:val="19"/>
              </w:rPr>
              <w:t xml:space="preserve">fy, fyt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 w:eastAsia="맑은 고딕" w:cs="맑은 고딕"/>
                <w:sz w:val="19"/>
              </w:rPr>
              <w:t xml:space="preserve">주근·스터럽 항복강도 (MPa). GB는 표준값 fyk (HRB400 → 400)</w:t>
            </w:r>
          </w:p>
        </w:tc>
        <w:tc>
          <w:tcPr>
            <w:tcW w:type="dxa" w:w="3969"/>
          </w:tcPr>
          <w:p>
            <w:r>
              <w:rPr>
                <w:rFonts w:ascii="맑은 고딕" w:hAnsi="맑은 고딕" w:eastAsia="맑은 고딕" w:cs="맑은 고딕"/>
                <w:sz w:val="19"/>
              </w:rPr>
              <w:t xml:space="preserve">보드 상단 재료 입력</w:t>
            </w:r>
          </w:p>
        </w:tc>
      </w:tr>
      <w:tr>
        <w:tc>
          <w:tcPr>
            <w:tcW w:type="dxa" w:w="1247"/>
          </w:tcPr>
          <w:p>
            <w:r>
              <w:rPr>
                <w:rFonts w:ascii="맑은 고딕" w:hAnsi="맑은 고딕" w:eastAsia="맑은 고딕" w:cs="맑은 고딕"/>
                <w:sz w:val="19"/>
              </w:rPr>
              <w:t xml:space="preserve">Mu±, Vu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 w:eastAsia="맑은 고딕" w:cs="맑은 고딕"/>
                <w:sz w:val="19"/>
              </w:rPr>
              <w:t xml:space="preserve">계수휨·전단 수요 (kN·m, kN)</w:t>
            </w:r>
          </w:p>
        </w:tc>
        <w:tc>
          <w:tcPr>
            <w:tcW w:type="dxa" w:w="3969"/>
          </w:tcPr>
          <w:p>
            <w:r>
              <w:rPr>
                <w:rFonts w:ascii="맑은 고딕" w:hAnsi="맑은 고딕" w:eastAsia="맑은 고딕" w:cs="맑은 고딕"/>
                <w:sz w:val="19"/>
              </w:rPr>
              <w:t xml:space="preserve">Gen NX BC-TABLE (전 단면 결과값 불러오기)</w:t>
            </w:r>
          </w:p>
        </w:tc>
      </w:tr>
    </w:tbl>
    <w:p>
      <w:pPr>
        <w:spacing w:after="120"/>
      </w:pPr>
      <w:r>
        <w:rPr>
          <w:rFonts w:ascii="맑은 고딕" w:hAnsi="맑은 고딕" w:eastAsia="맑은 고딕" w:cs="맑은 고딕"/>
          <w:b w:val="0"/>
          <w:i w:val="0"/>
          <w:color w:val="555555"/>
          <w:sz w:val="19"/>
        </w:rPr>
        <w:t xml:space="preserve">길이는 보 보드 전 구간에서 mm로 통일해 다룬다(모델 활성단위 ↔ mm 변환은 로드/세이브 경계에서만 수행). '강도(용량)'는 브라우저가, '수요'는 Gen NX가 담당한다. GB 입력은 Gen NX 재료값과 같은 의미로 받고, 계산할 때 GB 설계강도(fc·fy)로 환산한다(6절).</w:t>
      </w:r>
    </w:p>
    <w:p>
      <w:pPr>
        <w:spacing w:before="280" w:after="120"/>
      </w:pPr>
      <w:r>
        <w:rPr>
          <w:rFonts w:ascii="맑은 고딕" w:hAnsi="맑은 고딕" w:eastAsia="맑은 고딕" w:cs="맑은 고딕"/>
          <w:b/>
          <w:color w:val="1F4E79"/>
          <w:sz w:val="34"/>
        </w:rPr>
        <w:t xml:space="preserve">4. 휨강도 φMn 산정 (KDS · TWN)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i w:val="0"/>
          <w:sz w:val="21"/>
        </w:rPr>
        <w:t xml:space="preserve">단철근 직사각형 단면 + 등가직사각형 응력블록(Whitney) 가정. 압축철근 기여는 무시한다(보수적 단순화). 절차는 다음과 같다.</w:t>
      </w:r>
    </w:p>
    <w:p>
      <w:pPr>
        <w:spacing w:after="40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① 등가응력블록 깊이 a, 중립축 c</w:t>
      </w:r>
    </w:p>
    <w:p>
      <w:pPr>
        <w:spacing w:after="80"/>
        <w:ind w:left="454"/>
      </w:pPr>
      <w:r>
        <w:rPr>
          <w:rFonts w:ascii="Consolas" w:hAnsi="Consolas" w:eastAsia="Consolas" w:cs="Consolas"/>
          <w:color w:val="000000"/>
          <w:sz w:val="21"/>
        </w:rPr>
        <w:t xml:space="preserve">a = As·fy / (0.85 · η · fck · b)</w:t>
      </w:r>
    </w:p>
    <w:p>
      <w:pPr>
        <w:spacing w:after="80"/>
        <w:ind w:left="454"/>
      </w:pPr>
      <w:r>
        <w:rPr>
          <w:rFonts w:ascii="Consolas" w:hAnsi="Consolas" w:eastAsia="Consolas" w:cs="Consolas"/>
          <w:color w:val="000000"/>
          <w:sz w:val="21"/>
        </w:rPr>
        <w:t xml:space="preserve">c = a / β1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i w:val="0"/>
          <w:sz w:val="19"/>
        </w:rPr>
        <w:t xml:space="preserve">KDS는 η(에타)·β1을 KDS 14 20 20 표 4.1-2에서 취하고 40MPa 초과 구간은 표 점 사이를 선형보간한다. TWN_ACI는 η=1, β1은 ACI 318-19와 동일한 표(대만 112년판 22.2.2.4.3)를 쓴다.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814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fck (MPa)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≤40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50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60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70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80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90</w:t>
            </w:r>
          </w:p>
        </w:tc>
      </w:tr>
      <w:tr>
        <w:tc>
          <w:tcPr>
            <w:tcW w:type="dxa" w:w="1814"/>
          </w:tcPr>
          <w:p>
            <w:r>
              <w:rPr>
                <w:rFonts w:ascii="맑은 고딕" w:hAnsi="맑은 고딕" w:eastAsia="맑은 고딕" w:cs="맑은 고딕"/>
                <w:sz w:val="19"/>
              </w:rPr>
              <w:t>η (KDS)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 w:cs="맑은 고딕"/>
                <w:sz w:val="19"/>
              </w:rPr>
              <w:t>1.00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 w:cs="맑은 고딕"/>
                <w:sz w:val="19"/>
              </w:rPr>
              <w:t>0.97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 w:cs="맑은 고딕"/>
                <w:sz w:val="19"/>
              </w:rPr>
              <w:t>0.95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 w:cs="맑은 고딕"/>
                <w:sz w:val="19"/>
              </w:rPr>
              <w:t>0.91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 w:cs="맑은 고딕"/>
                <w:sz w:val="19"/>
              </w:rPr>
              <w:t>0.87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 w:cs="맑은 고딕"/>
                <w:sz w:val="19"/>
              </w:rPr>
              <w:t>0.84</w:t>
            </w:r>
          </w:p>
        </w:tc>
      </w:tr>
      <w:tr>
        <w:tc>
          <w:tcPr>
            <w:tcW w:type="dxa" w:w="1814"/>
          </w:tcPr>
          <w:p>
            <w:r>
              <w:rPr>
                <w:rFonts w:ascii="맑은 고딕" w:hAnsi="맑은 고딕" w:eastAsia="맑은 고딕" w:cs="맑은 고딕"/>
                <w:sz w:val="19"/>
              </w:rPr>
              <w:t>β1 (KDS)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 w:cs="맑은 고딕"/>
                <w:sz w:val="19"/>
              </w:rPr>
              <w:t>0.80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 w:cs="맑은 고딕"/>
                <w:sz w:val="19"/>
              </w:rPr>
              <w:t>0.80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 w:cs="맑은 고딕"/>
                <w:sz w:val="19"/>
              </w:rPr>
              <w:t>0.76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 w:cs="맑은 고딕"/>
                <w:sz w:val="19"/>
              </w:rPr>
              <w:t>0.74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 w:cs="맑은 고딕"/>
                <w:sz w:val="19"/>
              </w:rPr>
              <w:t>0.72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 w:cs="맑은 고딕"/>
                <w:sz w:val="19"/>
              </w:rPr>
              <w:t>0.70</w:t>
            </w:r>
          </w:p>
        </w:tc>
      </w:tr>
    </w:tbl>
    <w:p>
      <w:pPr>
        <w:spacing w:after="80"/>
        <w:ind w:left="454"/>
      </w:pPr>
      <w:r>
        <w:rPr>
          <w:rFonts w:ascii="Consolas" w:hAnsi="Consolas" w:eastAsia="Consolas" w:cs="Consolas"/>
          <w:color w:val="000000"/>
          <w:sz w:val="21"/>
        </w:rPr>
        <w:t xml:space="preserve">TWN/ACI:  β1 = 0.85 (fck≤28),  0.65 (fck≥56),  그 사이 0.85 − 0.05·(fck−28)/7</w:t>
      </w:r>
    </w:p>
    <w:p>
      <w:pPr>
        <w:spacing w:after="40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② 인장변형률 εt 와 강도감소계수 φ</w:t>
      </w:r>
    </w:p>
    <w:p>
      <w:pPr>
        <w:spacing w:after="80"/>
        <w:ind w:left="454"/>
      </w:pPr>
      <w:r>
        <w:rPr>
          <w:rFonts w:ascii="Consolas" w:hAnsi="Consolas" w:eastAsia="Consolas" w:cs="Consolas"/>
          <w:color w:val="000000"/>
          <w:sz w:val="21"/>
        </w:rPr>
        <w:t xml:space="preserve">εt = 0.003 · (d − c) / c ,   εty = fy / Es ,   Es = 200,000 MPa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i w:val="0"/>
          <w:sz w:val="19"/>
        </w:rPr>
        <w:t xml:space="preserve">변형률 영역(zone)에 따라 φ를 정한다. 인장지배·압축지배·천이 구간의 규정이 두 계열에서 다르다.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구간</w:t>
            </w:r>
          </w:p>
        </w:tc>
        <w:tc>
          <w:tcPr>
            <w:tcW w:type="dxa" w:w="3515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KDS 14 20 10 4.2.3</w:t>
            </w:r>
          </w:p>
        </w:tc>
        <w:tc>
          <w:tcPr>
            <w:tcW w:type="dxa" w:w="3572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TWN/ACI Table 21.2.2</w:t>
            </w:r>
          </w:p>
        </w:tc>
      </w:tr>
      <w:tr>
        <w:tc>
          <w:tcPr>
            <w:tcW w:type="dxa" w:w="1417"/>
          </w:tcPr>
          <w:p>
            <w:r>
              <w:rPr>
                <w:rFonts w:ascii="맑은 고딕" w:hAnsi="맑은 고딕" w:eastAsia="맑은 고딕" w:cs="맑은 고딕"/>
                <w:sz w:val="19"/>
              </w:rPr>
              <w:t>인장지배</w:t>
            </w:r>
          </w:p>
        </w:tc>
        <w:tc>
          <w:tcPr>
            <w:tcW w:type="dxa" w:w="3515"/>
          </w:tcPr>
          <w:p>
            <w:r>
              <w:rPr>
                <w:rFonts w:ascii="맑은 고딕" w:hAnsi="맑은 고딕" w:eastAsia="맑은 고딕" w:cs="맑은 고딕"/>
                <w:sz w:val="19"/>
              </w:rPr>
              <w:t>εt ≥ 0.005 → φ = 0.85</w:t>
            </w:r>
          </w:p>
        </w:tc>
        <w:tc>
          <w:tcPr>
            <w:tcW w:type="dxa" w:w="3572"/>
          </w:tcPr>
          <w:p>
            <w:r>
              <w:rPr>
                <w:rFonts w:ascii="맑은 고딕" w:hAnsi="맑은 고딕" w:eastAsia="맑은 고딕" w:cs="맑은 고딕"/>
                <w:sz w:val="19"/>
              </w:rPr>
              <w:t>εt ≥ εty+0.003 → φ = 0.90</w:t>
            </w:r>
          </w:p>
        </w:tc>
      </w:tr>
      <w:tr>
        <w:tc>
          <w:tcPr>
            <w:tcW w:type="dxa" w:w="1417"/>
          </w:tcPr>
          <w:p>
            <w:r>
              <w:rPr>
                <w:rFonts w:ascii="맑은 고딕" w:hAnsi="맑은 고딕" w:eastAsia="맑은 고딕" w:cs="맑은 고딕"/>
                <w:sz w:val="19"/>
              </w:rPr>
              <w:t>압축지배</w:t>
            </w:r>
          </w:p>
        </w:tc>
        <w:tc>
          <w:tcPr>
            <w:tcW w:type="dxa" w:w="3515"/>
          </w:tcPr>
          <w:p>
            <w:r>
              <w:rPr>
                <w:rFonts w:ascii="맑은 고딕" w:hAnsi="맑은 고딕" w:eastAsia="맑은 고딕" w:cs="맑은 고딕"/>
                <w:sz w:val="19"/>
              </w:rPr>
              <w:t>εt ≤ εty → φ = 0.65</w:t>
            </w:r>
          </w:p>
        </w:tc>
        <w:tc>
          <w:tcPr>
            <w:tcW w:type="dxa" w:w="3572"/>
          </w:tcPr>
          <w:p>
            <w:r>
              <w:rPr>
                <w:rFonts w:ascii="맑은 고딕" w:hAnsi="맑은 고딕" w:eastAsia="맑은 고딕" w:cs="맑은 고딕"/>
                <w:sz w:val="19"/>
              </w:rPr>
              <w:t>εt ≤ εty → φ = 0.65</w:t>
            </w:r>
          </w:p>
        </w:tc>
      </w:tr>
      <w:tr>
        <w:tc>
          <w:tcPr>
            <w:tcW w:type="dxa" w:w="1417"/>
          </w:tcPr>
          <w:p>
            <w:r>
              <w:rPr>
                <w:rFonts w:ascii="맑은 고딕" w:hAnsi="맑은 고딕" w:eastAsia="맑은 고딕" w:cs="맑은 고딕"/>
                <w:sz w:val="19"/>
              </w:rPr>
              <w:t>천이</w:t>
            </w:r>
          </w:p>
        </w:tc>
        <w:tc>
          <w:tcPr>
            <w:tcW w:type="dxa" w:w="3515"/>
          </w:tcPr>
          <w:p>
            <w:r>
              <w:rPr>
                <w:rFonts w:ascii="맑은 고딕" w:hAnsi="맑은 고딕" w:eastAsia="맑은 고딕" w:cs="맑은 고딕"/>
                <w:sz w:val="19"/>
              </w:rPr>
              <w:t>0.65~0.85 선형 (εty→0.005)</w:t>
            </w:r>
          </w:p>
        </w:tc>
        <w:tc>
          <w:tcPr>
            <w:tcW w:type="dxa" w:w="3572"/>
          </w:tcPr>
          <w:p>
            <w:r>
              <w:rPr>
                <w:rFonts w:ascii="맑은 고딕" w:hAnsi="맑은 고딕" w:eastAsia="맑은 고딕" w:cs="맑은 고딕"/>
                <w:sz w:val="19"/>
              </w:rPr>
              <w:t>0.65~0.90 선형 (εty→εty+0.003)</w:t>
            </w:r>
          </w:p>
        </w:tc>
      </w:tr>
    </w:tbl>
    <w:p>
      <w:pPr>
        <w:spacing w:after="120"/>
      </w:pPr>
      <w:r>
        <w:rPr>
          <w:rFonts w:ascii="맑은 고딕" w:hAnsi="맑은 고딕" w:eastAsia="맑은 고딕" w:cs="맑은 고딕"/>
          <w:b w:val="0"/>
          <w:i w:val="0"/>
          <w:color w:val="555555"/>
          <w:sz w:val="19"/>
        </w:rPr>
        <w:t xml:space="preserve">KDS 원문과의 알려진 차이(2026-10-12 KCSC 원문 대조): KDS 14 20 20 4.1.1(3)의 εcu는 0.0033(fck ≤ 40, 이후 10MPa당 −0.0001)이지만 엔진은 0.003을 쓴다(φ를 다소 작게 → 안전측). 또 4.1.2(4)는 fy &gt; 400MPa일 때 인장지배 한계를 2.5εy로 하지만 엔진은 0.005로 고정한다(SD500 이상에서 φ를 다소 크게 → 위험측). OK/NG의 기준은 Gen NX 판정이므로 의도적으로 고치지 않고 기록만 해 둔다(10절).</w:t>
      </w:r>
    </w:p>
    <w:p>
      <w:pPr>
        <w:spacing w:after="40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③ 공칭·설계 휨강도</w:t>
      </w:r>
    </w:p>
    <w:p>
      <w:pPr>
        <w:spacing w:after="80"/>
        <w:ind w:left="454"/>
      </w:pPr>
      <w:r>
        <w:rPr>
          <w:rFonts w:ascii="Consolas" w:hAnsi="Consolas" w:eastAsia="Consolas" w:cs="Consolas"/>
          <w:color w:val="000000"/>
          <w:sz w:val="21"/>
        </w:rPr>
        <w:t xml:space="preserve">Mn = As·fy·(d − a/2) ,   φMn = φ · Mn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i w:val="0"/>
          <w:color w:val="555555"/>
          <w:sz w:val="19"/>
        </w:rPr>
        <w:t xml:space="preserve">상부근은 부(−)모멘트를, 하부근은 정(+)모멘트를 부담하므로 유효깊이는 각각 d_neg = h − dt, d_pos = h − db로 따로 계산한다. a ≥ 2d(모멘트 팔이 0 이하 = 과다철근으로 물리적으로 무의미)면 '유효 강도 없음(null)'으로 처리해 음수 Mn을 내지 않는다.</w:t>
      </w:r>
    </w:p>
    <w:p>
      <w:pPr>
        <w:spacing w:before="280" w:after="120"/>
      </w:pPr>
      <w:r>
        <w:rPr>
          <w:rFonts w:ascii="맑은 고딕" w:hAnsi="맑은 고딕" w:eastAsia="맑은 고딕" w:cs="맑은 고딕"/>
          <w:b/>
          <w:color w:val="1F4E79"/>
          <w:sz w:val="34"/>
        </w:rPr>
        <w:t xml:space="preserve">5. 전단강도 φVn 산정 (KDS · TWN)</w:t>
      </w:r>
    </w:p>
    <w:p>
      <w:pPr>
        <w:spacing w:after="80"/>
        <w:ind w:left="454"/>
      </w:pPr>
      <w:r>
        <w:rPr>
          <w:rFonts w:ascii="Consolas" w:hAnsi="Consolas" w:eastAsia="Consolas" w:cs="Consolas"/>
          <w:color w:val="000000"/>
          <w:sz w:val="21"/>
        </w:rPr>
        <w:t xml:space="preserve">Vc = coeff · λ · √fck · bw · d      (KDS: coeff = 1/6,  TWN 112: coeff = 0.17)</w:t>
      </w:r>
    </w:p>
    <w:p>
      <w:pPr>
        <w:spacing w:after="80"/>
        <w:ind w:left="454"/>
      </w:pPr>
      <w:r>
        <w:rPr>
          <w:rFonts w:ascii="Consolas" w:hAnsi="Consolas" w:eastAsia="Consolas" w:cs="Consolas"/>
          <w:color w:val="000000"/>
          <w:sz w:val="21"/>
        </w:rPr>
        <w:t xml:space="preserve">Vs = Av · fyt · d / s     (스터럽 규격·다리수·간격으로 산정, 없으면 0)</w:t>
      </w:r>
    </w:p>
    <w:p>
      <w:pPr>
        <w:spacing w:after="80"/>
        <w:ind w:left="454"/>
      </w:pPr>
      <w:r>
        <w:rPr>
          <w:rFonts w:ascii="Consolas" w:hAnsi="Consolas" w:eastAsia="Consolas" w:cs="Consolas"/>
          <w:color w:val="000000"/>
          <w:sz w:val="21"/>
        </w:rPr>
        <w:t xml:space="preserve">Vn = Vc + Vs ,   φVn = 0.75 · Vn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i w:val="0"/>
          <w:color w:val="555555"/>
          <w:sz w:val="19"/>
        </w:rPr>
        <w:t xml:space="preserve">KDS 14 20 22 식(4.2-1)의 1/6(≈0.167)과 대만 112년판 22.5.5.1(a)의 0.17은 사실상 같은 계수지만, 공유를 가정하지 않고 각 코드에서 독립적으로 확인해 계열별로 분리했다. 전단 강도감소계수 φ는 두 계열 모두 0.75. KDS의 전단 상한(fyt ≤ 500MPa 4.3.1(3), Vs ≤ 0.2(1−fck/250)·fck·bw·d 4.3.4(9), √fck ≤ 8.4MPa 4.1(4))은 강도식에는 넣지 않았다(10절). 단, 7절 배근 상세 경고는 fyt ≤ 500을 적용한다.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i w:val="0"/>
          <w:sz w:val="21"/>
        </w:rPr>
        <w:t xml:space="preserve">보조식: 철근 단면적  As(1개) = (π/4)·d²  (d = 공칭지름 mm).</w:t>
      </w:r>
    </w:p>
    <w:p>
      <w:pPr>
        <w:spacing w:before="280" w:after="120"/>
      </w:pPr>
      <w:r>
        <w:rPr>
          <w:rFonts w:ascii="맑은 고딕" w:hAnsi="맑은 고딕" w:eastAsia="맑은 고딕" w:cs="맑은 고딕"/>
          <w:b/>
          <w:color w:val="1F4E79"/>
          <w:sz w:val="34"/>
        </w:rPr>
        <w:t xml:space="preserve">6. GB/T 50010-2010 (2024년판) 수식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i w:val="0"/>
          <w:sz w:val="21"/>
        </w:rPr>
        <w:t xml:space="preserve">GB는 φ(강도감소계수)를 쓰지 않는 설계강도 방식이다. 재료의 설계강도(fc·ft·fy)로 저항을 계산하므로 엔진은 φ = 1로 보고하고 'φMn' 자리에 설계 저항 Mu를 넣는다. 입력은 Gen NX와 같은 의미(fck = 강도등급 fcu,k, fy = 표준값 fyk)로 받아 아래 표로 환산한다.</w:t>
      </w:r>
    </w:p>
    <w:p>
      <w:pPr>
        <w:spacing w:after="40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① 재료 환산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47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 xml:space="preserve">항목</w:t>
            </w:r>
          </w:p>
        </w:tc>
        <w:tc>
          <w:tcPr>
            <w:tcW w:type="dxa" w:w="3402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 xml:space="preserve">값</w:t>
            </w:r>
          </w:p>
        </w:tc>
        <w:tc>
          <w:tcPr>
            <w:tcW w:type="dxa" w:w="3969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 xml:space="preserve">근거</w:t>
            </w:r>
          </w:p>
        </w:tc>
      </w:tr>
      <w:tr>
        <w:tc>
          <w:tcPr>
            <w:tcW w:type="dxa" w:w="1247"/>
          </w:tcPr>
          <w:p>
            <w:r>
              <w:rPr>
                <w:rFonts w:ascii="맑은 고딕" w:hAnsi="맑은 고딕" w:eastAsia="맑은 고딕" w:cs="맑은 고딕"/>
                <w:sz w:val="19"/>
              </w:rPr>
              <w:t xml:space="preserve">fc, ft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 w:eastAsia="맑은 고딕" w:cs="맑은 고딕"/>
                <w:sz w:val="19"/>
              </w:rPr>
              <w:t xml:space="preserve">C20 ~ C80 표값, 사이는 선형보간 (범위 밖은 판정 안 함)</w:t>
            </w:r>
          </w:p>
        </w:tc>
        <w:tc>
          <w:tcPr>
            <w:tcW w:type="dxa" w:w="3969"/>
          </w:tcPr>
          <w:p>
            <w:r>
              <w:rPr>
                <w:rFonts w:ascii="맑은 고딕" w:hAnsi="맑은 고딕" w:eastAsia="맑은 고딕" w:cs="맑은 고딕"/>
                <w:sz w:val="19"/>
              </w:rPr>
              <w:t xml:space="preserve">표 4.1.4-1 / 4.1.4-2</w:t>
            </w:r>
          </w:p>
        </w:tc>
      </w:tr>
      <w:tr>
        <w:tc>
          <w:tcPr>
            <w:tcW w:type="dxa" w:w="1247"/>
          </w:tcPr>
          <w:p>
            <w:r>
              <w:rPr>
                <w:rFonts w:ascii="맑은 고딕" w:hAnsi="맑은 고딕" w:eastAsia="맑은 고딕" w:cs="맑은 고딕"/>
                <w:sz w:val="19"/>
              </w:rPr>
              <w:t xml:space="preserve">fy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 w:eastAsia="맑은 고딕" w:cs="맑은 고딕"/>
                <w:sz w:val="19"/>
              </w:rPr>
              <w:t xml:space="preserve">HPB300 270 · HRB335 300 · HRB400 360 · HRB500 435 (해당 등급만)</w:t>
            </w:r>
          </w:p>
        </w:tc>
        <w:tc>
          <w:tcPr>
            <w:tcW w:type="dxa" w:w="3969"/>
          </w:tcPr>
          <w:p>
            <w:r>
              <w:rPr>
                <w:rFonts w:ascii="맑은 고딕" w:hAnsi="맑은 고딕" w:eastAsia="맑은 고딕" w:cs="맑은 고딕"/>
                <w:sz w:val="19"/>
              </w:rPr>
              <w:t xml:space="preserve">표 4.2.3-1</w:t>
            </w:r>
          </w:p>
        </w:tc>
      </w:tr>
      <w:tr>
        <w:tc>
          <w:tcPr>
            <w:tcW w:type="dxa" w:w="1247"/>
          </w:tcPr>
          <w:p>
            <w:r>
              <w:rPr>
                <w:rFonts w:ascii="맑은 고딕" w:hAnsi="맑은 고딕" w:eastAsia="맑은 고딕" w:cs="맑은 고딕"/>
                <w:sz w:val="19"/>
              </w:rPr>
              <w:t xml:space="preserve">Es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 w:eastAsia="맑은 고딕" w:cs="맑은 고딕"/>
                <w:sz w:val="19"/>
              </w:rPr>
              <w:t xml:space="preserve">HPB300 2.1×10⁵, 그 외 2.0×10⁵ MPa</w:t>
            </w:r>
          </w:p>
        </w:tc>
        <w:tc>
          <w:tcPr>
            <w:tcW w:type="dxa" w:w="3969"/>
          </w:tcPr>
          <w:p>
            <w:r>
              <w:rPr>
                <w:rFonts w:ascii="맑은 고딕" w:hAnsi="맑은 고딕" w:eastAsia="맑은 고딕" w:cs="맑은 고딕"/>
                <w:sz w:val="19"/>
              </w:rPr>
              <w:t xml:space="preserve">표 4.2.5</w:t>
            </w:r>
          </w:p>
        </w:tc>
      </w:tr>
    </w:tbl>
    <w:p>
      <w:pPr>
        <w:spacing w:after="40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② 휨 (단철근, 6.2.10)</w:t>
      </w:r>
    </w:p>
    <w:p>
      <w:pPr>
        <w:spacing w:after="80"/>
        <w:ind w:left="454"/>
      </w:pPr>
      <w:r>
        <w:rPr>
          <w:rFonts w:ascii="Consolas" w:hAnsi="Consolas" w:eastAsia="Consolas" w:cs="Consolas"/>
          <w:color w:val="000000"/>
          <w:sz w:val="21"/>
        </w:rPr>
        <w:t xml:space="preserve">α1 = 1.0 (≤C50) → 0.94 (C80),   β1 = 0.8 → 0.74   (6.2.6, 선형보간)</w:t>
      </w:r>
    </w:p>
    <w:p>
      <w:pPr>
        <w:spacing w:after="80"/>
        <w:ind w:left="454"/>
      </w:pPr>
      <w:r>
        <w:rPr>
          <w:rFonts w:ascii="Consolas" w:hAnsi="Consolas" w:eastAsia="Consolas" w:cs="Consolas"/>
          <w:color w:val="000000"/>
          <w:sz w:val="21"/>
        </w:rPr>
        <w:t xml:space="preserve">εcu = 0.0033 − (fcu,k − 50)×10⁻⁵ ≤ 0.0033   (6.2.1-5)</w:t>
      </w:r>
    </w:p>
    <w:p>
      <w:pPr>
        <w:spacing w:after="80"/>
        <w:ind w:left="454"/>
      </w:pPr>
      <w:r>
        <w:rPr>
          <w:rFonts w:ascii="Consolas" w:hAnsi="Consolas" w:eastAsia="Consolas" w:cs="Consolas"/>
          <w:color w:val="000000"/>
          <w:sz w:val="21"/>
        </w:rPr>
        <w:t xml:space="preserve">ξb = β1 / (1 + fy / (Es·εcu))   (6.2.7-1)</w:t>
      </w:r>
    </w:p>
    <w:p>
      <w:pPr>
        <w:spacing w:after="80"/>
        <w:ind w:left="454"/>
      </w:pPr>
      <w:r>
        <w:rPr>
          <w:rFonts w:ascii="Consolas" w:hAnsi="Consolas" w:eastAsia="Consolas" w:cs="Consolas"/>
          <w:color w:val="000000"/>
          <w:sz w:val="21"/>
        </w:rPr>
        <w:t xml:space="preserve">x = fy·As / (α1·fc·b) ,  x ≤ ξb·h0 ,   Mu = α1·fc·b·x·(h0 − x/2)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i w:val="0"/>
          <w:sz w:val="19"/>
        </w:rPr>
        <w:t xml:space="preserve">x가 ξb·h0를 넘으면 과다철근이다. 저항은 x = ξb·h0로 상한을 두고(철근을 더 넣어도 늘지 않음) 변형률 구간을 'compression'으로 표시한다.</w:t>
      </w:r>
    </w:p>
    <w:p>
      <w:pPr>
        <w:spacing w:after="40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③ 전단 (스터럽만, 일반 보, 6.3.4 · 6.3.1)</w:t>
      </w:r>
    </w:p>
    <w:p>
      <w:pPr>
        <w:spacing w:after="80"/>
        <w:ind w:left="454"/>
      </w:pPr>
      <w:r>
        <w:rPr>
          <w:rFonts w:ascii="Consolas" w:hAnsi="Consolas" w:eastAsia="Consolas" w:cs="Consolas"/>
          <w:color w:val="000000"/>
          <w:sz w:val="21"/>
        </w:rPr>
        <w:t xml:space="preserve">Vcs = 0.7·ft·b·h0 + fyv·(Asv/s)·h0 ,   fyv ≤ 360 MPa</w:t>
      </w:r>
    </w:p>
    <w:p>
      <w:pPr>
        <w:spacing w:after="80"/>
        <w:ind w:left="454"/>
      </w:pPr>
      <w:r>
        <w:rPr>
          <w:rFonts w:ascii="Consolas" w:hAnsi="Consolas" w:eastAsia="Consolas" w:cs="Consolas"/>
          <w:color w:val="000000"/>
          <w:sz w:val="21"/>
        </w:rPr>
        <w:t xml:space="preserve">Vcs ≤ 0.25·βc·fc·b·h0 (hw/b ≤ 4) … 0.2·βc·fc·b·h0 (hw/b ≥ 6), 사이 선형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i w:val="0"/>
          <w:color w:val="555555"/>
          <w:sz w:val="19"/>
        </w:rPr>
        <w:t xml:space="preserve">실측 대조: GB 더미 모델(C30/HRB400)에서 Gen NX GB 검토의 Vc = 160.66 kN과 엔진 값이 정확히 일치했다. 단위테스트 고정값: C30/HRB400, 250×(h0 465), 3d20 → x = 94.86 mm, Mu = 141.6 kN·m.</w:t>
      </w:r>
    </w:p>
    <w:p>
      <w:pPr>
        <w:spacing w:before="280" w:after="120"/>
      </w:pPr>
      <w:r>
        <w:rPr>
          <w:rFonts w:ascii="맑은 고딕" w:hAnsi="맑은 고딕" w:eastAsia="맑은 고딕" w:cs="맑은 고딕"/>
          <w:b/>
          <w:color w:val="1F4E79"/>
          <w:sz w:val="34"/>
        </w:rPr>
        <w:t xml:space="preserve">7. KDS 배근 상세 경고 (2026-10-12 추가)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i w:val="0"/>
          <w:sz w:val="21"/>
        </w:rPr>
        <w:t xml:space="preserve">철근 배치 자체에 대한 KDS 규정 세 가지를 KDS 모델의 보 보드에서 검사한다. 강도 대 수요가 아니라 '배근 규정 충족 여부'를 보는 것이며, 근거 조항은 KCSC OpenAPI로 받은 원문(KDS 지식베이스)에서 확인했다. 모듈은 kdsDetailing.ts(순수함수).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47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 xml:space="preserve">항목</w:t>
            </w:r>
          </w:p>
        </w:tc>
        <w:tc>
          <w:tcPr>
            <w:tcW w:type="dxa" w:w="3402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 xml:space="preserve">기준</w:t>
            </w:r>
          </w:p>
        </w:tc>
        <w:tc>
          <w:tcPr>
            <w:tcW w:type="dxa" w:w="3969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 xml:space="preserve">근거</w:t>
            </w:r>
          </w:p>
        </w:tc>
      </w:tr>
      <w:tr>
        <w:tc>
          <w:tcPr>
            <w:tcW w:type="dxa" w:w="1247"/>
          </w:tcPr>
          <w:p>
            <w:r>
              <w:rPr>
                <w:rFonts w:ascii="맑은 고딕" w:hAnsi="맑은 고딕" w:eastAsia="맑은 고딕" w:cs="맑은 고딕"/>
                <w:sz w:val="19"/>
              </w:rPr>
              <w:t xml:space="preserve">스터럽 최대 간격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 w:eastAsia="맑은 고딕" w:cs="맑은 고딕"/>
                <w:sz w:val="19"/>
              </w:rPr>
              <w:t xml:space="preserve">s ≤ d/2 이고 s ≤ 600 mm. Vs &gt; λ(√fck/3)·bw·d이면 두 한계 모두 절반</w:t>
            </w:r>
          </w:p>
        </w:tc>
        <w:tc>
          <w:tcPr>
            <w:tcW w:type="dxa" w:w="3969"/>
          </w:tcPr>
          <w:p>
            <w:r>
              <w:rPr>
                <w:rFonts w:ascii="맑은 고딕" w:hAnsi="맑은 고딕" w:eastAsia="맑은 고딕" w:cs="맑은 고딕"/>
                <w:sz w:val="19"/>
              </w:rPr>
              <w:t xml:space="preserve">KDS 14 20 22 4.3.2(1)(3)</w:t>
            </w:r>
          </w:p>
        </w:tc>
      </w:tr>
      <w:tr>
        <w:tc>
          <w:tcPr>
            <w:tcW w:type="dxa" w:w="1247"/>
          </w:tcPr>
          <w:p>
            <w:r>
              <w:rPr>
                <w:rFonts w:ascii="맑은 고딕" w:hAnsi="맑은 고딕" w:eastAsia="맑은 고딕" w:cs="맑은 고딕"/>
                <w:sz w:val="19"/>
              </w:rPr>
              <w:t xml:space="preserve">최소 전단철근량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 w:eastAsia="맑은 고딕" w:cs="맑은 고딕"/>
                <w:sz w:val="19"/>
              </w:rPr>
              <w:t xml:space="preserve">Av ≥ max(0.0625√fck, 0.35)·bw·s/fyt. Vu ≤ φVc/2이거나 h ≤ 250 mm이면 제외</w:t>
            </w:r>
          </w:p>
        </w:tc>
        <w:tc>
          <w:tcPr>
            <w:tcW w:type="dxa" w:w="3969"/>
          </w:tcPr>
          <w:p>
            <w:r>
              <w:rPr>
                <w:rFonts w:ascii="맑은 고딕" w:hAnsi="맑은 고딕" w:eastAsia="맑은 고딕" w:cs="맑은 고딕"/>
                <w:sz w:val="19"/>
              </w:rPr>
              <w:t xml:space="preserve">KDS 14 20 22 4.3.3, 식(4.3-1)</w:t>
            </w:r>
          </w:p>
        </w:tc>
      </w:tr>
      <w:tr>
        <w:tc>
          <w:tcPr>
            <w:tcW w:type="dxa" w:w="1247"/>
          </w:tcPr>
          <w:p>
            <w:r>
              <w:rPr>
                <w:rFonts w:ascii="맑은 고딕" w:hAnsi="맑은 고딕" w:eastAsia="맑은 고딕" w:cs="맑은 고딕"/>
                <w:sz w:val="19"/>
              </w:rPr>
              <w:t xml:space="preserve">최소 휨철근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 w:eastAsia="맑은 고딕" w:cs="맑은 고딕"/>
                <w:sz w:val="19"/>
              </w:rPr>
              <w:t xml:space="preserve">상부근·하부근 각각 φMn ≥ 1.2·Mcr, Mcr = fr·b·h²/6, fr = 0.63λ√fck. φMn ≥ (4/3)·Mu이면 면제</w:t>
            </w:r>
          </w:p>
        </w:tc>
        <w:tc>
          <w:tcPr>
            <w:tcW w:type="dxa" w:w="3969"/>
          </w:tcPr>
          <w:p>
            <w:r>
              <w:rPr>
                <w:rFonts w:ascii="맑은 고딕" w:hAnsi="맑은 고딕" w:eastAsia="맑은 고딕" w:cs="맑은 고딕"/>
                <w:sz w:val="19"/>
              </w:rPr>
              <w:t xml:space="preserve">KDS 14 20 20 4.2.2, KDS 14 20 30 식(4.2-2)(4.2-3)</w:t>
            </w:r>
          </w:p>
        </w:tc>
      </w:tr>
    </w:tbl>
    <w:p>
      <w:pPr>
        <w:pStyle w:val="ListBullet"/>
      </w:pPr>
      <w:r>
        <w:rPr>
          <w:rFonts w:ascii="맑은 고딕" w:hAnsi="맑은 고딕" w:eastAsia="맑은 고딕" w:cs="맑은 고딕"/>
          <w:b/>
          <w:sz w:val="21"/>
        </w:rPr>
        <w:t xml:space="preserve">표시 — </w:t>
      </w:r>
      <w:r>
        <w:rPr>
          <w:rFonts w:ascii="맑은 고딕" w:hAnsi="맑은 고딕" w:eastAsia="맑은 고딕" w:cs="맑은 고딕"/>
          <w:sz w:val="21"/>
        </w:rPr>
        <w:t xml:space="preserve">보드 행의 판정 옆에 '⚠ 건수', 상세 서랍에 위치(I·M·J)·실제값·한계값·조항이 붙은 목록. 입력 방식이 '전체'처럼 같은 값이 여러 위치에 복사되면 하나로 묶어 보여준다.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sz w:val="21"/>
        </w:rPr>
        <w:t xml:space="preserve">수요가 없을 때 — </w:t>
      </w:r>
      <w:r>
        <w:rPr>
          <w:rFonts w:ascii="맑은 고딕" w:hAnsi="맑은 고딕" w:eastAsia="맑은 고딕" w:cs="맑은 고딕"/>
          <w:sz w:val="21"/>
        </w:rPr>
        <w:t xml:space="preserve">Vu·Mu를 불러오지 않으면 '제외/면제' 조건을 따질 수 없으므로 보수적으로 적용하고, 그렇게 했다고 함께 표시한다.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sz w:val="21"/>
        </w:rPr>
        <w:t xml:space="preserve">판정과 분리 — </w:t>
      </w:r>
      <w:r>
        <w:rPr>
          <w:rFonts w:ascii="맑은 고딕" w:hAnsi="맑은 고딕" w:eastAsia="맑은 고딕" w:cs="맑은 고딕"/>
          <w:sz w:val="21"/>
        </w:rPr>
        <w:t xml:space="preserve">OK/NG에는 반영하지 않는 참고 경고다. 판정의 기준은 Gen NX 설계검토(CHK_RBR 포함)다.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sz w:val="21"/>
        </w:rPr>
        <w:t xml:space="preserve">가정 — </w:t>
      </w:r>
      <w:r>
        <w:rPr>
          <w:rFonts w:ascii="맑은 고딕" w:hAnsi="맑은 고딕" w:eastAsia="맑은 고딕" w:cs="맑은 고딕"/>
          <w:sz w:val="21"/>
        </w:rPr>
        <w:t xml:space="preserve">λ = 1(보통중량), 직사각형 전단면, Vs 계산 시 fyt ≤ 500MPa. KDS 모델에서만 표시한다(GB·TWN 제외).</w:t>
      </w:r>
    </w:p>
    <w:p>
      <w:pPr>
        <w:spacing w:before="280" w:after="120"/>
      </w:pPr>
      <w:r>
        <w:rPr>
          <w:rFonts w:ascii="맑은 고딕" w:hAnsi="맑은 고딕" w:eastAsia="맑은 고딕" w:cs="맑은 고딕"/>
          <w:b/>
          <w:color w:val="1F4E79"/>
          <w:sz w:val="34"/>
        </w:rPr>
        <w:t xml:space="preserve">8. OK / NG 판정 로직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i w:val="0"/>
          <w:sz w:val="21"/>
        </w:rPr>
        <w:t xml:space="preserve">한 단면(section)은 세 위치(I=단부, M=중앙, J=단부)의 설계점을 갖는다. 화면에 보이는 판정은 다음 우선순위로 정한다.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sz w:val="21"/>
        </w:rPr>
        <w:t xml:space="preserve">Gen NX 판정 (우선) — </w:t>
      </w:r>
      <w:r>
        <w:rPr>
          <w:rFonts w:ascii="맑은 고딕" w:hAnsi="맑은 고딕" w:eastAsia="맑은 고딕" w:cs="맑은 고딕"/>
          <w:sz w:val="21"/>
        </w:rPr>
        <w:t xml:space="preserve">BC-TABLE의 CHK_STR·CHK_RBR·Rat-N/Rat-P/Rat-V를 읽어, 모든 위치가 OK일 때만 OK. CHK_STR은 불합격 시 'NG'가 아니라 지배 모드 코드('PM-', 'V-' 등)를 쓰므로 'OK로 시작하면 합격, 그 외 의미 있는 값은 NG'로 판단한다. 배지는 'Gen NX'.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sz w:val="21"/>
        </w:rPr>
        <w:t xml:space="preserve">예상 (이 엔진) — </w:t>
      </w:r>
      <w:r>
        <w:rPr>
          <w:rFonts w:ascii="맑은 고딕" w:hAnsi="맑은 고딕" w:eastAsia="맑은 고딕" w:cs="맑은 고딕"/>
          <w:sz w:val="21"/>
        </w:rPr>
        <w:t xml:space="preserve">Gen NX 결과가 없거나, 행이 저장 전 수정 중이면 엔진 판정을 쓴다. 배지는 '예상'. 저장하면 그 단면의 낡은 Gen NX 판정은 지워져 재검토 전까지 권위 있는 판정으로 보이지 않는다.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i w:val="0"/>
          <w:sz w:val="21"/>
        </w:rPr>
        <w:t xml:space="preserve">엔진 판정은 다음과 같다.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sz w:val="21"/>
        </w:rPr>
        <w:t xml:space="preserve">지배 강도 — </w:t>
      </w:r>
      <w:r>
        <w:rPr>
          <w:rFonts w:ascii="맑은 고딕" w:hAnsi="맑은 고딕" w:eastAsia="맑은 고딕" w:cs="맑은 고딕"/>
          <w:sz w:val="21"/>
        </w:rPr>
        <w:t xml:space="preserve">각 위치에서 φMn(상/하부)·φVn을 산정하고, 단면의 '지배 강도'는 세 위치 중 최소값으로 잡는다.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sz w:val="21"/>
        </w:rPr>
        <w:t xml:space="preserve">최대 비 — </w:t>
      </w:r>
      <w:r>
        <w:rPr>
          <w:rFonts w:ascii="맑은 고딕" w:hAnsi="맑은 고딕" w:eastAsia="맑은 고딕" w:cs="맑은 고딕"/>
          <w:sz w:val="21"/>
        </w:rPr>
        <w:t xml:space="preserve">수요/강도 비를 위치·작용별로 구해 최댓값을 취한다. 휨비는 부모멘트(상부근 대 Mu−)와 정모멘트(하부근 대 Mu+)를 함께 접고, 전단비는 Vu/φVn.</w:t>
      </w:r>
    </w:p>
    <w:p>
      <w:pPr>
        <w:spacing w:after="80"/>
        <w:ind w:left="454"/>
      </w:pPr>
      <w:r>
        <w:rPr>
          <w:rFonts w:ascii="Consolas" w:hAnsi="Consolas" w:eastAsia="Consolas" w:cs="Consolas"/>
          <w:color w:val="000000"/>
          <w:sz w:val="21"/>
        </w:rPr>
        <w:t xml:space="preserve">ratio_flex = max( Mu⁻/φMn_neg , Mu⁺/φMn_pos )   (전 위치)</w:t>
      </w:r>
    </w:p>
    <w:p>
      <w:pPr>
        <w:spacing w:after="80"/>
        <w:ind w:left="454"/>
      </w:pPr>
      <w:r>
        <w:rPr>
          <w:rFonts w:ascii="Consolas" w:hAnsi="Consolas" w:eastAsia="Consolas" w:cs="Consolas"/>
          <w:color w:val="000000"/>
          <w:sz w:val="21"/>
        </w:rPr>
        <w:t xml:space="preserve">ratio_shear = max( Vu / φVn )                     (전 위치)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sz w:val="21"/>
        </w:rPr>
        <w:t xml:space="preserve">판정 — </w:t>
      </w:r>
      <w:r>
        <w:rPr>
          <w:rFonts w:ascii="맑은 고딕" w:hAnsi="맑은 고딕" w:eastAsia="맑은 고딕" w:cs="맑은 고딕"/>
          <w:sz w:val="21"/>
        </w:rPr>
        <w:t xml:space="preserve">휨비·전단비가 모두 1 이하이면 OK, 하나라도 1을 초과하면 NG.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sz w:val="21"/>
        </w:rPr>
        <w:t xml:space="preserve">수요 없음 — </w:t>
      </w:r>
      <w:r>
        <w:rPr>
          <w:rFonts w:ascii="맑은 고딕" w:hAnsi="맑은 고딕" w:eastAsia="맑은 고딕" w:cs="맑은 고딕"/>
          <w:sz w:val="21"/>
        </w:rPr>
        <w:t xml:space="preserve">수요값(Mu/Vu)이 아직 없으면 판정을 내리지 않고(보류) 강도만 표시한다. 수요가 없는 부재를 'OK'로 오해시키지 않기 위함.</w:t>
      </w:r>
    </w:p>
    <w:p>
      <w:pPr>
        <w:spacing w:before="280" w:after="120"/>
      </w:pPr>
      <w:r>
        <w:rPr>
          <w:rFonts w:ascii="맑은 고딕" w:hAnsi="맑은 고딕" w:eastAsia="맑은 고딕" w:cs="맑은 고딕"/>
          <w:b/>
          <w:color w:val="1F4E79"/>
          <w:sz w:val="34"/>
        </w:rPr>
        <w:t xml:space="preserve">9. 구현과 실행 방식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sz w:val="21"/>
        </w:rPr>
        <w:t xml:space="preserve">순수함수 — </w:t>
      </w:r>
      <w:r>
        <w:rPr>
          <w:rFonts w:ascii="맑은 고딕" w:hAnsi="맑은 고딕" w:eastAsia="맑은 고딕" w:cs="맑은 고딕"/>
          <w:sz w:val="21"/>
        </w:rPr>
        <w:t xml:space="preserve">모든 수식은 부수효과 없는 TypeScript 순수함수로 구현: flexuralCapacity(), shearCapacity(), barArea_mm2(), gbConcrete(), gbRebar() (rcBeamCheck.ts), kdsBeamDetailing() (kdsDetailing.ts).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sz w:val="21"/>
        </w:rPr>
        <w:t xml:space="preserve">실시간 — </w:t>
      </w:r>
      <w:r>
        <w:rPr>
          <w:rFonts w:ascii="맑은 고딕" w:hAnsi="맑은 고딕" w:eastAsia="맑은 고딕" w:cs="맑은 고딕"/>
          <w:sz w:val="21"/>
        </w:rPr>
        <w:t xml:space="preserve">보 보드는 judgeSection()으로 전 단면을 한 번에 돌려 단면별 판정을 표로 보여준다 (beamBoard.ts). 배근을 편집하면 즉시 재계산된다.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sz w:val="21"/>
        </w:rPr>
        <w:t xml:space="preserve">데이터 주도 — </w:t>
      </w:r>
      <w:r>
        <w:rPr>
          <w:rFonts w:ascii="맑은 고딕" w:hAnsi="맑은 고딕" w:eastAsia="맑은 고딕" w:cs="맑은 고딕"/>
          <w:sz w:val="21"/>
        </w:rPr>
        <w:t xml:space="preserve">계수 계열(KDS/TWN_ACI/GB)은 설계기준 데이터(rcCodePresets.ts)로 결정 — 라벨 하나 고치면 엔진이 자동으로 따라온다(문자열 중복 desync 방지).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sz w:val="21"/>
        </w:rPr>
        <w:t xml:space="preserve">단위테스트 — </w:t>
      </w:r>
      <w:r>
        <w:rPr>
          <w:rFonts w:ascii="맑은 고딕" w:hAnsi="맑은 고딕" w:eastAsia="맑은 고딕" w:cs="맑은 고딕"/>
          <w:sz w:val="21"/>
        </w:rPr>
        <w:t xml:space="preserve">핵심 수치는 vitest로 고정: barArea(25)≈490.87mm², KDS vs TWN의 Vc 계수, φ=0.85(KDS 인장)/0.90(TWN), 과다철근 → null, GB 휨·전단과 두 상한, KDS 배근 상세(간격 270/135/600, Av,min 109.4, 1.2Mcr 66.7 kN·m와 면제 조건).</w:t>
      </w:r>
    </w:p>
    <w:p>
      <w:pPr>
        <w:spacing w:before="280" w:after="120"/>
      </w:pPr>
      <w:r>
        <w:rPr>
          <w:rFonts w:ascii="맑은 고딕" w:hAnsi="맑은 고딕" w:eastAsia="맑은 고딕" w:cs="맑은 고딕"/>
          <w:b/>
          <w:color w:val="1F4E79"/>
          <w:sz w:val="34"/>
        </w:rPr>
        <w:t xml:space="preserve">10. 한계와 단순화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i w:val="0"/>
          <w:sz w:val="21"/>
        </w:rPr>
        <w:t xml:space="preserve">이 웹 수식 엔진은 '배근 편집의 즉각적 적정성 감(感)'을 주는 것이 목적이며, Gen NX의 정식 설계검토를 대체하지 않는다. 의도적으로 다루지 않는 항목:</w:t>
      </w:r>
    </w:p>
    <w:p>
      <w:pPr>
        <w:pStyle w:val="ListBullet"/>
      </w:pPr>
      <w:r>
        <w:rPr>
          <w:rFonts w:ascii="맑은 고딕" w:hAnsi="맑은 고딕" w:eastAsia="맑은 고딕" w:cs="맑은 고딕"/>
          <w:sz w:val="21"/>
        </w:rPr>
        <w:t xml:space="preserve">검증된 세 설계기준(KDS 41 20:2022, TWN-USD112, GB/T50010-10) 외에는 판정하지 않음.</w:t>
      </w:r>
    </w:p>
    <w:p>
      <w:pPr>
        <w:pStyle w:val="ListBullet"/>
      </w:pPr>
      <w:r>
        <w:rPr>
          <w:rFonts w:ascii="맑은 고딕" w:hAnsi="맑은 고딕" w:eastAsia="맑은 고딕" w:cs="맑은 고딕"/>
          <w:sz w:val="21"/>
        </w:rPr>
        <w:t xml:space="preserve">단철근 가정 — 압축철근 기여, 복철근 상호작용 미반영.</w:t>
      </w:r>
    </w:p>
    <w:p>
      <w:pPr>
        <w:pStyle w:val="ListBullet"/>
      </w:pPr>
      <w:r>
        <w:rPr>
          <w:rFonts w:ascii="맑은 고딕" w:hAnsi="맑은 고딕" w:eastAsia="맑은 고딕" w:cs="맑은 고딕"/>
          <w:sz w:val="21"/>
        </w:rPr>
        <w:t xml:space="preserve">보에 국한 — 축력(P-M 상호작용), 비틀림, 처짐·사용성은 미포함. 배근 상세는 KDS 세 항목만 참고 경고로 제공(7절). 나머지는 Gen NX 설계검토의 영역.</w:t>
      </w:r>
    </w:p>
    <w:p>
      <w:pPr>
        <w:pStyle w:val="ListBullet"/>
      </w:pPr>
      <w:r>
        <w:rPr>
          <w:rFonts w:ascii="맑은 고딕" w:hAnsi="맑은 고딕" w:eastAsia="맑은 고딕" w:cs="맑은 고딕"/>
          <w:sz w:val="21"/>
        </w:rPr>
        <w:t xml:space="preserve">KDS 원문과의 알려진 차이(εcu 0.003, 인장지배 한계 2.5εy 미적용, 전단 상한 미적용 — 4·5절). 판정 기준이 Gen NX이므로 기록만 하고 유지한다.</w:t>
      </w:r>
    </w:p>
    <w:p>
      <w:pPr>
        <w:pStyle w:val="ListBullet"/>
      </w:pPr>
      <w:r>
        <w:rPr>
          <w:rFonts w:ascii="맑은 고딕" w:hAnsi="맑은 고딕" w:eastAsia="맑은 고딕" w:cs="맑은 고딕"/>
          <w:sz w:val="21"/>
        </w:rPr>
        <w:t xml:space="preserve">수요(Mu/Vu)는 Gen NX(BC-TABLE)에 의존.</w:t>
      </w:r>
    </w:p>
    <w:p>
      <w:pPr>
        <w:spacing w:before="280" w:after="120"/>
      </w:pPr>
      <w:r>
        <w:rPr>
          <w:rFonts w:ascii="맑은 고딕" w:hAnsi="맑은 고딕" w:eastAsia="맑은 고딕" w:cs="맑은 고딕"/>
          <w:b/>
          <w:color w:val="1F4E79"/>
          <w:sz w:val="34"/>
        </w:rPr>
        <w:t xml:space="preserve">11. 경과 — Gen NX 실시간 검토로 전환 (완료)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i w:val="0"/>
          <w:sz w:val="21"/>
        </w:rPr>
        <w:t xml:space="preserve">2026-07-25 라이브 재검증에서, 회피 대상이던 설계검토 수행 API(*-ANAL)가 현재 Gen NX 빌드에서는 더 이상 멈추지 않음을 확인했다(4/4 정상). 이에 따라 보·기둥·벽·가새 네 부재 모두 'Gen NX 재검토' 버튼(*-ANAL 수행 후 *-TABLE 읽기)으로 Gen NX 판정을 받도록 연결했다.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i w:val="0"/>
          <w:sz w:val="21"/>
        </w:rPr>
        <w:t xml:space="preserve">2026-10-12: 보에 Gen NX 판정이 한 번도 표시되지 않던 원인을 찾아 고쳤다. BC-TABLE의 COMPONENTS는 '반환 열 필터'라서 요청하지 않은 열은 오지 않는데, 판정 열(CHK_STR·CHK_RBR·Rat-*)을 요청 목록에서 빠뜨리고 있었다(KDS 모델 포함). 같은 날, URL에 KDS-41-20-2022가 들어간 BC-TABLE이 GB/T50010-10 모델의 결과도 그대로 돌려준다는 것을 확인했다(GUI에서 돌린 GB 검토의 Mr 328.577 · Vc 160.660 · CHK_STR OK 일치). 그 경로의 *-ANAL이 GB 검토를 수행하는지는 아직 검증하지 않았다.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