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Kapitel 1 — Einleitung</w:t>
      </w:r>
    </w:p>
    <w:p>
      <w:pPr>
        <w:spacing w:after="300"/>
      </w:pPr>
      <w:r>
        <w:t xml:space="preserve">Arbeitsdokument zur Ausformulierung (Bachelorarbeit, Variante D)</w:t>
      </w:r>
    </w:p>
    <w:p>
      <w:pPr>
        <w:pStyle w:val="Heading1"/>
        <w:spacing w:after="200" w:before="400"/>
      </w:pPr>
      <w:r>
        <w:t xml:space="preserve">Wie dieses Dokument funktioniert</w:t>
      </w:r>
    </w:p>
    <w:p>
      <w:pPr>
        <w:spacing w:after="160"/>
      </w:pPr>
      <w:r>
        <w:rPr>
          <w:b/>
          <w:bCs/>
        </w:rPr>
        <w:t xml:space="preserve">Zielumfang lt. Abstimmungsdokument: </w:t>
      </w:r>
      <w:r>
        <w:t xml:space="preserve">4 Seiten insgesamt für die fünf Abschnitte 1.1–1.5. Jeder Abschnitt bleibt unter einer Seite, außer 1.4 (Abgrenzung), die bewusst etwas mehr Raum bekommt.</w:t>
      </w:r>
    </w:p>
    <w:p>
      <w:pPr>
        <w:spacing w:after="160"/>
      </w:pPr>
      <w:r>
        <w:t xml:space="preserve">Jeder Abschnitt unten ist gleich aufgebaut:</w:t>
      </w:r>
    </w:p>
    <w:p>
      <w:pPr>
        <w:pStyle w:val="ListParagraph"/>
        <w:numPr>
          <w:ilvl w:val="0"/>
          <w:numId w:val="1"/>
        </w:numPr>
        <w:spacing w:after="100"/>
      </w:pPr>
      <w:r>
        <w:t xml:space="preserve">Anforderung lt. Abstimmungsdokument (türkis) — der Ein-Satz-Auftrag, was inhaltlich in den Abschnitt gehört.</w:t>
      </w:r>
    </w:p>
    <w:p>
      <w:pPr>
        <w:pStyle w:val="ListParagraph"/>
        <w:numPr>
          <w:ilvl w:val="0"/>
          <w:numId w:val="1"/>
        </w:numPr>
        <w:spacing w:after="100"/>
      </w:pPr>
      <w:r>
        <w:t xml:space="preserve">Vertiefende Hinweise (grau) — die konkreten Detailpunkte, an denen ich mich beim Schreiben/Überarbeiten orientieren sollte.</w:t>
      </w:r>
    </w:p>
    <w:p>
      <w:pPr>
        <w:pStyle w:val="ListParagraph"/>
        <w:numPr>
          <w:ilvl w:val="0"/>
          <w:numId w:val="1"/>
        </w:numPr>
        <w:spacing w:after="100"/>
      </w:pPr>
      <w:r>
        <w:t xml:space="preserve">Bisheriger Text (falls vorhanden) — das, was bereits in der LaTeX-Datei steht, als Ausgangsbasis. Bei 1.4 gibt es noch keinen Text — das ist komplett neu zu schreiben.</w:t>
      </w:r>
    </w:p>
    <w:p>
      <w:pPr>
        <w:pStyle w:val="ListParagraph"/>
        <w:numPr>
          <w:ilvl w:val="0"/>
          <w:numId w:val="1"/>
        </w:numPr>
        <w:spacing w:after="100"/>
      </w:pPr>
      <w:r>
        <w:t xml:space="preserve">Meine überarbeitete/neue Fassung — die leeren Zeilen darunter, dort schreibe ich.</w:t>
      </w:r>
    </w:p>
    <w:p>
      <w:pPr>
        <w:spacing w:after="100"/>
      </w:pPr>
    </w:p>
    <w:p>
      <w:pPr>
        <w:spacing w:after="160"/>
      </w:pPr>
      <w:r>
        <w:rPr>
          <w:b/>
          <w:bCs/>
        </w:rPr>
        <w:t xml:space="preserve">Empfehlung zur Vorgehensweise: </w:t>
      </w:r>
      <w:r>
        <w:t xml:space="preserve">Erst selbst schreiben (auch roh/unfertig), dann gemeinsam verfeinern. Konkret schlage ich diesen Ablauf pro Abschnitt vor:</w:t>
      </w:r>
    </w:p>
    <w:p>
      <w:pPr>
        <w:pStyle w:val="ListParagraph"/>
        <w:numPr>
          <w:ilvl w:val="0"/>
          <w:numId w:val="1"/>
        </w:numPr>
        <w:spacing w:after="100"/>
      </w:pPr>
      <w:r>
        <w:t xml:space="preserve">1) Du schreibst hier deine Fassung — orientiert an Anforderung + Hinweisen, ruhig aus dem bisherigen Text heraus umformulieren, wo einer existiert.</w:t>
      </w:r>
    </w:p>
    <w:p>
      <w:pPr>
        <w:pStyle w:val="ListParagraph"/>
        <w:numPr>
          <w:ilvl w:val="0"/>
          <w:numId w:val="1"/>
        </w:numPr>
        <w:spacing w:after="100"/>
      </w:pPr>
      <w:r>
        <w:t xml:space="preserve">2) Du schickst mir den Text (ganzer Abschnitt oder gleich das ganze Kapitel, wie es dir lieber ist).</w:t>
      </w:r>
    </w:p>
    <w:p>
      <w:pPr>
        <w:pStyle w:val="ListParagraph"/>
        <w:numPr>
          <w:ilvl w:val="0"/>
          <w:numId w:val="1"/>
        </w:numPr>
        <w:spacing w:after="100"/>
      </w:pPr>
      <w:r>
        <w:t xml:space="preserve">3) Ich prüfe: Passt es zur Anforderung? Stimmt die Argumentation? Ist der Umfang passend? Fehlt ein Verweis auf ein anderes Kapitel? Danach gebe ich konkrete Änderungsvorschläge statt eines pauschalen "guter Text".</w:t>
      </w:r>
    </w:p>
    <w:p>
      <w:pPr>
        <w:pStyle w:val="ListParagraph"/>
        <w:numPr>
          <w:ilvl w:val="0"/>
          <w:numId w:val="1"/>
        </w:numPr>
        <w:spacing w:after="100"/>
      </w:pPr>
      <w:r>
        <w:t xml:space="preserve">4) Wir iterieren, bis der Abschnitt steht — dann baue ich ihn 1:1 mit den korrekten LaTeX-Befehlen (\label, \ref, \cite, \quellen) wieder ins Dokument ein.</w:t>
      </w:r>
    </w:p>
    <w:p>
      <w:pPr>
        <w:spacing w:after="100"/>
      </w:pPr>
    </w:p>
    <w:p>
      <w:pPr>
        <w:spacing w:after="160"/>
      </w:pPr>
      <w:r>
        <w:t xml:space="preserve">Warum dieser Weg und nicht "ich schreibe vor, du korrigierst": Bei einer Bachelorarbeit muss die Argumentation und der rote Faden von dir kommen — das ist auch das, was Gutachter an deinem eigenen Verständnis erkennen. Ich kann Struktur, Präzision und Anschlussfähigkeit an die anderen Kapitel prüfen und schärfen, aber der inhaltliche Kern (v. a. bei 1.4, wo noch nichts steht) sollte zuerst aus deiner Feder kommen.</w:t>
      </w:r>
    </w:p>
    <w:p>
      <w:pPr>
        <w:spacing w:after="160"/>
      </w:pPr>
      <w:r>
        <w:t xml:space="preserve">Start heute: Abschnitt 1.1 (Unternehmenskontext). Die Abschnitte 1.2, 1.3 und 1.5 haben bereits recht ausgereiften Text — dort geht es eher um Prüfen/Schärfen als ums Neuschreiben. Der eigentliche Lückenfüller ist 1.4 (Abgrenzung), da steht bislang nur der Bauplan, kein Fließtext.</w:t>
      </w:r>
    </w:p>
    <w:p>
      <w:pPr>
        <w:spacing w:after="160"/>
      </w:pPr>
      <w:r>
        <w:rPr>
          <w:b/>
          <w:bCs/>
        </w:rPr>
        <w:t xml:space="preserve">Zwei Zitate bitte nicht verlieren: </w:t>
      </w:r>
      <w:r>
        <w:t xml:space="preserve">In 1.2 werden \cite{Dumas2018} und \cite{Weske2024} verwendet. Falls du den Satz umformulierst, in dem sie stehen, kennzeichne bitte weiterhin an der passenden Stelle "[Quelle: Dumas2018]" bzw. "[Quelle: Weske2024]", damit ich sie beim Rückbau ins LaTeX nicht vergesse.</w:t>
      </w:r>
    </w:p>
    <w:p>
      <w:pPr>
        <w:pBdr>
          <w:bottom w:val="single" w:color="888888" w:sz="6" w:space="1"/>
        </w:pBdr>
        <w:spacing w:after="300" w:before="100"/>
      </w:pPr>
    </w:p>
    <w:p>
      <w:pPr>
        <w:pStyle w:val="Heading1"/>
        <w:spacing w:after="200" w:before="400"/>
      </w:pPr>
      <w:r>
        <w:t xml:space="preserve">1.1 Unternehmenskontext: BayFu und Telefónica</w:t>
      </w:r>
    </w:p>
    <w:tbl>
      <w:tblPr>
        <w:tblW w:type="pct" w:w="100%"/>
        <w:tblBorders>
          <w:top w:val="single" w:color="AAAAAA" w:sz="4"/>
          <w:left w:val="single" w:color="AAAAAA" w:sz="4"/>
          <w:bottom w:val="single" w:color="AAAAAA" w:sz="4"/>
          <w:right w:val="single" w:color="AAAAAA" w:sz="4"/>
          <w:insideH w:val="none" w:color="FFFFFF" w:sz="0"/>
          <w:insideV w:val="none" w:color="FFFFFF" w:sz="0"/>
        </w:tblBorders>
      </w:tblPr>
      <w:tblGrid>
        <w:gridCol w:w="100"/>
      </w:tblGrid>
      <w:tr>
        <w:tc>
          <w:tcPr>
            <w:tcW w:type="pct" w:w="100%"/>
            <w:shd w:fill="D9F2F2" w:val="clear"/>
            <w:tcMar>
              <w:top w:type="dxa" w:w="120"/>
              <w:left w:type="dxa" w:w="150"/>
              <w:bottom w:type="dxa" w:w="120"/>
              <w:right w:type="dxa" w:w="150"/>
            </w:tcMar>
          </w:tcPr>
          <w:p>
            <w:pPr>
              <w:spacing w:after="80"/>
            </w:pPr>
            <w:r>
              <w:rPr>
                <w:b/>
                <w:bCs/>
              </w:rPr>
              <w:t xml:space="preserve">Anforderung lt. Abstimmungsdokument</w:t>
            </w:r>
          </w:p>
          <w:p>
            <w:pPr>
              <w:spacing w:after="60"/>
            </w:pPr>
            <w:r>
              <w:t xml:space="preserve">„Wer die beiden Unternehmen sind, wie sie zusammenarbeiten und welche Rolle Generalunternehmer und ChangeCoordinator im Prozess haben.“</w:t>
            </w:r>
          </w:p>
        </w:tc>
      </w:tr>
    </w:tbl>
    <w:p>
      <w:pPr>
        <w:spacing w:after="100"/>
      </w:pPr>
    </w:p>
    <w:tbl>
      <w:tblPr>
        <w:tblW w:type="pct" w:w="100%"/>
        <w:tblBorders>
          <w:top w:val="single" w:color="AAAAAA" w:sz="4"/>
          <w:left w:val="single" w:color="AAAAAA" w:sz="4"/>
          <w:bottom w:val="single" w:color="AAAAAA" w:sz="4"/>
          <w:right w:val="single" w:color="AAAAAA" w:sz="4"/>
          <w:insideH w:val="none" w:color="FFFFFF" w:sz="0"/>
          <w:insideV w:val="none" w:color="FFFFFF" w:sz="0"/>
        </w:tblBorders>
      </w:tblPr>
      <w:tblGrid>
        <w:gridCol w:w="100"/>
      </w:tblGrid>
      <w:tr>
        <w:tc>
          <w:tcPr>
            <w:tcW w:type="pct" w:w="100%"/>
            <w:shd w:fill="F2F2F2" w:val="clear"/>
            <w:tcMar>
              <w:top w:type="dxa" w:w="120"/>
              <w:left w:type="dxa" w:w="150"/>
              <w:bottom w:type="dxa" w:w="120"/>
              <w:right w:type="dxa" w:w="150"/>
            </w:tcMar>
          </w:tcPr>
          <w:p>
            <w:pPr>
              <w:spacing w:after="80"/>
            </w:pPr>
            <w:r>
              <w:rPr>
                <w:b/>
                <w:bCs/>
              </w:rPr>
              <w:t xml:space="preserve">Vertiefende Hinweise</w:t>
            </w:r>
          </w:p>
          <w:p>
            <w:pPr>
              <w:spacing w:after="60"/>
            </w:pPr>
            <w:r>
              <w:t xml:space="preserve">Firmenprofile knapp halten (je 3–5 Sätze, keine Werbeprosa).</w:t>
            </w:r>
          </w:p>
          <w:p>
            <w:pPr>
              <w:spacing w:after="60"/>
            </w:pPr>
            <w:r>
              <w:t xml:space="preserve">Konkrete Kennzahlen (Standortanzahl, Mitarbeiterzahl BayFu) nur aufnehmen, falls sie belastbar belegt werden können — sonst weglassen statt schätzen.</w:t>
            </w:r>
          </w:p>
          <w:p>
            <w:pPr>
              <w:spacing w:after="60"/>
            </w:pPr>
            <w:r>
              <w:t xml:space="preserve">Die Kooperationsbeziehung GU → BayFu → Telefónica evtl. als kleine Grafik darstellen (dieselben drei Akteure tauchen im Ist-Analyse-Kapitel als Swimlanes wieder auf — auf Konsistenz achten, falls eine Grafik entsteht).</w:t>
            </w:r>
          </w:p>
          <w:p>
            <w:pPr>
              <w:spacing w:after="60"/>
            </w:pPr>
            <w:r>
              <w:t xml:space="preserve">Rolle des ChangeCoordinators laut Anforderung explizit erwähnen — im bisherigen Text fehlt dieser Begriff noch komplett.</w:t>
            </w:r>
          </w:p>
        </w:tc>
      </w:tr>
    </w:tbl>
    <w:p>
      <w:pPr>
        <w:spacing w:after="150"/>
      </w:pPr>
    </w:p>
    <w:p>
      <w:pPr>
        <w:pStyle w:val="Heading2"/>
        <w:spacing w:after="150" w:before="300"/>
      </w:pPr>
      <w:r>
        <w:t xml:space="preserve">Bisheriger Text (Ausgangsbasis)</w:t>
      </w:r>
    </w:p>
    <w:p>
      <w:pPr>
        <w:spacing w:after="160"/>
      </w:pPr>
      <w:r>
        <w:t xml:space="preserve">Der in dieser Arbeit betrachtete Prozess ist nur im Zusammenspiel zweier Unternehmen und ihrer Rollen zu verstehen. Dieser Abschnitt stellt beide Beteiligten und ihre Kooperationsbeziehung vor, bevor die eigentliche Ausgangslage und Problemstellung im nächsten Abschnitt entwickelt werden.</w:t>
      </w:r>
    </w:p>
    <w:p>
      <w:pPr>
        <w:spacing w:after="160"/>
      </w:pPr>
      <w:r>
        <w:rPr>
          <w:b/>
          <w:bCs/>
        </w:rPr>
        <w:t xml:space="preserve">Telefónica Deutschland. </w:t>
      </w:r>
      <w:r>
        <w:t xml:space="preserve">Telefónica (unternehmensintern als TEF bezeichnet) betreibt als einer der großen deutschen Mobilfunkanbieter eine bundesweite Netzinfrastruktur aus Mobilfunkstandorten. Umbau-, Wartungs- und Erweiterungsarbeiten an diesen Standorten müssen geplant, freigegeben und dokumentiert werden. Dazu dient der Change-Request-Prozess (CRQ): Jede geplante Arbeit an einem Mast wird als Change Request beantragt, geprüft und erst nach Freigabe durchgeführt. Telefónica gibt dabei die fachlichen Rahmenbedingungen vor und vergibt am Ende die offizielle CRQ-Nummer sowie den Genehmigungsstatus.</w:t>
      </w:r>
    </w:p>
    <w:p>
      <w:pPr>
        <w:spacing w:after="160"/>
      </w:pPr>
      <w:r>
        <w:rPr>
          <w:b/>
          <w:bCs/>
        </w:rPr>
        <w:t xml:space="preserve">BayFu GmbH. </w:t>
      </w:r>
      <w:r>
        <w:t xml:space="preserve">Die BayFu GmbH mit Sitz in Kolbermoor ist als Subunternehmer für Telefónica tätig und übernimmt die Bearbeitung eingehender Change Requests. BayFu bildet damit die organisatorische Schnittstelle zwischen den ausführenden Generalunternehmern (GU), die die Arbeiten an den Masten durchführen, und dem Mobilfunkanbieter als genehmigender Stelle.</w:t>
      </w:r>
    </w:p>
    <w:p>
      <w:pPr>
        <w:spacing w:after="160"/>
      </w:pPr>
      <w:r>
        <w:rPr>
          <w:b/>
          <w:bCs/>
        </w:rPr>
        <w:t xml:space="preserve">Kooperationsbeziehung und Einordnung der Arbeit. </w:t>
      </w:r>
      <w:r>
        <w:t xml:space="preserve">Im bestehenden Ablauf reichen die Generalunternehmer ihre Anträge bei BayFu ein; BayFu prüft sie und überträgt die freigegebenen Daten in das System von Telefónica. BayFu bearbeitet derzeit nur einen Teil der bei Telefónica eingehenden Change Requests, soll dieses Aufgabenfeld künftig jedoch vollständig übernehmen. Aus dieser absehbaren Ausweitung des Mengengerüsts bei gleichbleibenden personellen Kapazitäten ergibt sich der unmittelbare Anlass für das in dieser Arbeit entwickelte System.</w:t>
      </w:r>
    </w:p>
    <w:p>
      <w:pPr>
        <w:spacing w:after="160"/>
      </w:pPr>
      <w:r>
        <w:rPr>
          <w:b/>
          <w:bCs/>
        </w:rPr>
        <w:t xml:space="preserve">Noch offen im bisherigen Text: </w:t>
      </w:r>
      <w:r>
        <w:t xml:space="preserve">Die Rolle des ChangeCoordinators wird noch nicht erwähnt, obwohl die Anforderung sie explizit fordert. Ebenso ist noch nicht entschieden, ob die Kooperationsbeziehung als Grafik ergänzt wird.</w:t>
      </w:r>
    </w:p>
    <w:p>
      <w:pPr>
        <w:spacing w:after="150"/>
      </w:pPr>
    </w:p>
    <w:p>
      <w:pPr>
        <w:pStyle w:val="Heading2"/>
        <w:spacing w:after="150" w:before="300"/>
      </w:pPr>
      <w:r>
        <w:t xml:space="preserve">Meine überarbeitete Fassung von 1.1</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bl>
    <w:p>
      <w:pPr>
        <w:pBdr>
          <w:bottom w:val="single" w:color="888888" w:sz="6" w:space="1"/>
        </w:pBdr>
        <w:spacing w:after="300" w:before="100"/>
      </w:pPr>
    </w:p>
    <w:p>
      <w:pPr>
        <w:pStyle w:val="Heading1"/>
        <w:spacing w:after="200" w:before="400"/>
      </w:pPr>
      <w:r>
        <w:t xml:space="preserve">1.2 Ausgangslage und Problemstellung</w:t>
      </w:r>
    </w:p>
    <w:tbl>
      <w:tblPr>
        <w:tblW w:type="pct" w:w="100%"/>
        <w:tblBorders>
          <w:top w:val="single" w:color="AAAAAA" w:sz="4"/>
          <w:left w:val="single" w:color="AAAAAA" w:sz="4"/>
          <w:bottom w:val="single" w:color="AAAAAA" w:sz="4"/>
          <w:right w:val="single" w:color="AAAAAA" w:sz="4"/>
          <w:insideH w:val="none" w:color="FFFFFF" w:sz="0"/>
          <w:insideV w:val="none" w:color="FFFFFF" w:sz="0"/>
        </w:tblBorders>
      </w:tblPr>
      <w:tblGrid>
        <w:gridCol w:w="100"/>
      </w:tblGrid>
      <w:tr>
        <w:tc>
          <w:tcPr>
            <w:tcW w:type="pct" w:w="100%"/>
            <w:shd w:fill="D9F2F2" w:val="clear"/>
            <w:tcMar>
              <w:top w:type="dxa" w:w="120"/>
              <w:left w:type="dxa" w:w="150"/>
              <w:bottom w:type="dxa" w:w="120"/>
              <w:right w:type="dxa" w:w="150"/>
            </w:tcMar>
          </w:tcPr>
          <w:p>
            <w:pPr>
              <w:spacing w:after="80"/>
            </w:pPr>
            <w:r>
              <w:rPr>
                <w:b/>
                <w:bCs/>
              </w:rPr>
              <w:t xml:space="preserve">Anforderung lt. Abstimmungsdokument</w:t>
            </w:r>
          </w:p>
          <w:p>
            <w:pPr>
              <w:spacing w:after="60"/>
            </w:pPr>
            <w:r>
              <w:t xml:space="preserve">„Der Prozess läuft über Excel und E-Mail bei steigender Antragslast; daraus die konkreten Fehlerquellen und die fehlende Nachvollziehbarkeit.“</w:t>
            </w:r>
          </w:p>
        </w:tc>
      </w:tr>
    </w:tbl>
    <w:p>
      <w:pPr>
        <w:spacing w:after="150"/>
      </w:pPr>
    </w:p>
    <w:p>
      <w:pPr>
        <w:pStyle w:val="Heading2"/>
        <w:spacing w:after="150" w:before="300"/>
      </w:pPr>
      <w:r>
        <w:t xml:space="preserve">Bisheriger Text (Ausgangsbasis — bereits recht ausgereift)</w:t>
      </w:r>
    </w:p>
    <w:p>
      <w:pPr>
        <w:spacing w:after="160"/>
      </w:pPr>
      <w:r>
        <w:t xml:space="preserve">Die Automatisierung von Geschäftsprozessen ist für Unternehmen mit repetitiven, partnerübergreifenden Abläufen längst keine Option mehr, sondern eine betriebliche Notwendigkeit [Quelle: Dumas2018, Weske2024]. Mit wachsenden Aufgabenmengen, steigenden Qualitätsanforderungen und einem zunehmenden Mangel an qualifizierten Fachkräften geraten manuell betriebene Prozesse zunehmend an ihre Kapazitätsgrenzen. Besonders deutlich zeigt sich dieses Spannungsfeld in Branchen mit komplexen, unternehmensübergreifenden Abstimmungsprozessen — wie im hier betrachteten Change-Request-Prozess der Mobilfunkinfrastruktur (vgl. Abschnitt 1.1).</w:t>
      </w:r>
    </w:p>
    <w:p>
      <w:pPr>
        <w:spacing w:after="160"/>
      </w:pPr>
      <w:r>
        <w:t xml:space="preserve">Bevor ein Generalunternehmer Umbau- oder Wartungsarbeiten an einem Mobilfunkmast durchführen darf, muss zunächst ein Change Request beantragt und genehmigt werden. Bei der BayFu GmbH läuft dieser Prozess derzeit vollständig manuell ab: Der GU füllt ein Excel-Template aus und übermittelt es per E-Mail an ein zentrales CRQ-Postfach. Dort prüfen BayFu-Mitarbeitende die Angaben händisch und übertragen sie anschließend erneut manuell in das System des Mobilfunkanbieters. Erst durch diese Eintragung erhält der Change Request eine offizielle CRQ-Nummer und durchläuft das interne Genehmigungsverfahren, an dessen Ende der GU erfährt, ob mit den Arbeiten begonnen werden darf.</w:t>
      </w:r>
    </w:p>
    <w:p>
      <w:pPr>
        <w:spacing w:after="160"/>
      </w:pPr>
      <w:r>
        <w:t xml:space="preserve">Für diesen Prozess besteht sowohl aus betrieblicher als auch aus wissenschaftlicher Sicht Handlungsbedarf.</w:t>
      </w:r>
    </w:p>
    <w:p>
      <w:pPr>
        <w:spacing w:after="160"/>
      </w:pPr>
      <w:r>
        <w:rPr>
          <w:b/>
          <w:bCs/>
        </w:rPr>
        <w:t xml:space="preserve">Betriebliche Motivation. </w:t>
      </w:r>
      <w:r>
        <w:t xml:space="preserve">BayFu bearbeitet aktuell nur einen Teil der bei Telefónica eingehenden CRQs, wird künftig jedoch sämtliche Anfragen übernehmen. Mit dieser Ausweitung steigt die Arbeitslast, während die personellen Kapazitäten begrenzt bleiben. Durch die Automatisierung des Prozesses erhofft sich BayFu, das wachsende Anfragevolumen bewältigen und gleichzeitig Mitarbeiterressourcen für andere Aufgaben freisetzen zu können.</w:t>
      </w:r>
    </w:p>
    <w:p>
      <w:pPr>
        <w:spacing w:after="160"/>
      </w:pPr>
      <w:r>
        <w:rPr>
          <w:b/>
          <w:bCs/>
        </w:rPr>
        <w:t xml:space="preserve">Wissenschaftliche Motivation. </w:t>
      </w:r>
      <w:r>
        <w:t xml:space="preserve">Das Vorhaben bietet die Möglichkeit, Prinzipien der Geschäftsprozessautomatisierung an einem realen, praxisnahen Fall zu untersuchen und anzuwenden. Von besonderem Interesse ist dabei, wie ein gewachsener, informeller Prozess systematisch analysiert, in Anforderungen überführt und schließlich in ein strukturiertes Softwaresystem umgesetzt werden kann. Darüber hinaus wird untersucht, welchen konkreten Einfluss strukturierte Eingabemasken und automatisierte Validierungsmechanismen auf die Datenqualität haben und ob sich dieser Einfluss nachvollziehbar belegen lässt.</w:t>
      </w:r>
    </w:p>
    <w:p>
      <w:pPr>
        <w:spacing w:after="160"/>
      </w:pPr>
      <w:r>
        <w:t xml:space="preserve">Der bestehende, Excel-basierte Prozess weist an mehreren Stellen strukturelle Fehlerquellen auf. Bereits beim Ausfüllen des Excel-Templates durch den GU besteht die Gefahr, dass Werte in falsche Zellen eingetragen werden, Ziffern einer Standort-Identifikationsnummer fehlen oder im E-Mail-Betreff eine andere Maststandortnummer angegeben wird als im Nachrichtentext. Da Excel keine strukturierten Eingabemöglichkeiten erzwingt, kann grundsätzlich jedes Feld mit beliebigem Freitext befüllt werden.</w:t>
      </w:r>
    </w:p>
    <w:p>
      <w:pPr>
        <w:spacing w:after="160"/>
      </w:pPr>
      <w:r>
        <w:t xml:space="preserve">Nach dem Absenden landen die E-Mails im CRQ-Postfach, wo eine Ad-hoc-Lösung auf Basis von Microsoft Power Apps die Excel-Daten strukturiert darstellt. Diese Lösung stößt jedoch an Grenzen: Zum einen lassen sich zentrale Funktionen mit Power Apps nicht umsetzen, zum anderen kann bei mehreren zusammengehörigen E-Mails zu einem CRQ — etwa wenn ein GU eine fehlerhafte Anfrage korrigiert — nicht zuverlässig nachvollzogen werden, welche Nachrichten zueinander gehören. Auch bei der händischen Prüfung und Übertragung der Daten in das System des Mobilfunkanbieters können Fehler entstehen, was bei manuellem Handeln nie vollständig auszuschließen ist.</w:t>
      </w:r>
    </w:p>
    <w:p>
      <w:pPr>
        <w:spacing w:after="160"/>
      </w:pPr>
      <w:r>
        <w:t xml:space="preserve">Wie fehleranfällig ein rein formatbasierter, nicht strukturell validierter Dateneingang sein kann, zeigt exemplarisch ein Fall, der im Rahmen der Prozessanalyse zu dieser Arbeit dokumentiert wurde: Reduziert ein GU in einer Korrektur-E-Mail die Anzahl der beantragten Tage im Excel-Template, bleiben die dadurch überflüssigen Ausfallzeilen im Dokument erhalten und werden von Excel lediglich ausgeblendet. Der bestehende, teilautomatisierte Verarbeitungsprozess liest jedoch sämtliche Zeilen ein — auch die ausgeblendeten — und erkennt dadurch eine scheinbare Überschneidung mit dem ursprünglichen CRQ. In der Folge wird die eigentlich valide Korrekturanfrage fälschlicherweise verworfen, ohne dass der GU eine nachvollziehbare Rückmeldung erhält. Dieser Fall macht deutlich, dass Fehlerquellen im bestehenden Prozess nicht nur bei der manuellen Dateneingabe selbst entstehen, sondern auch dort, wo bereits automatisierte Verarbeitungsschritte auf einem strukturell ungesicherten Format wie Excel aufsetzen. Eine ausführliche Analyse dieses und weiterer Fälle folgt im Ist-Analyse-Kapitel.</w:t>
      </w:r>
    </w:p>
    <w:p>
      <w:pPr>
        <w:spacing w:after="160"/>
      </w:pPr>
      <w:r>
        <w:t xml:space="preserve">Aus wissenschaftlicher Sicht stellt sich zunächst die Frage, wie sich ein solcher Prozess überhaupt systematisch erfassen und bewerten lässt: Der bestehende Ablauf ist kaum dokumentiert und stützt sich in weiten Teilen auf das Erfahrungswissen einzelner Mitarbeitender. Daraus ergibt sich die Herausforderung, zunächst ein vollständiges Bild des Ist-Zustands zu erarbeiten, bevor Anforderungen an ein neues System formuliert werden können. Darüber hinaus stellt sich die Frage, wie sich der Erfolg einer Automatisierung objektiv messen lässt — welche Kennzahlen, etwa Bearbeitungszeit, Fehlerquote oder Datenqualität, sich eignen, um den Unterschied zwischen altem und neuem Prozess nachvollziehbar zu belegen. Dieser Frage widmet sich das Evaluationskapitel.</w:t>
      </w:r>
    </w:p>
    <w:p>
      <w:pPr>
        <w:spacing w:after="160"/>
      </w:pPr>
      <w:r>
        <w:rPr>
          <w:b/>
          <w:bCs/>
        </w:rPr>
        <w:t xml:space="preserve">Einschätzung: </w:t>
      </w:r>
      <w:r>
        <w:t xml:space="preserve">Dieser Abschnitt erfüllt die Anforderung inhaltlich bereits vollständig. Beim Überarbeiten lohnt sich vor allem ein Blick auf die Länge (aktuell deutlich der umfangreichste der fünf Abschnitte) und darauf, ob sich etwas straffen lässt, ohne die beiden Motivationsstränge oder das Fallbeispiel zu verlieren.</w:t>
      </w:r>
    </w:p>
    <w:p>
      <w:pPr>
        <w:spacing w:after="150"/>
      </w:pPr>
    </w:p>
    <w:p>
      <w:pPr>
        <w:pStyle w:val="Heading2"/>
        <w:spacing w:after="150" w:before="300"/>
      </w:pPr>
      <w:r>
        <w:t xml:space="preserve">Meine überarbeitete Fassung von 1.2</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bl>
    <w:p>
      <w:pPr>
        <w:pBdr>
          <w:bottom w:val="single" w:color="888888" w:sz="6" w:space="1"/>
        </w:pBdr>
        <w:spacing w:after="300" w:before="100"/>
      </w:pPr>
    </w:p>
    <w:p>
      <w:pPr>
        <w:pStyle w:val="Heading1"/>
        <w:spacing w:after="200" w:before="400"/>
      </w:pPr>
      <w:r>
        <w:t xml:space="preserve">1.3 Zielsetzung und Forschungsfragen</w:t>
      </w:r>
    </w:p>
    <w:tbl>
      <w:tblPr>
        <w:tblW w:type="pct" w:w="100%"/>
        <w:tblBorders>
          <w:top w:val="single" w:color="AAAAAA" w:sz="4"/>
          <w:left w:val="single" w:color="AAAAAA" w:sz="4"/>
          <w:bottom w:val="single" w:color="AAAAAA" w:sz="4"/>
          <w:right w:val="single" w:color="AAAAAA" w:sz="4"/>
          <w:insideH w:val="none" w:color="FFFFFF" w:sz="0"/>
          <w:insideV w:val="none" w:color="FFFFFF" w:sz="0"/>
        </w:tblBorders>
      </w:tblPr>
      <w:tblGrid>
        <w:gridCol w:w="100"/>
      </w:tblGrid>
      <w:tr>
        <w:tc>
          <w:tcPr>
            <w:tcW w:type="pct" w:w="100%"/>
            <w:shd w:fill="D9F2F2" w:val="clear"/>
            <w:tcMar>
              <w:top w:type="dxa" w:w="120"/>
              <w:left w:type="dxa" w:w="150"/>
              <w:bottom w:type="dxa" w:w="120"/>
              <w:right w:type="dxa" w:w="150"/>
            </w:tcMar>
          </w:tcPr>
          <w:p>
            <w:pPr>
              <w:spacing w:after="80"/>
            </w:pPr>
            <w:r>
              <w:rPr>
                <w:b/>
                <w:bCs/>
              </w:rPr>
              <w:t xml:space="preserve">Anforderung lt. Abstimmungsdokument</w:t>
            </w:r>
          </w:p>
          <w:p>
            <w:pPr>
              <w:spacing w:after="60"/>
            </w:pPr>
            <w:r>
              <w:t xml:space="preserve">„Hauptforschungsfrage und die sechs Unterfragen.“</w:t>
            </w:r>
          </w:p>
        </w:tc>
      </w:tr>
    </w:tbl>
    <w:p>
      <w:pPr>
        <w:spacing w:after="150"/>
      </w:pPr>
    </w:p>
    <w:p>
      <w:pPr>
        <w:pStyle w:val="Heading2"/>
        <w:spacing w:after="150" w:before="300"/>
      </w:pPr>
      <w:r>
        <w:t xml:space="preserve">Bisheriger Text (Ausgangsbasis — bereits vollständig)</w:t>
      </w:r>
    </w:p>
    <w:p>
      <w:pPr>
        <w:spacing w:after="160"/>
      </w:pPr>
      <w:r>
        <w:t xml:space="preserve">Ziel dieser Bachelorarbeit ist die Analyse, Konzeption und prototypische Umsetzung eines automatisierten Systems zur Verwaltung von Change Requests. Die Lösung soll sowohl die Dateneingabe durch externe Generalunternehmer als auch die interne Bearbeitung, Validierung und Statusverfolgung durch BayFu-Mitarbeitende umfassen. Übergeordnetes Ziel ist die nachvollziehbare Verbesserung von Effizienz, Datenqualität und Prozesssicherheit gegenüber dem bestehenden, manuellen Prozess.</w:t>
      </w:r>
    </w:p>
    <w:p>
      <w:pPr>
        <w:spacing w:after="160"/>
      </w:pPr>
      <w:r>
        <w:t xml:space="preserve">Die Hauptforschungsfrage dieser Arbeit lautet:</w:t>
      </w:r>
    </w:p>
    <w:p>
      <w:pPr>
        <w:spacing w:after="160"/>
        <w:ind w:left="400"/>
      </w:pPr>
      <w:r>
        <w:rPr>
          <w:i/>
          <w:iCs/>
        </w:rPr>
        <w:t xml:space="preserve">„Wie kann ein manueller Change-Request-Prozess durch eine automatisierte Systemlösung optimiert werden, und welche Auswirkungen hat dies auf Effizienz, Datenqualität und Prozesssicherheit?“</w:t>
      </w:r>
    </w:p>
    <w:p>
      <w:pPr>
        <w:spacing w:after="160"/>
      </w:pPr>
      <w:r>
        <w:t xml:space="preserve">Zur Beantwortung dieser Hauptfrage werden folgende Unterfragen behandelt:</w:t>
      </w:r>
    </w:p>
    <w:p>
      <w:pPr>
        <w:pStyle w:val="ListParagraph"/>
        <w:numPr>
          <w:ilvl w:val="0"/>
          <w:numId w:val="1"/>
        </w:numPr>
        <w:spacing w:after="100"/>
      </w:pPr>
      <w:r>
        <w:t xml:space="preserve">(1) Prozessanalyse: Wie ist der bestehende Prozess aufgebaut, und wo liegen die zentralen Schwachstellen? Welche Schritte verursachen den größten Zeit- und Fehleraufwand?</w:t>
      </w:r>
    </w:p>
    <w:p>
      <w:pPr>
        <w:pStyle w:val="ListParagraph"/>
        <w:numPr>
          <w:ilvl w:val="0"/>
          <w:numId w:val="1"/>
        </w:numPr>
        <w:spacing w:after="100"/>
      </w:pPr>
      <w:r>
        <w:t xml:space="preserve">(2) Anforderungen und Systemdesign: Welche funktionalen und nicht-funktionalen Anforderungen ergeben sich? Welche Softwarearchitektur eignet sich für eine skalierbare und wartbare Umsetzung?</w:t>
      </w:r>
    </w:p>
    <w:p>
      <w:pPr>
        <w:pStyle w:val="ListParagraph"/>
        <w:numPr>
          <w:ilvl w:val="0"/>
          <w:numId w:val="1"/>
        </w:numPr>
        <w:spacing w:after="100"/>
      </w:pPr>
      <w:r>
        <w:t xml:space="preserve">(3) Datenqualität und Validierung: Wie lassen sich Eingabefehler durch strukturierte Eingabemasken und Validierungsmechanismen reduzieren? Welche Validierungsregeln sind erforderlich?</w:t>
      </w:r>
    </w:p>
    <w:p>
      <w:pPr>
        <w:pStyle w:val="ListParagraph"/>
        <w:numPr>
          <w:ilvl w:val="0"/>
          <w:numId w:val="1"/>
        </w:numPr>
        <w:spacing w:after="100"/>
      </w:pPr>
      <w:r>
        <w:t xml:space="preserve">(4) Benutzerfreundlichkeit (UI/UX): Wie muss eine Oberfläche gestaltet sein, damit sie intuitiv und fehlerarm nutzbar ist? Welche Unterschiede bestehen gegenüber einer Excel-basierten Lösung hinsichtlich der Usability?</w:t>
      </w:r>
    </w:p>
    <w:p>
      <w:pPr>
        <w:pStyle w:val="ListParagraph"/>
        <w:numPr>
          <w:ilvl w:val="0"/>
          <w:numId w:val="1"/>
        </w:numPr>
        <w:spacing w:after="100"/>
      </w:pPr>
      <w:r>
        <w:t xml:space="preserve">(5) Automatisierung und Integration: Welche Prozessschritte lassen sich vollständig automatisieren, und wo ist eine manuelle Prüfung weiterhin erforderlich? Welche Vor- und Nachteile hat eine zur Laufzeit konfigurierbare Regelbasis gegenüber einer fest im Quelltext verankerten Automatisierungslogik?</w:t>
      </w:r>
    </w:p>
    <w:p>
      <w:pPr>
        <w:pStyle w:val="ListParagraph"/>
        <w:numPr>
          <w:ilvl w:val="0"/>
          <w:numId w:val="1"/>
        </w:numPr>
        <w:spacing w:after="100"/>
      </w:pPr>
      <w:r>
        <w:t xml:space="preserve">(6) Evaluation und Nutzen: Welche Auswirkungen hat die Automatisierung auf Bearbeitungszeit, Fehlerquote und Datenqualität? Wie verändert sich die Prozesssicherheit und Nachvollziehbarkeit?</w:t>
      </w:r>
    </w:p>
    <w:p>
      <w:pPr>
        <w:spacing w:after="160"/>
      </w:pPr>
      <w:r>
        <w:t xml:space="preserve">Die konkrete Systemarchitektur, die im Rahmen dieser Arbeit entworfen und prototypisch umgesetzt wurde, wird im Architektur-Kapitel hergeleitet und im Realisierungs-Kapitel im Detail beschrieben. Die Beantwortung der hier formulierten Forschungsfragen erfolgt gebündelt und explizit im Diskussionskapitel.</w:t>
      </w:r>
    </w:p>
    <w:p>
      <w:pPr>
        <w:spacing w:after="160"/>
      </w:pPr>
      <w:r>
        <w:rPr>
          <w:b/>
          <w:bCs/>
        </w:rPr>
        <w:t xml:space="preserve">Einschätzung: </w:t>
      </w:r>
      <w:r>
        <w:t xml:space="preserve">Dieser Abschnitt ist inhaltlich fertig und passt exakt zur Anforderung. Beim Überarbeiten geht es vor allem um Feinschliff der Formulierungen, nicht um neue Inhalte.</w:t>
      </w:r>
    </w:p>
    <w:p>
      <w:pPr>
        <w:spacing w:after="150"/>
      </w:pPr>
    </w:p>
    <w:p>
      <w:pPr>
        <w:pStyle w:val="Heading2"/>
        <w:spacing w:after="150" w:before="300"/>
      </w:pPr>
      <w:r>
        <w:t xml:space="preserve">Meine überarbeitete Fassung von 1.3</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bl>
    <w:p>
      <w:pPr>
        <w:pBdr>
          <w:bottom w:val="single" w:color="888888" w:sz="6" w:space="1"/>
        </w:pBdr>
        <w:spacing w:after="300" w:before="100"/>
      </w:pPr>
    </w:p>
    <w:p>
      <w:pPr>
        <w:pStyle w:val="Heading1"/>
        <w:spacing w:after="200" w:before="400"/>
      </w:pPr>
      <w:r>
        <w:t xml:space="preserve">1.4 Abgrenzung des Betrachtungsgegenstands</w:t>
      </w:r>
    </w:p>
    <w:tbl>
      <w:tblPr>
        <w:tblW w:type="pct" w:w="100%"/>
        <w:tblBorders>
          <w:top w:val="single" w:color="AAAAAA" w:sz="4"/>
          <w:left w:val="single" w:color="AAAAAA" w:sz="4"/>
          <w:bottom w:val="single" w:color="AAAAAA" w:sz="4"/>
          <w:right w:val="single" w:color="AAAAAA" w:sz="4"/>
          <w:insideH w:val="none" w:color="FFFFFF" w:sz="0"/>
          <w:insideV w:val="none" w:color="FFFFFF" w:sz="0"/>
        </w:tblBorders>
      </w:tblPr>
      <w:tblGrid>
        <w:gridCol w:w="100"/>
      </w:tblGrid>
      <w:tr>
        <w:tc>
          <w:tcPr>
            <w:tcW w:type="pct" w:w="100%"/>
            <w:shd w:fill="D9F2F2" w:val="clear"/>
            <w:tcMar>
              <w:top w:type="dxa" w:w="120"/>
              <w:left w:type="dxa" w:w="150"/>
              <w:bottom w:type="dxa" w:w="120"/>
              <w:right w:type="dxa" w:w="150"/>
            </w:tcMar>
          </w:tcPr>
          <w:p>
            <w:pPr>
              <w:spacing w:after="80"/>
            </w:pPr>
            <w:r>
              <w:rPr>
                <w:b/>
                <w:bCs/>
              </w:rPr>
              <w:t xml:space="preserve">Anforderung lt. Abstimmungsdokument</w:t>
            </w:r>
          </w:p>
          <w:p>
            <w:pPr>
              <w:spacing w:after="60"/>
            </w:pPr>
            <w:r>
              <w:t xml:space="preserve">„Was eigene Leistung ist, was aus der Low-Code-Lösung und der AdHoc-Anwendung übernommen wurde, was ein Kollege beigetragen hat, und wo die Systemgrenze zum Zielsystem verläuft.“</w:t>
            </w:r>
          </w:p>
        </w:tc>
      </w:tr>
    </w:tbl>
    <w:p>
      <w:pPr>
        <w:spacing w:after="100"/>
      </w:pPr>
    </w:p>
    <w:tbl>
      <w:tblPr>
        <w:tblW w:type="pct" w:w="100%"/>
        <w:tblBorders>
          <w:top w:val="single" w:color="AAAAAA" w:sz="4"/>
          <w:left w:val="single" w:color="AAAAAA" w:sz="4"/>
          <w:bottom w:val="single" w:color="AAAAAA" w:sz="4"/>
          <w:right w:val="single" w:color="AAAAAA" w:sz="4"/>
          <w:insideH w:val="none" w:color="FFFFFF" w:sz="0"/>
          <w:insideV w:val="none" w:color="FFFFFF" w:sz="0"/>
        </w:tblBorders>
      </w:tblPr>
      <w:tblGrid>
        <w:gridCol w:w="100"/>
      </w:tblGrid>
      <w:tr>
        <w:tc>
          <w:tcPr>
            <w:tcW w:type="pct" w:w="100%"/>
            <w:shd w:fill="F2F2F2" w:val="clear"/>
            <w:tcMar>
              <w:top w:type="dxa" w:w="120"/>
              <w:left w:type="dxa" w:w="150"/>
              <w:bottom w:type="dxa" w:w="120"/>
              <w:right w:type="dxa" w:w="150"/>
            </w:tcMar>
          </w:tcPr>
          <w:p>
            <w:pPr>
              <w:spacing w:after="80"/>
            </w:pPr>
            <w:r>
              <w:rPr>
                <w:b/>
                <w:bCs/>
              </w:rPr>
              <w:t xml:space="preserve">Vertiefende Hinweise — hier steht noch kein Fließtext, das ist komplett neu zu schreiben</w:t>
            </w:r>
          </w:p>
          <w:p>
            <w:pPr>
              <w:spacing w:after="60"/>
            </w:pPr>
            <w:r>
              <w:t xml:space="preserve">Ziel: klar abgrenzen, was Gegenstand dieser Arbeit ist und was nicht — schafft von Anfang an einen sauberen Betrachtungsrahmen und nimmt der späteren Diskussion die Last, Abweichungen nachträglich rechtfertigen zu müssen. Bewusst knapp halten (ca. 0,5–0,7 Seite).</w:t>
            </w:r>
          </w:p>
          <w:p>
            <w:pPr>
              <w:spacing w:after="60"/>
            </w:pPr>
            <w:r>
              <w:t xml:space="preserve">(1) Systemgrenze zum TEF-System: Die Übertragung an Telefónica ist architektonisch vollständig vorbereitet (Interface ITefService), aber mangels Zugriff auf die echte Telefónica-API nicht produktiv angebunden (TefServiceStub). Klar als bewusste, dokumentierte Systemgrenze kennzeichnen, nicht als unfertige Arbeit.</w:t>
            </w:r>
          </w:p>
          <w:p>
            <w:pPr>
              <w:spacing w:after="60"/>
            </w:pPr>
            <w:r>
              <w:t xml:space="preserve">(2) Eigenleistung vs. Übernahme: Welche Systemteile eigene Konzeptions- und Entwicklungsleistung sind (GU-Panel, Backend, Admin-/ChangeCoordinator-Panel, TEF-Automatisierung) und welche übernommen wurden (fachliche Incident-Logik aus einem Studentenprojekt eines Kollegen; Power-Apps-Vorgängerlösung als fremde Referenz).</w:t>
            </w:r>
          </w:p>
          <w:p>
            <w:pPr>
              <w:spacing w:after="60"/>
            </w:pPr>
            <w:r>
              <w:t xml:space="preserve">(3) Nachträglicher Scope-Zuwachs: Das Exposé (März 2026) und die spätere Scope-Abgrenzung (30.04.2026) sahen einen engeren Umfang vor als tatsächlich umgesetzt (CC-Panel, TEF-Automatisierung, Incident-Handling waren ursprünglich ausgeschlossen). Hier nur benennen, dass der Umfang gewachsen ist — die inhaltliche Reflexion dieses Zuwachses gehört ins Diskussionskapitel, nicht hierher.</w:t>
            </w:r>
          </w:p>
          <w:p>
            <w:pPr>
              <w:spacing w:after="60"/>
            </w:pPr>
            <w:r>
              <w:t xml:space="preserve">(4) Nicht Gegenstand der Forschungsfrage: Incident-Erfassung (fachfremd, nur Teil des realisierten Gesamtsystems) explizit ausklammern.</w:t>
            </w:r>
          </w:p>
          <w:p>
            <w:pPr>
              <w:spacing w:after="60"/>
            </w:pPr>
            <w:r>
              <w:t xml:space="preserve">Keine externen Quellen nötig — es geht um einen internen Abgleich von Scope-Dokument/Exposé gegen das tatsächlich realisierte System.</w:t>
            </w:r>
          </w:p>
        </w:tc>
      </w:tr>
    </w:tbl>
    <w:p>
      <w:pPr>
        <w:spacing w:after="150"/>
      </w:pPr>
    </w:p>
    <w:p>
      <w:pPr>
        <w:spacing w:after="160"/>
      </w:pPr>
      <w:r>
        <w:rPr>
          <w:b/>
          <w:bCs/>
        </w:rPr>
        <w:t xml:space="preserve">Hinweis: </w:t>
      </w:r>
      <w:r>
        <w:t xml:space="preserve">Das ist der einzige Abschnitt der Einleitung, der noch komplett leer ist. Hier lohnt es sich am meisten, mit einer eigenen Rohfassung zu starten — auch stichpunktartig ist schon hilfreich, ich helfe dir dann beim Ausformulieren zu Fließtext.</w:t>
      </w:r>
    </w:p>
    <w:p>
      <w:pPr>
        <w:spacing w:after="150"/>
      </w:pPr>
    </w:p>
    <w:p>
      <w:pPr>
        <w:pStyle w:val="Heading2"/>
        <w:spacing w:after="150" w:before="300"/>
      </w:pPr>
      <w:r>
        <w:t xml:space="preserve">Meine Fassung von 1.4 (neu)</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bl>
    <w:p>
      <w:pPr>
        <w:pBdr>
          <w:bottom w:val="single" w:color="888888" w:sz="6" w:space="1"/>
        </w:pBdr>
        <w:spacing w:after="300" w:before="100"/>
      </w:pPr>
    </w:p>
    <w:p>
      <w:pPr>
        <w:pStyle w:val="Heading1"/>
        <w:spacing w:after="200" w:before="400"/>
      </w:pPr>
      <w:r>
        <w:t xml:space="preserve">1.5 Aufbau der Arbeit</w:t>
      </w:r>
    </w:p>
    <w:tbl>
      <w:tblPr>
        <w:tblW w:type="pct" w:w="100%"/>
        <w:tblBorders>
          <w:top w:val="single" w:color="AAAAAA" w:sz="4"/>
          <w:left w:val="single" w:color="AAAAAA" w:sz="4"/>
          <w:bottom w:val="single" w:color="AAAAAA" w:sz="4"/>
          <w:right w:val="single" w:color="AAAAAA" w:sz="4"/>
          <w:insideH w:val="none" w:color="FFFFFF" w:sz="0"/>
          <w:insideV w:val="none" w:color="FFFFFF" w:sz="0"/>
        </w:tblBorders>
      </w:tblPr>
      <w:tblGrid>
        <w:gridCol w:w="100"/>
      </w:tblGrid>
      <w:tr>
        <w:tc>
          <w:tcPr>
            <w:tcW w:type="pct" w:w="100%"/>
            <w:shd w:fill="D9F2F2" w:val="clear"/>
            <w:tcMar>
              <w:top w:type="dxa" w:w="120"/>
              <w:left w:type="dxa" w:w="150"/>
              <w:bottom w:type="dxa" w:w="120"/>
              <w:right w:type="dxa" w:w="150"/>
            </w:tcMar>
          </w:tcPr>
          <w:p>
            <w:pPr>
              <w:spacing w:after="80"/>
            </w:pPr>
            <w:r>
              <w:rPr>
                <w:b/>
                <w:bCs/>
              </w:rPr>
              <w:t xml:space="preserve">Anforderung lt. Abstimmungsdokument</w:t>
            </w:r>
          </w:p>
          <w:p>
            <w:pPr>
              <w:spacing w:after="60"/>
            </w:pPr>
            <w:r>
              <w:t xml:space="preserve">„Ein Absatz Kapitelüberblick.“</w:t>
            </w:r>
          </w:p>
        </w:tc>
      </w:tr>
    </w:tbl>
    <w:p>
      <w:pPr>
        <w:spacing w:after="150"/>
      </w:pPr>
    </w:p>
    <w:p>
      <w:pPr>
        <w:pStyle w:val="Heading2"/>
        <w:spacing w:after="150" w:before="300"/>
      </w:pPr>
      <w:r>
        <w:t xml:space="preserve">Bisheriger Text (Ausgangsbasis — bereits vollständig)</w:t>
      </w:r>
    </w:p>
    <w:p>
      <w:pPr>
        <w:spacing w:after="160"/>
      </w:pPr>
      <w:r>
        <w:t xml:space="preserve">Die vorliegende Arbeit gliedert sich in neun Kapitel sowie einen Anhang.</w:t>
      </w:r>
    </w:p>
    <w:p>
      <w:pPr>
        <w:spacing w:after="160"/>
      </w:pPr>
      <w:r>
        <w:t xml:space="preserve">Kapitel 2 legt die theoretischen und technischen Grundlagen, auf denen die weiteren Kapitel aufbauen: den Change-Request-Prozess als Geschäftsprozess, Automatisierung und regelbasierte Entscheidungslogik, Datenqualität und Eingabevalidierung, Architektur- und Sicherheitsprinzipien sowie eine Einordnung bestehender Lösungsansätze.</w:t>
      </w:r>
    </w:p>
    <w:p>
      <w:pPr>
        <w:spacing w:after="160"/>
      </w:pPr>
      <w:r>
        <w:t xml:space="preserve">Kapitel 3 beschreibt das methodische Vorgehen der Arbeit: die Forschungslogik, die Art und Weise, wie der bislang undokumentierte Ist-Zustand erhoben wurde, und das Verfahren, nach dem die Entwurfsentscheidungen getroffen und dokumentiert wurden.</w:t>
      </w:r>
    </w:p>
    <w:p>
      <w:pPr>
        <w:spacing w:after="160"/>
      </w:pPr>
      <w:r>
        <w:t xml:space="preserve">Kapitel 4 dokumentiert und analysiert den bestehenden, manuellen CRQ-Prozess bei BayFu im Detail, einschließlich der zuvor skizzierten Fehlerquellen, und leitet daraus unmittelbar die funktionalen, nicht-funktionalen und rollenbezogenen Anforderungen an das neue System ab.</w:t>
      </w:r>
    </w:p>
    <w:p>
      <w:pPr>
        <w:spacing w:after="160"/>
      </w:pPr>
      <w:r>
        <w:t xml:space="preserve">Kapitel 5 stellt die systemweiten Entwurfsentscheidungen vor: Komponentenschnitt, Schichtung und Abhängigkeitsregel, Datenhaltung, Rollen- und Berechtigungsmodell sowie die Technologieauswahl — jeweils mit den erwogenen Alternativen.</w:t>
      </w:r>
    </w:p>
    <w:p>
      <w:pPr>
        <w:spacing w:after="160"/>
      </w:pPr>
      <w:r>
        <w:t xml:space="preserve">Kapitel 6 beschreibt den Weg eines Änderungsantrags durch das realisierte System: von der strukturierten Erfassung im GU-Panel über die serverseitige Validierung und Verarbeitung, die regelbasierte, automatisierte Übertragung an das Zielsystem und die interne Bearbeitung bis hin zu Sicherheit, Nachvollziehbarkeit und Betrieb. Jeder Abschnitt begründet die zugrunde liegende Entwurfsentscheidung an Ort und Stelle.</w:t>
      </w:r>
    </w:p>
    <w:p>
      <w:pPr>
        <w:spacing w:after="160"/>
      </w:pPr>
      <w:r>
        <w:t xml:space="preserve">Kapitel 7 stellt das Konzept zur Gegenüberstellung von altem und neuem Prozess vor und diskutiert die damit gewonnenen Erkenntnisse zu Effizienz, Datenqualität und Prozesssicherheit.</w:t>
      </w:r>
    </w:p>
    <w:p>
      <w:pPr>
        <w:spacing w:after="160"/>
      </w:pPr>
      <w:r>
        <w:t xml:space="preserve">Kapitel 8 beantwortet die zuvor formulierten Forschungsfragen einzeln, ordnet die Ergebnisse in den Stand der Technik ein, erörtert die Übertragbarkeit des Ansatzes auf vergleichbare Prozesse und reflektiert die Grenzen der eigenen Lösung kritisch.</w:t>
      </w:r>
    </w:p>
    <w:p>
      <w:pPr>
        <w:spacing w:after="160"/>
      </w:pPr>
      <w:r>
        <w:t xml:space="preserve">Kapitel 9 fasst die Ergebnisse der Arbeit zusammen und gibt einen Ausblick auf mögliche Weiterentwicklungen des Systems.</w:t>
      </w:r>
    </w:p>
    <w:p>
      <w:pPr>
        <w:spacing w:after="160"/>
      </w:pPr>
      <w:r>
        <w:t xml:space="preserve">Der Anhang enthält ergänzende Materialien, unter anderem Erhebungsinstrumente der Ist-Analyse, ausgewählte Architekturentscheidungen im Volltext, Screenshots des realisierten Systems, Quellcode-Auszüge sowie die gemäß den Vorgaben der Hochschule Rosenheim verpflichtende Erklärung zur Verwendung generativer KI-Systeme.</w:t>
      </w:r>
    </w:p>
    <w:p>
      <w:pPr>
        <w:spacing w:after="160"/>
      </w:pPr>
      <w:r>
        <w:rPr>
          <w:b/>
          <w:bCs/>
        </w:rPr>
        <w:t xml:space="preserve">Einschätzung: </w:t>
      </w:r>
      <w:r>
        <w:t xml:space="preserve">Anforderung sagt "ein Absatz" — der bisherige Text ist neun Einzelabsätze (einer je Kapitel). Das ist inhaltlich sinnvoll und in der Praxis bei Aufbau-Kapiteln so üblich; falls du es strikt als einen zusammenhängenden Absatz willst, kann das beim Überarbeiten zusammengezogen werden.</w:t>
      </w:r>
    </w:p>
    <w:p>
      <w:pPr>
        <w:spacing w:after="150"/>
      </w:pPr>
    </w:p>
    <w:p>
      <w:pPr>
        <w:pStyle w:val="Heading2"/>
        <w:spacing w:after="150" w:before="300"/>
      </w:pPr>
      <w:r>
        <w:t xml:space="preserve">Meine überarbeitete Fassung von 1.5</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r>
        <w:tc>
          <w:tcPr>
            <w:tcW w:type="pct" w:w="100%"/>
            <w:tcBorders>
              <w:bottom w:val="single" w:color="CCCCCC" w:sz="2"/>
            </w:tcBorders>
            <w:tcMar>
              <w:top w:type="dxa" w:w="60"/>
              <w:bottom w:type="dxa" w:w="200"/>
            </w:tcMar>
          </w:tcP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2026-09-15T11:17:06.538Z</dcterms:created>
  <dcterms:modified xsi:type="dcterms:W3CDTF">2026-09-15T11:17:06.551Z</dcterms:modified>
</cp:coreProperties>
</file>

<file path=docProps/custom.xml><?xml version="1.0" encoding="utf-8"?>
<Properties xmlns="http://schemas.openxmlformats.org/officeDocument/2006/custom-properties" xmlns:vt="http://schemas.openxmlformats.org/officeDocument/2006/docPropsVTypes"/>
</file>