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44"/>
          <w:szCs w:val="44"/>
        </w:rPr>
        <w:t xml:space="preserve">Meine Vorgehensweise im AsiMinu-Projekt</w:t>
      </w:r>
    </w:p>
    <w:p>
      <w:pPr>
        <w:spacing w:after="400"/>
        <w:jc w:val="center"/>
      </w:pPr>
      <w:r>
        <w:rPr>
          <w:i/>
          <w:iCs/>
          <w:color w:val="555555"/>
          <w:sz w:val="26"/>
          <w:szCs w:val="26"/>
        </w:rPr>
        <w:t xml:space="preserve">Von der Konzeption bis zum aktuellen Stand – Bachelorarbeit-Dokumentation</w:t>
      </w:r>
    </w:p>
    <w:p>
      <w:pPr>
        <w:spacing w:after="200" w:line="300"/>
        <w:jc w:val="both"/>
      </w:pPr>
      <w:r>
        <w:rPr>
          <w:sz w:val="22"/>
          <w:szCs w:val="22"/>
        </w:rPr>
        <w:t xml:space="preserve">Stand: 03.09.2026 · Dennis Sacher</w:t>
      </w:r>
    </w:p>
    <w:p>
      <w:pPr>
        <w:pBdr>
          <w:bottom w:val="single" w:color="AAAAAA" w:sz="6" w:space="1"/>
        </w:pBdr>
        <w:spacing w:after="300" w:before="100"/>
      </w:pPr>
    </w:p>
    <w:p>
      <w:pPr>
        <w:pStyle w:val="Heading2"/>
        <w:spacing w:after="150" w:before="300"/>
      </w:pPr>
      <w:r>
        <w:t xml:space="preserve">Vorwort</w:t>
      </w:r>
    </w:p>
    <w:p>
      <w:pPr>
        <w:spacing w:after="200" w:line="300"/>
        <w:jc w:val="both"/>
      </w:pPr>
      <w:r>
        <w:rPr>
          <w:sz w:val="22"/>
          <w:szCs w:val="22"/>
        </w:rPr>
        <w:t xml:space="preserve">Dieses Dokument beschreibt schritt für schritt, wie ich das AsiMinu CRQ-Management-System angegangen bin: welche Entscheidungen ich wann getroffen habe, wie ich vorgegangen bin und wie sich die ursprünglichen Anforderungen im Laufe des Projekts verändert und erweitert haben. Es basiert auf meinen Tagesprotokollen von der Konzeptphase im April 2026 bis zum aktuellen Stand Anfang September 2026, ergänzt um die Architekturentscheidungen (ADRs), die ich während des Projekts dokumentiert habe.</w:t>
      </w:r>
    </w:p>
    <w:p>
      <w:pPr>
        <w:spacing w:after="200" w:line="300"/>
        <w:jc w:val="both"/>
      </w:pPr>
      <w:r>
        <w:rPr>
          <w:sz w:val="22"/>
          <w:szCs w:val="22"/>
        </w:rPr>
        <w:t xml:space="preserve">Der Auftrag meines Chefs am Anfang war klar umrissen: das bestehende AsiMinu CRQ-Management, das bisher komplett manuell über Excel-Vorlagen und E-Mail lief, vollständig zu automatisieren. Von Anfang an war dabei klar, dass dazu vier neue Komponenten gehören: ein GU-Panel mit Vorab-Validierung zur Fehlervermeidung, ein neues Backend mit der nötigen Logik und den Endpunkten dahinter, eine Anpassung des bestehenden AsiMinu-Dashboards an die neuen Datenflüsse sowie ein Admin-Service zur Prüfung und Verwaltung der Generalunternehmer-Zugänge. Das Admin-Panel war also von Beginn an Teil meines Auftrags und keine spätere Ergänzung. Trotzdem ist im Projektverlauf noch einiges anders gekommen, als ursprünglich angenommen: Aus der vermeintlich kleinen Anpassung des bestehenden Dashboards wurde am Ende eine komplett neue Datenbank und mit dem ChangeCoordinator-Panel ein komplett neues, drittes Frontend, und auch der ursprünglich fest mit der TEF vereinbarte Zeitplan hat sich verschoben. Wie das im Einzelnen passiert ist, beschreibe ich in den folgenden Kapiteln chronologisch.</w:t>
      </w:r>
    </w:p>
    <w:p>
      <w:pPr>
        <w:pBdr>
          <w:bottom w:val="single" w:color="AAAAAA" w:sz="6" w:space="1"/>
        </w:pBdr>
        <w:spacing w:after="300" w:before="100"/>
      </w:pPr>
    </w:p>
    <w:p>
      <w:pPr>
        <w:pStyle w:val="Heading2"/>
        <w:spacing w:after="150" w:before="300"/>
      </w:pPr>
      <w:r>
        <w:t xml:space="preserve">0. Vorgeschichte: Von Power Apps zur AsiMinu-AdHoc-Lösung</w:t>
      </w:r>
    </w:p>
    <w:p>
      <w:pPr>
        <w:spacing w:after="200" w:line="300"/>
        <w:jc w:val="both"/>
      </w:pPr>
      <w:r>
        <w:rPr>
          <w:sz w:val="22"/>
          <w:szCs w:val="22"/>
        </w:rPr>
        <w:t xml:space="preserve">Bevor es zu diesem Projekt und meiner Bachelorarbeit kam, gab es bei Bayfu bereits einen ersten digitalen Anlauf für das CRQ-Management: eine App auf Basis von Microsoft Power Apps, die eingehende CRQs strukturiert anzeigte. Eine echte Anbindung an das TEF-System gab es dabei aber nicht, die App diente ausschließlich dazu, die CRQs übersichtlicher darzustellen, damit sie anschließend manuell besser ins TEF-System übertragen werden konnten. Das Problem an dieser Lösung war, dass sie sehr stark an Power Apps gebunden war und dadurch an vielen Stellen an ihre Grenzen stieß.</w:t>
      </w:r>
    </w:p>
    <w:p>
      <w:pPr>
        <w:spacing w:after="200" w:line="300"/>
        <w:jc w:val="both"/>
      </w:pPr>
      <w:r>
        <w:rPr>
          <w:sz w:val="22"/>
          <w:szCs w:val="22"/>
        </w:rPr>
        <w:t xml:space="preserve">Daraufhin habe ich zusammen mit ein paar Kollegen die AsiMinu-AdHoc-Lösung gebaut: einen .NET-Worker, der die eingehenden E-Mails ausliest und die Daten strukturiert in den Tabellen WorkInfo, WorkInfoTable und WorkInfoSummary ablegt. Diese Lösung war deutlich flexibler als die Power-Apps-App und bot wesentlich mehr Möglichkeiten, die Daten darzustellen und weiterzuverarbeiten. Erst danach, aufbauend auf diesen Erfahrungen, kam die Bachelorarbeit und mit ihr der Auftrag, den kompletten CRQ-Prozess von Grund auf neu und automatisiert aufzubauen.</w:t>
      </w:r>
    </w:p>
    <w:p>
      <w:pPr>
        <w:pBdr>
          <w:bottom w:val="single" w:color="AAAAAA" w:sz="6" w:space="1"/>
        </w:pBdr>
        <w:spacing w:after="300" w:before="100"/>
      </w:pPr>
    </w:p>
    <w:p>
      <w:pPr>
        <w:pStyle w:val="Heading2"/>
        <w:spacing w:after="150" w:before="300"/>
      </w:pPr>
      <w:r>
        <w:t xml:space="preserve">1. Konzeptphase (vor dem 22.04.2026)</w:t>
      </w:r>
    </w:p>
    <w:p>
      <w:pPr>
        <w:spacing w:after="200" w:line="300"/>
        <w:jc w:val="both"/>
      </w:pPr>
      <w:r>
        <w:rPr>
          <w:sz w:val="22"/>
          <w:szCs w:val="22"/>
        </w:rPr>
        <w:t xml:space="preserve">Bevor ich auch nur eine Zeile Code geschrieben habe, habe ich mir bewusst Zeit für eine gründliche Konzeptphase genommen. Rückblickend war das eine der wichtigsten Entscheidungen im ganzen Projekt, weil ich damit vieles vermieden habe, was sich später als teuer erwiesen hätte, wenn ich es erst mitten in der Implementierung gemerkt hätte.</w:t>
      </w:r>
    </w:p>
    <w:p>
      <w:pPr>
        <w:pStyle w:val="Heading3"/>
        <w:spacing w:after="120" w:before="240"/>
      </w:pPr>
      <w:r>
        <w:t xml:space="preserve">1.1 Gesamtüberblick über die Anforderung verschaffen</w:t>
      </w:r>
    </w:p>
    <w:p>
      <w:pPr>
        <w:spacing w:after="200" w:line="300"/>
        <w:jc w:val="both"/>
      </w:pPr>
      <w:r>
        <w:rPr>
          <w:sz w:val="22"/>
          <w:szCs w:val="22"/>
        </w:rPr>
        <w:t xml:space="preserve">Der erste Schritt war, den Ist-Zustand komplett zu verstehen und zu analysieren, und zwar nicht nur oberflächlich, sondern bis in die Grundabläufe und Teilsysteme hinein. Ich musste mir erst einmal die Fachbegriffe erschließen, die bei Bayfu und Telefónica alltäglich sind, für mich aber neu waren: Was ist ein Generalunternehmer (GU)? Was macht die TEF (Telefónica) in diesem Prozess eigentlich genau? Was macht Bayfu? Was ist ein Change Request (CRQ)? Und vor allem: Was ist der eigentliche Sinn und Zweck von AsiMinu als bestehendem System? Ohne dieses fachliche Fundament wäre jede spätere technische Entscheidung auf Sand gebaut gewesen. Ich habe dazu unter anderem den bestehenden manuellen Prozess durchgearbeitet: Ein GU füllt ein Excel-Template aus, schickt es per Mail an TEF, TEF leitet es an Bayfu weiter, ein Bayfu-Mitarbeiter prüft alles händisch und trägt es ins externe TEF-System ein, das dann eine CRQ-Nummer vergibt und über Genehmigung oder Ablehnung entscheidet. Die Probleme dieses Prozesses lagen auf der Hand: GUs füllen das Excel-Template oft fehlerhaft aus, weil Excel keine strukturierte Eingabe erzwingt, jedes Ticket muss komplett manuell geprüft werden, und bei vielen Tickets täglich ist das enorm zeitaufwändig und fehleranfällig, ohne dass es eine automatische Nachverfolgung oder Statusanzeige gibt.</w:t>
      </w:r>
    </w:p>
    <w:p>
      <w:pPr>
        <w:pStyle w:val="Heading3"/>
        <w:spacing w:after="120" w:before="240"/>
      </w:pPr>
      <w:r>
        <w:t xml:space="preserve">1.2 Aufgaben dokumentieren und Roadmap erstellen</w:t>
      </w:r>
    </w:p>
    <w:p>
      <w:pPr>
        <w:spacing w:after="200" w:line="300"/>
        <w:jc w:val="both"/>
      </w:pPr>
      <w:r>
        <w:rPr>
          <w:sz w:val="22"/>
          <w:szCs w:val="22"/>
        </w:rPr>
        <w:t xml:space="preserve">Im zweiten Schritt habe ich dokumentiert, was konkret zu meinen Aufgaben gehört, also welche Services ich bauen sollte, und daraus eine Roadmap mit Deadline erstellt, um meinen Fortschritt zu tracken. Diese frühe Zeitplanung sah ursprünglich sechs Phasen bis zum 09.07.2026 vor: Konzept und Fundament, das neue Backend, das GU-Panel, die Anpassung des bestehenden AsiMinu-Dashboards, einen Admin-Service und zuletzt Testing und Puffer. Der 09.07.2026 war dabei kein von mir frei gewählter Zielwert, sondern vertraglich mit der TEF vereinbart: An diesem Tag sollte das gesamte System live gehen.</w:t>
      </w:r>
    </w:p>
    <w:p>
      <w:pPr>
        <w:spacing w:after="200" w:line="300"/>
        <w:jc w:val="both"/>
      </w:pPr>
      <w:r>
        <w:rPr>
          <w:sz w:val="22"/>
          <w:szCs w:val="22"/>
        </w:rPr>
        <w:t xml:space="preserve">Mit „Anpassung des bestehenden AsiMinu-Dashboards" war zu diesem Zeitpunkt eine eher kleine Änderung gemeint: Ich bin davon ausgegangen, dass ich lediglich die Datenanlieferung vom bisherigen E-Mail-Worker auf die neuen, über das GU-Panel eingereichten Daten umstellen muss, während die Datenbankstruktur gleich bleibt und am AsiMinu-Dashboard selbst nichts geändert werden muss. Wie sich im Projektverlauf zeigen sollte, war diese Annahme zu einfach gedacht, dazu mehr in Kapitel 6.2.</w:t>
      </w:r>
    </w:p>
    <w:p>
      <w:pPr>
        <w:spacing w:after="200" w:line="300"/>
        <w:jc w:val="both"/>
      </w:pPr>
      <w:r>
        <w:rPr>
          <w:sz w:val="22"/>
          <w:szCs w:val="22"/>
        </w:rPr>
        <w:t xml:space="preserve">Die Deadline vom 09.07.2026 selbst ist am Ende nicht an meinem eigenen Teil gescheitert: Die TEF konnte ihren Teil, den Bau der Schnittstelle auf ihrer Seite, bis dahin nicht fertigstellen, weshalb sich die vertragliche Deadline für den Live-Gang insgesamt auf November 2026 verschoben hat. Das Projekt ist zum jetzigen Zeitpunkt immer noch aktiv in der Weiterentwicklung.</w:t>
      </w:r>
    </w:p>
    <w:p>
      <w:pPr>
        <w:pStyle w:val="Heading3"/>
        <w:spacing w:after="120" w:before="240"/>
      </w:pPr>
      <w:r>
        <w:t xml:space="preserve">1.3 Architekturdiagramme und BPMN-Modellierung</w:t>
      </w:r>
    </w:p>
    <w:p>
      <w:pPr>
        <w:spacing w:after="200" w:line="300"/>
        <w:jc w:val="both"/>
      </w:pPr>
      <w:r>
        <w:rPr>
          <w:sz w:val="22"/>
          <w:szCs w:val="22"/>
        </w:rPr>
        <w:t xml:space="preserve">Um die Prozesse noch besser zu verstehen und mir selbst wie auch für die Bachelorarbeit ein visuelles Gesamtbild zu verschaffen, habe ich Architekturdiagramme erstellt und die fachlichen Abläufe als BPMN-Prozesse modelliert. Dazu gehörten unter anderem ein C4-Context-Diagramm für die höchste Flugebene mit den externen Systemen, ein C4-Container-Diagramm für die deploybaren Einheiten, ein Sequenzdiagramm für den CRQ-Erfolgsweg sowie der eigentliche CRQ-Erstellungsprozess als BPMN-Diagramm. Diese Diagramme haben sich über das gesamte Projekt hinweg als wertvolles Nachschlagewerk erwiesen, auch wenn der reale Techstack sich später deutlich von der ursprünglichen Annahme unterschied, dazu gleich mehr.</w:t>
      </w:r>
    </w:p>
    <w:p>
      <w:pPr>
        <w:pStyle w:val="Heading3"/>
        <w:spacing w:after="120" w:before="240"/>
      </w:pPr>
      <w:r>
        <w:t xml:space="preserve">1.4 Die große Rechercheque</w:t>
      </w:r>
    </w:p>
    <w:p>
      <w:pPr>
        <w:spacing w:after="200" w:line="300"/>
        <w:jc w:val="both"/>
      </w:pPr>
      <w:r>
        <w:rPr>
          <w:sz w:val="22"/>
          <w:szCs w:val="22"/>
        </w:rPr>
        <w:t xml:space="preserve">Der aufwändigste Teil der Konzeptphase war die Recherche zur technischen Umsetzung: Techstack, Authentifizierung, IDEs, Programmiersprachen und alles, was dazugehört. Ich musste mich erst einmal grundlegend damit beschäftigen, was heute technisch überhaupt möglich ist, welche Lösungen es für vergleichbare Probleme bereits gibt, wie sie in der Praxis umgesetzt werden und was der aktuelle Stand der Technik für ein Vorhaben wie dieses ist. Für mich war zu diesem Zeitpunkt praktisch alles Neuland, von modernen Authentifizierungsverfahren über Cloud-Infrastruktur bis zur Frage, wie man ein Backend und mehrere Frontends sinnvoll strukturiert. Diese Rechercheque war anstrengend, hat sich aber ausgezahlt: In den ursprünglichen Konzeptdokumenten war noch von React, Node und Redis als Platzhaltern in den Architekturdiagrammen die Rede, weil ich zu dem Zeitpunkt den späteren Techstack noch nicht final entschieden hatte. Erst im Projektverlauf hat sich C#, .NET und Blazor als tatsächlicher Stack herauskristallisiert, unter anderem weil ich bei Bayfu bereits mit .NET-Technologien vertraut war und weil sich Blazor WebAssembly als guter Weg erwies, mit einer einzigen Sprache über Backend und mehrere Frontends hinweg zu arbeiten.</w:t>
      </w:r>
    </w:p>
    <w:p>
      <w:pPr>
        <w:pStyle w:val="Heading3"/>
        <w:spacing w:after="120" w:before="240"/>
      </w:pPr>
      <w:r>
        <w:t xml:space="preserve">1.5 Der finale Implementierungsplan und die erste große Kursänderung</w:t>
      </w:r>
    </w:p>
    <w:p>
      <w:pPr>
        <w:spacing w:after="200" w:line="300"/>
        <w:jc w:val="both"/>
      </w:pPr>
      <w:r>
        <w:rPr>
          <w:sz w:val="22"/>
          <w:szCs w:val="22"/>
        </w:rPr>
        <w:t xml:space="preserve">Am Ende der Konzeptphase stand ein sehr detaillierter Implementierungsplan für das Backend mit Klassen, Funktionen und Struktur. Ursprünglich war dabei gedacht, die CRQ-Datenbank der bestehenden AsiMinu-AdHoc-Lösung direkt zu übernehmen und das neue System darauf aufzusetzen. Das hat sich im Laufe des Projekts dynamisch geändert und weiterentwickelt: Aus der genaueren Analyse hat sich ergeben, dass es fachlich und technisch am sinnvollsten ist, komplett neu und mit einer sauberen Trennung von Auth-Daten und CRQ-Daten zu beginnen, und dass der richtige Startpunkt für die Implementierung nicht die CRQ-Logik selbst ist, sondern die Authentifizierung im Backend. Ohne einen funktionierenden Auth-Layer lässt sich schließlich keiner der anderen Teile sinnvoll bauen und testen. Diese Entscheidung, mit der Authentifizierung zu beginnen, hat sich als goldrichtig erwiesen und den gesamten weiteren Projektverlauf strukturiert.</w:t>
      </w:r>
    </w:p>
    <w:p>
      <w:pPr>
        <w:pBdr>
          <w:bottom w:val="single" w:color="AAAAAA" w:sz="6" w:space="1"/>
        </w:pBdr>
        <w:spacing w:after="300" w:before="100"/>
      </w:pPr>
    </w:p>
    <w:p>
      <w:pPr>
        <w:pStyle w:val="Heading2"/>
        <w:spacing w:after="150" w:before="300"/>
      </w:pPr>
      <w:r>
        <w:t xml:space="preserve">2. Start der Umsetzung: Tag 1 und Tag 2 (22.04.–23.04.2026)</w:t>
      </w:r>
    </w:p>
    <w:p>
      <w:pPr>
        <w:spacing w:after="200" w:line="300"/>
        <w:jc w:val="both"/>
      </w:pPr>
      <w:r>
        <w:rPr>
          <w:sz w:val="22"/>
          <w:szCs w:val="22"/>
        </w:rPr>
        <w:t xml:space="preserve">Nach Abgabe der Konzeptphase begann am 22.04.2026 die eigentliche Umsetzung. Für die tägliche Arbeit habe ich mir früh eine feste Routine angewöhnt: Ich habe konsequent Tagesprotokolle geführt, in denen ich Ziel, Ergebnis, getroffene Entscheidungen, verwendete Befehle und offene Punkte für den nächsten Tag festgehalten habe. Das hat sich als enorm wertvoll erwiesen, sowohl um zwischen einzelnen Arbeitstagen den Kontext nicht zu verlieren, als auch jetzt im Nachhinein für genau diese Dokumentation.</w:t>
      </w:r>
    </w:p>
    <w:p>
      <w:pPr>
        <w:pStyle w:val="Heading3"/>
        <w:spacing w:after="120" w:before="240"/>
      </w:pPr>
      <w:r>
        <w:t xml:space="preserve">2.1 Tag 1: Infrastruktur und eine saubere Repo-Struktur</w:t>
      </w:r>
    </w:p>
    <w:p>
      <w:pPr>
        <w:spacing w:after="200" w:line="300"/>
        <w:jc w:val="both"/>
      </w:pPr>
      <w:r>
        <w:rPr>
          <w:sz w:val="22"/>
          <w:szCs w:val="22"/>
        </w:rPr>
        <w:t xml:space="preserve">Am ersten produktiven Arbeitstag habe ich mich bewusst nicht sofort in Anwendungscode gestürzt, sondern zunächst die Infrastruktur aufgesetzt: eine isolierte PostgreSQL-Datenbank für die Authentifizierung, containerisiert über Docker, getrennt von der bestehenden CRQ-Datenbank. Die Entscheidung für PostgreSQL statt SQL Server war dabei keine reine Geschmacksfrage, sondern folgte einer klaren Überlegung: Die bestehende CRQ-Datenbank lief bereits auf PostgreSQL, und Konsistenz war mir wichtiger als andere Erwägungen, denn zwei verschiedene Datenbanksysteme parallel zu betreiben hätte nur unnötige Komplexität bedeutet. Diese eine Entscheidung hat sich durch das ganze Projekt gezogen, vom gewählten EF-Core-Provider Npgsql bis zur Art, wie ich später mit PostgreSQL-spezifischen Funktionen wie Advisory Locks gearbeitet habe.</w:t>
      </w:r>
    </w:p>
    <w:p>
      <w:pPr>
        <w:spacing w:after="200" w:line="300"/>
        <w:jc w:val="both"/>
      </w:pPr>
      <w:r>
        <w:rPr>
          <w:sz w:val="22"/>
          <w:szCs w:val="22"/>
        </w:rPr>
        <w:t xml:space="preserve">Parallel dazu habe ich die Projektstruktur von rund vierzig Dateien in uneinheitlich benannten, teils fehlerhaft geschriebenen Ordnern in eine professionelle, nummerierte Doku-Struktur überführt und mich für ein Monorepo mit einer einzigen Solution-Datei entschieden, statt Backend, GU-Panel und Admin-Panel als getrennte Repositories zu führen. Der Grund: Frontend und Backend teilen sich DTOs, Validierungsregeln und Rollen-Konstanten, und in einer gemeinsamen Solution kann ich das über eine reine Projektreferenz lösen, ganz ohne NuGet-Packaging und die damit verbundenen Versionskonflikte.</w:t>
      </w:r>
    </w:p>
    <w:p>
      <w:pPr>
        <w:pStyle w:val="Heading3"/>
        <w:spacing w:after="120" w:before="240"/>
      </w:pPr>
      <w:r>
        <w:t xml:space="preserve">2.2 Tag 2: Solution-Setup und die erste Architekturentscheidung</w:t>
      </w:r>
    </w:p>
    <w:p>
      <w:pPr>
        <w:spacing w:after="200" w:line="300"/>
        <w:jc w:val="both"/>
      </w:pPr>
      <w:r>
        <w:rPr>
          <w:sz w:val="22"/>
          <w:szCs w:val="22"/>
        </w:rPr>
        <w:t xml:space="preserve">Am zweiten Tag habe ich die eigentliche .NET-Solution mit vier Projekten angelegt (Api, Shared, Domain, Infrastructure) und dabei konsequent nach dem Clean-Architecture-Prinzip strukturiert: Referenzen dürfen nur von außen nach innen zeigen, die Domain-Schicht darf nichts von der Infrastruktur wissen. Genau an dieser Stelle bin ich auf mein erstes echtes Architekturproblem gestoßen, das ich als ADR-001 dokumentiert habe: Im ursprünglichen Setup-Plan sollte der ApplicationUser, also der erweiterte Identity-Benutzer, in der Domain-Schicht liegen. Bei der Umsetzung ist mir aufgefallen, dass ASP.NET Core Identity transitive Abhängigkeiten auf ein Infrastructure-Paket mitbringt. Läge ApplicationUser in Domain, müsste Domain dieses Paket referenzieren und damit die eigene Grundregel brechen, dass die Domain-Schicht von keiner Infrastruktur abhängen darf. Die Konsequenz war, ApplicationUser stattdessen in die Infrastructure-Schicht zu verschieben und Domain-Entitäten wie ProfileChangeRequest nur per UserId als String statt per Navigationseigenschaft auf den Nutzer verweisen zu lassen. Das war die früheste und in gewisser Weise grundlegendste Architekturentscheidung des ganzen Projekts, und ich habe von Anfang an konsequent jede solche Entscheidung in eigenen ADR-Dokumenten begründet, am Ende des Projekts sind daraus 57 ADRs geworden.</w:t>
      </w:r>
    </w:p>
    <w:p>
      <w:pPr>
        <w:spacing w:after="200" w:line="300"/>
        <w:jc w:val="both"/>
      </w:pPr>
      <w:r>
        <w:rPr>
          <w:sz w:val="22"/>
          <w:szCs w:val="22"/>
        </w:rPr>
        <w:t xml:space="preserve">Noch am selben Tag habe ich außerdem die erste EF-Core-Migration erzeugt und gegen die laufende Docker-Datenbank angewendet, und dabei bereits mehrere bewusste Abweichungen vom ursprünglichen Setup-Plan dokumentiert: .NET 10 statt des angenommenen .NET 8, das neue XML-basierte Solution-Format .slnx statt der klassischen .sln-Datei, und Microsoft.AspNetCore.OpenApi statt Swashbuckle für die API-Dokumentation, weil das inzwischen direkt in .NET 10 integriert ist. Diese Praxis, Abweichungen vom Plan nicht stillschweigend umzusetzen, sondern explizit gegenüberzustellen, habe ich während des ganzen Projekts beibehalten.</w:t>
      </w:r>
    </w:p>
    <w:p>
      <w:pPr>
        <w:pBdr>
          <w:bottom w:val="single" w:color="AAAAAA" w:sz="6" w:space="1"/>
        </w:pBdr>
        <w:spacing w:after="300" w:before="100"/>
      </w:pPr>
    </w:p>
    <w:p>
      <w:pPr>
        <w:pStyle w:val="Heading2"/>
        <w:spacing w:after="150" w:before="300"/>
      </w:pPr>
      <w:r>
        <w:t xml:space="preserve">2.3 Weitere Schritte: von reinen Datenmodellen zum lauffähigen Auth-Backend</w:t>
      </w:r>
    </w:p>
    <w:p>
      <w:pPr>
        <w:spacing w:after="200" w:line="300"/>
        <w:jc w:val="both"/>
      </w:pPr>
      <w:r>
        <w:rPr>
          <w:sz w:val="22"/>
          <w:szCs w:val="22"/>
        </w:rPr>
        <w:t xml:space="preserve">Zwischen dem 23.04. und dem 06.05.2026 habe ich das Auth-Datenmodell aufgebaut: ApplicationUser mit den fachlich nötigen Zusatzfeldern, die Entitäten RegistrationRequest und ProfileChangeRequest für die beiden zentralen Antragsworkflows, den AuthDbContext und die dazugehörigen DTOs und FluentValidation-Validatoren im Shared-Projekt. Am 06.05.2026 habe ich das Ergebnis dieser Vorarbeit in einer einzigen, sehr umfangreichen Session zu einem vollständig funktionsfähigen Auth-Backend zusammengeführt: ein voll funktionierendes ASP.NET Core Web API mit JWT-Authentifizierung, einem kompletten Admin-Workflow für Registrierungen und Profiländerungen, einer lokalen Entwicklungs-Testumgebung und ausführlicher technischer Dokumentation der eigenen Implementierung. Ursprünglich hatte ich für den zweiten Faktor der Anmeldung SMS-OTP über Twilio vorgesehen. Das hat sich, wie im nächsten Abschnitt beschrieben, schon eine Woche später geändert.</w:t>
      </w:r>
    </w:p>
    <w:p>
      <w:pPr>
        <w:pBdr>
          <w:bottom w:val="single" w:color="AAAAAA" w:sz="6" w:space="1"/>
        </w:pBdr>
        <w:spacing w:after="300" w:before="100"/>
      </w:pPr>
    </w:p>
    <w:p>
      <w:pPr>
        <w:pStyle w:val="Heading2"/>
        <w:spacing w:after="150" w:before="300"/>
      </w:pPr>
      <w:r>
        <w:t xml:space="preserve">3. Die erste Kurskorrektur: TOTP statt SMS (13.05.2026)</w:t>
      </w:r>
    </w:p>
    <w:p>
      <w:pPr>
        <w:spacing w:after="200" w:line="300"/>
        <w:jc w:val="both"/>
      </w:pPr>
      <w:r>
        <w:rPr>
          <w:sz w:val="22"/>
          <w:szCs w:val="22"/>
        </w:rPr>
        <w:t xml:space="preserve">Die ursprüngliche Zwei-Faktor-Lösung über SMS und Twilio hatte in der Praxis zwei handfeste Nachteile: Die Twilio-Zugangsdaten waren lokal nicht konfiguriert, wodurch sich der komplette Login-Ablauf während der Entwicklung gar nicht durchtesten ließ, und im späteren Produktivbetrieb wären laufende Kosten pro versendeter SMS angefallen. Ich habe mich deshalb entschieden, auf TOTP nach RFC 6238 umzustellen, also den zeitbasierten Einmalcode, den man aus Apps wie Google Authenticator oder Authy kennt. Das TOTP-Secret wird dabei einmalig beim Passwort-Setup generiert und in der Datenbank hinterlegt, ganz ohne Abhängigkeit von einem externen Dienst. Diese Umstellung war fachlich ein glatter Tausch, technisch aber ein guter erster Beleg dafür, wie ich im ganzen Projekt mit ursprünglichen Annahmen umgegangen bin: Wenn sich eine Entscheidung als unpraktisch oder unnötig teuer herausstellte, habe ich sie revidiert, sobald der bessere Weg klar erkennbar war, statt aus reiner Konsequenz an der ursprünglichen Planung festzuhalten.</w:t>
      </w:r>
    </w:p>
    <w:p>
      <w:pPr>
        <w:pBdr>
          <w:bottom w:val="single" w:color="AAAAAA" w:sz="6" w:space="1"/>
        </w:pBdr>
        <w:spacing w:after="300" w:before="100"/>
      </w:pPr>
    </w:p>
    <w:p>
      <w:pPr>
        <w:pStyle w:val="Heading2"/>
        <w:spacing w:after="150" w:before="300"/>
      </w:pPr>
      <w:r>
        <w:t xml:space="preserve">4. Phase 3 und Phase 5: GU-Panel und Admin-Panel entstehen (20.–21.05.2026)</w:t>
      </w:r>
    </w:p>
    <w:p>
      <w:pPr>
        <w:pStyle w:val="Heading3"/>
        <w:spacing w:after="120" w:before="240"/>
      </w:pPr>
      <w:r>
        <w:t xml:space="preserve">4.1 Das GU-Panel (20.05.2026)</w:t>
      </w:r>
    </w:p>
    <w:p>
      <w:pPr>
        <w:spacing w:after="200" w:line="300"/>
        <w:jc w:val="both"/>
      </w:pPr>
      <w:r>
        <w:rPr>
          <w:sz w:val="22"/>
          <w:szCs w:val="22"/>
        </w:rPr>
        <w:t xml:space="preserve">Am 20.05.2026 habe ich das GU-Panel als erstes der drei Blazor-WebAssembly-Frontends komplett gebaut, ursprünglich vor allem gedacht, um die bis dahin nur über die API-Testoberfläche Scalar geprüften Auth-Endpunkte auch wirklich im Browser zu testen: RegisterAsync, SetupPasswordAsync, LoginStep1Async, LoginStep2Async, LogoutAsync, ChangePasswordAsync und RequestProfileChangeAsync. Aus diesem ursprünglich technisch motivierten Testwerkzeug wurde binnen eines Tages das vollständige, produktionsreife Frontend für die Generalunternehmer, inklusive eigenem JWT-Parsing ganz ohne zusätzliches NuGet-Paket, eigenem AuthenticationStateProvider und sechs vollständigen Seiten von der Registrierung bis zur Profilverwaltung. Am selben Tag habe ich außerdem einen kleinen, aber lehrreichen Bug im Admin-Controller behoben: Weil dort der E-Mail-Versand vor dem Speichern des Datenbankzustands aufgerufen wurde, ging bei einem fehlenden SMTP-Server der komplette Genehmigungsvorgang verloren. Die Lösung, den Zustand immer zuerst zu persistieren und den externen Seiteneffekt erst danach und fehlertolerant auszuführen, habe ich als Grundprinzip für den Rest des Projekts übernommen.</w:t>
      </w:r>
    </w:p>
    <w:p>
      <w:pPr>
        <w:pStyle w:val="Heading3"/>
        <w:spacing w:after="120" w:before="240"/>
      </w:pPr>
      <w:r>
        <w:t xml:space="preserve">4.2 Das Admin-Panel (21.05.2026)</w:t>
      </w:r>
    </w:p>
    <w:p>
      <w:pPr>
        <w:spacing w:after="200" w:line="300"/>
        <w:jc w:val="both"/>
      </w:pPr>
      <w:r>
        <w:rPr>
          <w:sz w:val="22"/>
          <w:szCs w:val="22"/>
        </w:rPr>
        <w:t xml:space="preserve">Einen Tag später, am 21.05.2026, habe ich das Admin-Panel komplett gebaut und getestet, den vierten der von Anfang an geplanten Bausteine. Ein Admin-Service zur Prüfung und Verwaltung der Generalunternehmer-Zugänge stand von Beginn an im Umsetzungsplan, war also, anders als ich es an anderer Stelle einmal für mich selbst notiert hatte, tatsächlich von Anfang an Teil des Auftrags und keine spätere Ergänzung. Umgesetzt habe ich es mit einer Dashboard-Übersicht über offene Registrierungs- und Profiländerungs-Anträge, einem inline Genehmigen/Ablehnen-Workflow und, für die lokale Entwicklung, einem einfachen Dev-Login-Workaround. Ab dem 21.05.2026 liefen beide Frontends parallel gegen dieselbe API, und der komplette Workflow von Registrierung über Genehmigung bis zum Passwort-Setup war damit erstmals durchgängig funktionsfähig.</w:t>
      </w:r>
    </w:p>
    <w:p>
      <w:pPr>
        <w:pBdr>
          <w:bottom w:val="single" w:color="AAAAAA" w:sz="6" w:space="1"/>
        </w:pBdr>
        <w:spacing w:after="300" w:before="100"/>
      </w:pPr>
    </w:p>
    <w:p>
      <w:pPr>
        <w:pStyle w:val="Heading2"/>
        <w:spacing w:after="150" w:before="300"/>
      </w:pPr>
      <w:r>
        <w:t xml:space="preserve">5. Ende der Startphase: Graph-API und ein kniffliger Bug (27.–28.05.2026)</w:t>
      </w:r>
    </w:p>
    <w:p>
      <w:pPr>
        <w:spacing w:after="200" w:line="300"/>
        <w:jc w:val="both"/>
      </w:pPr>
      <w:r>
        <w:rPr>
          <w:sz w:val="22"/>
          <w:szCs w:val="22"/>
        </w:rPr>
        <w:t xml:space="preserve">Am 27.05.2026 habe ich den E-Mail-Versand von SMTP über MailKit auf die Microsoft Graph API umgestellt, mit dem Client-Credentials-Flow über eine bereits bestehende Azure-AD-App-Registrierung. Der Grund war die Vorbereitung auf den späteren Cloud-Betrieb: In Cloud-Umgebungen sind offene SMTP-Ports oft problematisch, während Graph-basierter Versand über OAuth ohne offene Ports und ohne SMTP-Passwort auskommt.</w:t>
      </w:r>
    </w:p>
    <w:p>
      <w:pPr>
        <w:spacing w:after="200" w:line="300"/>
        <w:jc w:val="both"/>
      </w:pPr>
      <w:r>
        <w:rPr>
          <w:sz w:val="22"/>
          <w:szCs w:val="22"/>
        </w:rPr>
        <w:t xml:space="preserve">Am 28.05.2026 habe ich zunächst die Dokumentation aufgeräumt und das Standort-Feld, das ursprünglich als Profilfeld vorgesehen war, aber weder im CRQ-Prozess noch in der Geschäftslogik tatsächlich gebraucht wurde, vollständig aus allen Schichten entfernt. Interessanter war ein Bug, den ich am selben Tag gefunden und behoben habe: Der Setup-Link aus der Genehmigungs-E-Mail führte beim Passwort-Setzen dauerhaft zu einem „Invalid token"-Fehler, obwohl die E-Mail korrekt zugestellt wurde und der Link im Browser sichtbar funktionierte. Die Ursachenkette war lehrreich und typisch für die Art von Fehlern, die erst durch mehrere zusammenwirkende Systeme entstehen: ASP.NET Identity liefert den Passwort-Reset-Token in Standard-Base64 mit den Sonderzeichen Plus, Schrägstrich und Gleichheitszeichen. Diese wurden zwar im Backend korrekt URL-kodiert, aber viele E-Mail-Clients dekodieren solche kodierten Sonderzeichen beim Öffnen eines Links bereits wieder zurück, und der Browser interpretiert ein einzelnes Pluszeichen in einem Query-Parameter dann als Leerzeichen statt als das eigentlich gemeinte Zeichen. Am Ende kam beim Server ein komplett anderer, ungültiger Token an. Die Lösung war, den Identity-Token vor dem Einbau in die URL zusätzlich in Base64Url umzuwandeln, das ausschließlich Buchstaben, Ziffern, Unterstrich und Bindestrich verwendet und dadurch von keinem E-Mail-Client und keinem Browser mehr verändert werden kann. Dieser Bug hat mir früh im Projekt gezeigt, wie wichtig es ist, bei URL-Parametern und E-Mail-Links nicht nur den eigenen Code, sondern die gesamte Übertragungskette im Blick zu behalten, eine Lektion, die mir später im Projekt noch mehrfach begegnet ist. Mit diesem Tag war die reine Startphase des Projekts abgeschlossen.</w:t>
      </w:r>
    </w:p>
    <w:p>
      <w:pPr>
        <w:pBdr>
          <w:bottom w:val="single" w:color="AAAAAA" w:sz="6" w:space="1"/>
        </w:pBdr>
        <w:spacing w:after="300" w:before="100"/>
      </w:pPr>
    </w:p>
    <w:p>
      <w:pPr>
        <w:pStyle w:val="Heading2"/>
        <w:spacing w:after="150" w:before="300"/>
      </w:pPr>
      <w:r>
        <w:t xml:space="preserve">6. Juni 2026: Vom Fundament zum funktionsfähigen Gesamtsystem</w:t>
      </w:r>
    </w:p>
    <w:p>
      <w:pPr>
        <w:pStyle w:val="Heading3"/>
        <w:spacing w:after="120" w:before="240"/>
      </w:pPr>
      <w:r>
        <w:t xml:space="preserve">6.1 Support-System und Benutzerverwaltung (03.06.2026)</w:t>
      </w:r>
    </w:p>
    <w:p>
      <w:pPr>
        <w:spacing w:after="200" w:line="300"/>
        <w:jc w:val="both"/>
      </w:pPr>
      <w:r>
        <w:rPr>
          <w:sz w:val="22"/>
          <w:szCs w:val="22"/>
        </w:rPr>
        <w:t xml:space="preserve">Nach der Startphase habe ich das System in einer sehr umfangreichen Session um mehrere Bausteine erweitert, die im ursprünglichen Plan so nicht vorgesehen waren, sich aber aus der praktischen Nutzung ergaben: eine vollständige Benutzerverwaltung im Admin-Panel mit Sperren, Entsperren und Löschen von Konten, ein vollständiges Support-Ticket-System mit bidirektionalem Chat zwischen GU und Admin inklusive Anti-Spam-Grenzen, sowie verbessertes Feedback bei fehlgeschlagener Registrierung. Auch ein Passwort-Sichtbarkeits-Toggle für alle Passwortfelder in beiden Panels ist an diesem Tag entstanden, ein kleines, aber aus Nutzersicht spürbares UX-Detail.</w:t>
      </w:r>
    </w:p>
    <w:p>
      <w:pPr>
        <w:pStyle w:val="Heading3"/>
        <w:spacing w:after="120" w:before="240"/>
      </w:pPr>
      <w:r>
        <w:t xml:space="preserve">6.2 Die CRQ-Kernfunktionalität: das eigentliche Herzstück (11.06.2026)</w:t>
      </w:r>
    </w:p>
    <w:p>
      <w:pPr>
        <w:spacing w:after="200" w:line="300"/>
        <w:jc w:val="both"/>
      </w:pPr>
      <w:r>
        <w:rPr>
          <w:sz w:val="22"/>
          <w:szCs w:val="22"/>
        </w:rPr>
        <w:t xml:space="preserve">Am 11.06.2026 habe ich die CRQ-Kernfunktionalität implementiert, also den fachlichen Kern des gesamten Systems: das Einreichen, Verwalten und Bearbeiten von Change Requests. An dieser Stelle hat sich die in Kapitel 1.2 erwähnte Annahme, für die Anpassung des bestehenden AsiMinu-Dashboards würde eine reine Umstellung der Datenanlieferung reichen, endgültig als zu einfach herausgestellt: Die über das GU-Panel eingereichten, strukturierten Daten unterschieden sich fachlich so stark von den bisherigen, aus E-Mails geparsten WorkInfo-Daten, dass eine gemeinsame Datenbank keinen Sinn mehr ergab. Ich habe deshalb bewusst eine komplett neue, separate CRQ-Datenbank angelegt, getrennt von den Auth-Daten, damit kein Cross-Database-Join nötig ist und Nutzerdaten bei der CRQ-Erstellung stattdessen denormalisiert mitgespeichert werden. Für die interne AMR-Nummer, die jeden CRQ-Antrag eindeutig identifiziert noch bevor TEF überhaupt eine offizielle CRQ-Nummer vergeben hat, habe ich einen PostgreSQL Advisory Lock verwendet, um Race Conditions bei gleichzeitigen Einreichungen ohne teuren Transaktions-Overhead zu verhindern. An diesem Tag habe ich außerdem einen wichtigen Sicherheits-Fix eingebaut, nachdem aufgefallen war, dass sich GU-Nutzer versehentlich auch im Admin-Panel anmelden konnten: ein zweistufiger Schutz, bei dem das Backend die Rolle direkt nach der Passwortprüfung kontrolliert und das Frontend zusätzlich als zweite Verteidigungslinie den Rollen-Claim aus dem Token prüft, bevor es den Token überhaupt speichert.</w:t>
      </w:r>
    </w:p>
    <w:p>
      <w:pPr>
        <w:pStyle w:val="Heading3"/>
        <w:spacing w:after="120" w:before="240"/>
      </w:pPr>
      <w:r>
        <w:t xml:space="preserve">6.3 Sicherheitshärtung: Challenge-Token und Passwort-vergessen (12.06.2026)</w:t>
      </w:r>
    </w:p>
    <w:p>
      <w:pPr>
        <w:spacing w:after="200" w:line="300"/>
        <w:jc w:val="both"/>
      </w:pPr>
      <w:r>
        <w:rPr>
          <w:sz w:val="22"/>
          <w:szCs w:val="22"/>
        </w:rPr>
        <w:t xml:space="preserve">Am folgenden Tag ist mir aufgefallen, dass der zweite Login-Schritt, also die OTP-Prüfung, theoretisch auch isoliert mit einer beliebigen E-Mail-Adresse aufgerufen werden konnte, ohne dass zuvor die Passwortprüfung durchlaufen wurde, eine klassische Bypass-Lücke. Die Lösung war ein kurzlebiger, kryptografisch sicherer Challenge-Token, den der Login-Endpunkt zurückgibt und den der zweite Schritt zwingend voraussetzt, eine Konstruktion, die dem OAuth-2.0-Code-Flow ähnelt. Am selben Tag habe ich außerdem den bis dahin fehlenden Passwort-vergessen-Flow ergänzt, bewusst so gestaltet, dass er unabhängig davon, ob die eingegebene E-Mail-Adresse tatsächlich registriert ist, immer dieselbe Antwort zurückgibt, um kein Enumerations-Leck zu öffnen.</w:t>
      </w:r>
    </w:p>
    <w:p>
      <w:pPr>
        <w:pStyle w:val="Heading3"/>
        <w:spacing w:after="120" w:before="240"/>
      </w:pPr>
      <w:r>
        <w:t xml:space="preserve">6.4 Performance, Robustheit und kleinere Anforderungsänderungen (18.–19.06.2026)</w:t>
      </w:r>
    </w:p>
    <w:p>
      <w:pPr>
        <w:spacing w:after="200" w:line="300"/>
        <w:jc w:val="both"/>
      </w:pPr>
      <w:r>
        <w:rPr>
          <w:sz w:val="22"/>
          <w:szCs w:val="22"/>
        </w:rPr>
        <w:t xml:space="preserve">In der Woche danach habe ich mich vor allem um Performance und Robustheit gekümmert: Der Standort-Import fror beim Hochladen der Excel-Datei die komplette Blazor-Oberfläche ein, weil eine JavaScript-Interop-Methode den WASM-Synchronisierungskontext blockierte, gelöst über ein Fire-and-Forget-Muster mit einem DotNetObjectReference-Callback. Die Standort-Tabelle mit tausenden Einträgen lud bisher alles auf einmal, was ich auf serverseitige Paginierung umgestellt habe. Am 19.06.2026 kam eine kleinere, aber fachlich bedeutsame Anforderungsänderung hinzu: Das ursprünglich einzelne Feld Ansprechpartner musste in Vorname und Nachname aufgeteilt werden, ein vollständiger Refactor über alle Schichten inklusive einer Migration, die bestehende Daten in das neue Vorname-Feld übernahm. Außerdem habe ich an diesem Tag auf Wunsch die komplette benutzersichtbare Terminologie von „CRQ" auf „Anfrage" umgestellt, ein gutes Beispiel dafür, dass sich auch reine Wording-Entscheidungen erst aus der praktischen Nutzung heraus ergeben, nicht am Reißbrett.</w:t>
      </w:r>
    </w:p>
    <w:p>
      <w:pPr>
        <w:pStyle w:val="Heading3"/>
        <w:spacing w:after="120" w:before="240"/>
      </w:pPr>
      <w:r>
        <w:t xml:space="preserve">6.5 Admin-Verwaltung und Refresh-Tokens (24.06.2026)</w:t>
      </w:r>
    </w:p>
    <w:p>
      <w:pPr>
        <w:spacing w:after="200" w:line="300"/>
        <w:jc w:val="both"/>
      </w:pPr>
      <w:r>
        <w:rPr>
          <w:sz w:val="22"/>
          <w:szCs w:val="22"/>
        </w:rPr>
        <w:t xml:space="preserve">Am 24.06.2026 habe ich die Möglichkeit ergänzt, weitere Admin-Konten direkt im Admin-Panel anzulegen, nachdem der ursprüngliche Entwicklungs-Endpunkt für diesen Zweck nicht für den Produktivbetrieb gedacht war. Der größte Baustein dieses Tages war aber ein vollständiges Refresh-Token-System: Der bisherige Access-Token lief nach 60 Minuten ab, was bei einem offenen Tab ohne Navigation zu einer erneuten Anmeldung zwang. Mit einem zusätzlichen, 30 Tage gültigen Refresh-Token, der bei jeder Nutzung rotiert wird, um Replay-Angriffe zu verhindern, blieben Sitzungen deutlich länger aktiv, ohne die Sicherheit des kurzlebigen Access-Tokens aufzugeben.</w:t>
      </w:r>
    </w:p>
    <w:p>
      <w:pPr>
        <w:pBdr>
          <w:bottom w:val="single" w:color="AAAAAA" w:sz="6" w:space="1"/>
        </w:pBdr>
        <w:spacing w:after="300" w:before="100"/>
      </w:pPr>
    </w:p>
    <w:p>
      <w:pPr>
        <w:pStyle w:val="Heading2"/>
        <w:spacing w:after="150" w:before="300"/>
      </w:pPr>
      <w:r>
        <w:t xml:space="preserve">7. Juli 2026: Sicherheit, der Weg in die Cloud und rasantes Feature-Wachstum</w:t>
      </w:r>
    </w:p>
    <w:p>
      <w:pPr>
        <w:spacing w:after="200" w:line="300"/>
        <w:jc w:val="both"/>
      </w:pPr>
      <w:r>
        <w:rPr>
          <w:sz w:val="22"/>
          <w:szCs w:val="22"/>
        </w:rPr>
        <w:t xml:space="preserve">Der Juli war mit Abstand der arbeitsintensivste Monat des Projekts, vierzehn Tagesprotokolle allein in diesem einen Monat. Ich beschreibe hier die wichtigsten Stationen.</w:t>
      </w:r>
    </w:p>
    <w:p>
      <w:pPr>
        <w:pStyle w:val="Heading3"/>
        <w:spacing w:after="120" w:before="240"/>
      </w:pPr>
      <w:r>
        <w:t xml:space="preserve">7.1 Account-Lockout gegen Brute-Force (01.07.2026)</w:t>
      </w:r>
    </w:p>
    <w:p>
      <w:pPr>
        <w:spacing w:after="200" w:line="300"/>
        <w:jc w:val="both"/>
      </w:pPr>
      <w:r>
        <w:rPr>
          <w:sz w:val="22"/>
          <w:szCs w:val="22"/>
        </w:rPr>
        <w:t xml:space="preserve">Am 01.07.2026 habe ich eine Kontosperre nach fünf Fehlversuchen implementiert, über die in ASP.NET Core Identity bereits eingebaute, bis dahin aber nicht konfigurierte Lockout-Funktion, ergänzt um eine Möglichkeit für Admins, gesperrte Konten manuell wieder zu entsperren.</w:t>
      </w:r>
    </w:p>
    <w:p>
      <w:pPr>
        <w:pStyle w:val="Heading3"/>
        <w:spacing w:after="120" w:before="240"/>
      </w:pPr>
      <w:r>
        <w:t xml:space="preserve">7.2 Der steinige Weg in die Azure Cloud (08.–10.07.2026)</w:t>
      </w:r>
    </w:p>
    <w:p>
      <w:pPr>
        <w:spacing w:after="200" w:line="300"/>
        <w:jc w:val="both"/>
      </w:pPr>
      <w:r>
        <w:rPr>
          <w:sz w:val="22"/>
          <w:szCs w:val="22"/>
        </w:rPr>
        <w:t xml:space="preserve">Diese drei Tage waren rückblickend die technisch anspruchsvollsten des gesamten Projekts, weil ich hier zum ersten Mal von der lokalen Entwicklung in eine echte Cloud-Umgebung wechseln musste. Am 08.07.2026 habe ich die Vorbereitungen getroffen: ein erstes Bicep-Grundgerüst für die Infrastruktur-als-Code sowie die Anbindung an Azure Key Vault, damit die Anwendung in der Cloud keine Geheimnisse mehr aus appsettings.json oder rohen Umgebungsvariablen lesen muss.</w:t>
      </w:r>
    </w:p>
    <w:p>
      <w:pPr>
        <w:spacing w:after="200" w:line="300"/>
        <w:jc w:val="both"/>
      </w:pPr>
      <w:r>
        <w:rPr>
          <w:sz w:val="22"/>
          <w:szCs w:val="22"/>
        </w:rPr>
        <w:t xml:space="preserve">Am 09.07.2026 folgte dann der eigentliche Aufbau der Azure-Dev-Umgebung, und der Weg dahin war alles andere als geradlinig. Mein erster Ansatz, PostgreSQL über Azure Container Instances mit einer gemounteten Managed Disk zu betreiben, scheiterte direkt an der Azure-API: Container Instances unterstützen grundsätzlich keine Managed Disks als Volume. Der zweite Ansatz, Postgres als eigene, interne Container-App mit einer NFS-Azure-Files-Freigabe zu betreiben, führte durch mehrere Teilprobleme (fehlerhafte Netzwerkregeln, eine überraschende Verschlüsselungsanforderung bei NFS über Azure Files, ein irreführender Fehler wegen eines zu niedrigen Speicherkontingents), bis sich am Ende herausstellte, dass der interne TCP-Ingress zwischen zwei Container-Apps in derselben Umgebung grundsätzlich nicht funktionierte, mutmaßlich ein Plattform-Bug oder eine undokumentierte Einschränkung. Ich habe diesen Verdacht sauber isoliert nachgewiesen, indem ich probeweise von TCP- auf HTTP-Transport umgestellt habe: Die Verbindung kam dann zwar zustande (mit einem erwarteten Fehler, weil Postgres kein HTTP spricht), was zeigte, dass tatsächlich nur der TCP-Transport betroffen war. Erst der dritte Ansatz, Azure Database for PostgreSQL Flexible Server, nachdem eine einschränkende Standort-Policy auf der Subscription aufgehoben worden war, funktionierte auf Anhieb sauber. Zusätzlich musste ich zwei unabhängige Bugs im Migrations-Job lösen, unter anderem weil Key-Vault-Secret-Referenzen bei Container-Apps-Jobs anders funktionieren als bei normalen Container-Apps, ein Verhalten, das dokumentiert nur für System-Assigned Identities bekannt war, in meinem Fall mit User-Assigned Identity aber dasselbe Symptom zeigte.</w:t>
      </w:r>
    </w:p>
    <w:p>
      <w:pPr>
        <w:spacing w:after="200" w:line="300"/>
        <w:jc w:val="both"/>
      </w:pPr>
      <w:r>
        <w:rPr>
          <w:sz w:val="22"/>
          <w:szCs w:val="22"/>
        </w:rPr>
        <w:t xml:space="preserve">Am 10.07.2026 folgte der erste End-to-End-Test dieser neuen Umgebung und deckte gleich vier voneinander unabhängige Bugs auf: einen falschen Deploy-Pfad in der Pipeline, fehlendes SPA-Routing für die Blazor-WASM-Frontends, eine falsche Annahme über den tatsächlichen Hostnamen der Static Web Apps für die CORS-Konfiguration, und fehlende Custom Domains in derselben Allow-Liste. Am Ende dieses Tages blieb ein Login-Test im Admin-Panel mit einem hartnäckigen „Failed to fetch"-Fehler offen, der wie ein CORS-Problem aussah, obwohl direkte curl-Tests korrekte CORS-Header zeigten.</w:t>
      </w:r>
    </w:p>
    <w:p>
      <w:pPr>
        <w:pStyle w:val="Heading3"/>
        <w:spacing w:after="120" w:before="240"/>
      </w:pPr>
      <w:r>
        <w:t xml:space="preserve">7.3 Der Bootstrap-Endpunkt und ein fünf Tage alter Irrtum (15.07.2026)</w:t>
      </w:r>
    </w:p>
    <w:p>
      <w:pPr>
        <w:spacing w:after="200" w:line="300"/>
        <w:jc w:val="both"/>
      </w:pPr>
      <w:r>
        <w:rPr>
          <w:sz w:val="22"/>
          <w:szCs w:val="22"/>
        </w:rPr>
        <w:t xml:space="preserve">Am 15.07.2026 habe ich einen dedizierten, produktionstauglichen Bootstrap-Endpunkt gebaut, um den ersten Admin einer neuen Cloud-Umgebung nicht mehr wie bisher über eine manuell umgeleitete lokale API-Instanz anlegen zu müssen. Bei der Verifikation gegen die echte Cloud-Umgebung stieß ich erneut auf den seit dem 10.07.2026 offenen Login-Fehler und konnte ihn dieses Mal wirklich auflösen: Die eigentliche Ursache war überhaupt kein CORS-Problem, sondern ein zu kurzer JWT-Signaturschlüssel im Key Vault, der nur 168 statt der für HMAC-SHA256 nötigen mindestens 256 Bit lang war. Weil die Anwendung dafür keine globale Exception-Behandlung besaß, wurde die resultierende 500er-Antwort ohne CORS-Header ausgeliefert, was für den Browser exakt wie eine echte CORS-Ablehnung aussah. Diese Fehlersuche hat mir eindrücklich gezeigt, wie wichtig systematisches Ausschlussverfahren ist: Erst als ich den kompletten Erfolgspfad wirklich end-to-end nachgebaut habe, mit einem in PowerShell selbst nachimplementierten TOTP-Algorithmus, weil weder ein passendes Kommandozeilenwerkzeug noch ein funktionierendes Python lokal verfügbar war, kam der tatsächliche Fehler im Server-Log zum Vorschein.</w:t>
      </w:r>
    </w:p>
    <w:p>
      <w:pPr>
        <w:pStyle w:val="Heading3"/>
        <w:spacing w:after="120" w:before="240"/>
      </w:pPr>
      <w:r>
        <w:t xml:space="preserve">7.4 Refresh-Token-Härtung und ein Pipeline-Wirrwarr (16.–17.07.2026)</w:t>
      </w:r>
    </w:p>
    <w:p>
      <w:pPr>
        <w:spacing w:after="200" w:line="300"/>
        <w:jc w:val="both"/>
      </w:pPr>
      <w:r>
        <w:rPr>
          <w:sz w:val="22"/>
          <w:szCs w:val="22"/>
        </w:rPr>
        <w:t xml:space="preserve">Am 16.07.2026 habe ich das Refresh-Token-System um eine feste 24-Stunden-Session-Obergrenze und eine Wiederverwendungs-Erkennung erweitert, die bei einem bereits rotierten, erneut vorgelegten Token die komplette Session-Familie widerruft, ein starkes Indiz für einen gestohlenen Token. Am selben Tag verschwand durch parallele Arbeit eines Kollegen unerwartet die komplette Azure-DevOps-Pipeline-Definition, was sich am 17.07.2026 als reines Berechtigungsproblem herausstellte, keine echte Löschung. Am 17.07.2026 habe ich außerdem die zwei aus dem JWT-Bug abgeleiteten Empfehlungen umgesetzt (eine globale Exception-Behandlung sowie eine Startvalidierung für Mindestlängen sicherheitskritischer Secrets) und einen weiteren, unabhängigen Bug beim echten Standort-Excel-Upload gefunden: eine OutOfMemoryException, weil die verwendete Excel-Bibliothek die komplette Arbeitsmappe in den Speicher lädt statt zeilenweise zu lesen. Ich habe das sauber eingegrenzt, indem ich den Fehler zunächst lokal in einem Docker-Container mit identischem Speicherlimit wie in Azure reproduziert habe, und mich am Ende bewusst für die einfachere Lösung entschieden, die Container-Ressourcen zu erhöhen, statt die Bibliothek durch einen komplexeren Streaming-Parser zu ersetzen, dokumentiert samt verworfener Alternativen als eigenes ADR.</w:t>
      </w:r>
    </w:p>
    <w:p>
      <w:pPr>
        <w:pStyle w:val="Heading3"/>
        <w:spacing w:after="120" w:before="240"/>
      </w:pPr>
      <w:r>
        <w:t xml:space="preserve">7.5 Content-Security-Policy und mehr (21.–23.07.2026)</w:t>
      </w:r>
    </w:p>
    <w:p>
      <w:pPr>
        <w:spacing w:after="200" w:line="300"/>
        <w:jc w:val="both"/>
      </w:pPr>
      <w:r>
        <w:rPr>
          <w:sz w:val="22"/>
          <w:szCs w:val="22"/>
        </w:rPr>
        <w:t xml:space="preserve">Am 21.07.2026 habe ich eine Content-Security-Policy für beide Frontends eingeführt, zunächst bewusst im Report-Only-Modus, um vor der scharfen Durchsetzung erst einmal in Ruhe zu sehen, ob irgendwo eine nötige Regel fehlt. Am 23.07.2026 konnte ich nach einem gefundenen und behobenen Bug (ein SDK-versionsabhängiger Hash für eine automatisch generierte Import-Map) auf die erzwingende Variante umstellen. Am selben Tag ist mit dem News-Feature ein komplett neues Kommunikationswerkzeug entstanden, über das Admins Ankündigungen im GU-Panel-Dashboard veröffentlichen können, sowie eine ganze Reihe zusammenhängender Regeln rund um den CRQ-Zeitraum: Wochenenden zählen nicht mehr in die Arbeitszeit-Berechnung hinein, Zeiträume über sechs Tage werden nie mehr automatisch an TEF übertragen, Start- und Enddatum dürfen nicht mehr in der Vergangenheit liegen, und Admins können einen Freeze-Zeitraum setzen, während dessen keine neuen Anfragen für überschneidende Zeiträume eingereicht werden können. Bei dieser Gelegenheit habe ich außerdem einen Bug behoben, bei dem sich ein bereits am 15.07.2026 verwendetes Zeitzonen-Muster erneut zeigte, ein gutes Beispiel dafür, dass ich gefundene Fehlermuster konsequent in meiner CLAUDE.md dokumentiert habe, damit sie mir kein zweites Mal unnötig viel Zeit kosten.</w:t>
      </w:r>
    </w:p>
    <w:p>
      <w:pPr>
        <w:pStyle w:val="Heading3"/>
        <w:spacing w:after="120" w:before="240"/>
      </w:pPr>
      <w:r>
        <w:t xml:space="preserve">7.6 Pflichtbegründungen, Datenschutz und AGB (24.–28.07.2026)</w:t>
      </w:r>
    </w:p>
    <w:p>
      <w:pPr>
        <w:spacing w:after="200" w:line="300"/>
        <w:jc w:val="both"/>
      </w:pPr>
      <w:r>
        <w:rPr>
          <w:sz w:val="22"/>
          <w:szCs w:val="22"/>
        </w:rPr>
        <w:t xml:space="preserve">Am 24. und 28.07.2026 habe ich verpflichtende Begründungen bei destruktiven Admin-Aktionen wie Sperren, Löschen oder Ablehnen eingeführt sowie eine Möglichkeit für Admins, Benutzerdaten direkt zu bearbeiten. Der 28.07.2026 war dabei einer der inhaltlich vielseitigsten Tage des ganzen Projekts: Ich habe das Impressum mit den echten Firmendaten von Bayfu befüllt, ein komplettes Feature für den Upload einer Datenschutzerklärung als Markdown-Datei mit automatischer News-Benachrichtigung gebaut, und im direkten Anschluss ein noch größeres Feature für die AGB, bei dem ich mich bewusst für eine versionierte, append-only Speicherung entschieden habe, damit sich für jeden Nutzer jederzeit nachvollziehen lässt, welche Fassung er zuletzt akzeptiert hat. Die AGB müssen seither beim Passwort-Setup und bei jeder neuen Fassung erneut akzeptiert werden, bevor ein GU die Anwendung weiter nutzen kann, ein zweistufiges Login-Gate direkt nach der Anmeldung sowie ein zusätzliches Sicherheitsnetz für lange offene Browser-Tabs.</w:t>
      </w:r>
    </w:p>
    <w:p>
      <w:pPr>
        <w:pStyle w:val="Heading3"/>
        <w:spacing w:after="120" w:before="240"/>
      </w:pPr>
      <w:r>
        <w:t xml:space="preserve">7.7 CRQ-Bearbeiter-Pflicht, Kontodeaktivierung und Firmen-Dropdown (29.–31.07.2026)</w:t>
      </w:r>
    </w:p>
    <w:p>
      <w:pPr>
        <w:spacing w:after="200" w:line="300"/>
        <w:jc w:val="both"/>
      </w:pPr>
      <w:r>
        <w:rPr>
          <w:sz w:val="22"/>
          <w:szCs w:val="22"/>
        </w:rPr>
        <w:t xml:space="preserve">Am 29.07.2026 habe ich ein Pflichtfeld für den zuständigen Bearbeiter eines CRQ-Antrags eingeführt, mit automatischer Zuweisung im automatisierten Pfad und einem Ein-Klick-„Mir zuweisen"-Button im manuellen Pfad. Am 30.07.2026 kam mit der Kontodeaktivierung ein neues Antragsfeature hinzu, bei dem ein GU die Deaktivierung des eigenen Kontos beantragen kann und ein Admin darüber entscheidet, bewusst als eigenständiges Feature getrennt von der später diskutierten, aber bis heute nicht begonnenen vollständigen Kontolöschung. Am 31.07.2026 schließlich ein durchsuchbares Firmen-Dropdown bei der Registrierung mit automatischer Kuratierung: Genehmigt ein Admin eine Registrierung mit einer neuen, bisher unbekannten Firma, wird diese automatisch zur Vorschlagsliste hinzugefügt.</w:t>
      </w:r>
    </w:p>
    <w:p>
      <w:pPr>
        <w:pBdr>
          <w:bottom w:val="single" w:color="AAAAAA" w:sz="6" w:space="1"/>
        </w:pBdr>
        <w:spacing w:after="300" w:before="100"/>
      </w:pPr>
    </w:p>
    <w:p>
      <w:pPr>
        <w:pStyle w:val="Heading2"/>
        <w:spacing w:after="150" w:before="300"/>
      </w:pPr>
      <w:r>
        <w:t xml:space="preserve">8. August 2026: Konsolidierung, ein neues Panel und Betriebsreife</w:t>
      </w:r>
    </w:p>
    <w:p>
      <w:pPr>
        <w:pStyle w:val="Heading3"/>
        <w:spacing w:after="120" w:before="240"/>
      </w:pPr>
      <w:r>
        <w:t xml:space="preserve">8.1 Die Übernahme des INC-Workers (04.08.2026)</w:t>
      </w:r>
    </w:p>
    <w:p>
      <w:pPr>
        <w:spacing w:after="200" w:line="300"/>
        <w:jc w:val="both"/>
      </w:pPr>
      <w:r>
        <w:rPr>
          <w:sz w:val="22"/>
          <w:szCs w:val="22"/>
        </w:rPr>
        <w:t xml:space="preserve">Am 04.08.2026 wurde parallel zu meiner eigenen Arbeit von einem Kollegen, Alexander Morbitzer, der Incident-E-Mail-Worker aus einem Studentenprojekt der TH Rosenheim in dieses Repository übernommen, inklusive einer dritten, eigenen Datenbank für Incidents. Am selben Tag habe ich unabhängig davon mit der Anbindung des externen AsiMinu-AdHoc-Repositories begonnen, dem ersten Schritt eines mehrstufigen Plans, drei bis dahin getrennte Repositories langfristig zu konsolidieren.</w:t>
      </w:r>
    </w:p>
    <w:p>
      <w:pPr>
        <w:pStyle w:val="Heading3"/>
        <w:spacing w:after="120" w:before="240"/>
      </w:pPr>
      <w:r>
        <w:t xml:space="preserve">8.2 Das ChangeCoordinator-Panel entsteht (05.–07.08.2026)</w:t>
      </w:r>
    </w:p>
    <w:p>
      <w:pPr>
        <w:spacing w:after="200" w:line="300"/>
        <w:jc w:val="both"/>
      </w:pPr>
      <w:r>
        <w:rPr>
          <w:sz w:val="22"/>
          <w:szCs w:val="22"/>
        </w:rPr>
        <w:t xml:space="preserve">Am 05.08.2026 habe ich festgestellt, dass die eigentliche Migration deutlich kleiner ausfallen würde als zunächst befürchtet, weil die relevanten Seiten im externen Repository durch die Integration vom Vortag bereits reine REST-Clients gegen meine eigene API waren. Ich habe daraufhin ein komplett neues, drittes Blazor-WASM-Frontend gebaut, das ChangeCoordinator-Panel, zusammen mit einem neuen Rollenmodell: die Rolle TicketSpecialist mit granularem Zugriff auf CRQs, Incidents oder beides, über eine eigene, auf Berechtigungslogik statt reiner Rollenprüfung basierende Autorisierung. Damit war das ChangeCoordinator-Panel der eigentliche Nachfolger des alten AsiMinu-Dashboards, ganz anders, als ich es mir in der Konzeptphase vorgestellt hatte: Aus der ursprünglich als kleine Anpassung geplanten Änderung wurde am Ende ein komplett neues, drittes Frontend, die größte einzelne Abweichung vom ursprünglichen Plan im gesamten Projekt. Am 07.08.2026 habe ich dieses neue Panel in einer mehrstufigen Ausbaurunde deutlich erweitert: ein rollenabhängiges Dashboard mit CRQ-Statistik-Diagramm, ein überarbeitetes Ticket-Layout mit einem selbst gebauten, ziehbaren Spaltentrenner ganz ohne JavaScript-Interop, eine eigene Profilseite und das Grundgerüst für eine künftige automatische TEF-Statuskette.</w:t>
      </w:r>
    </w:p>
    <w:p>
      <w:pPr>
        <w:pStyle w:val="Heading3"/>
        <w:spacing w:after="120" w:before="240"/>
      </w:pPr>
      <w:r>
        <w:t xml:space="preserve">8.3 Ein besonders umfangreicher Ausbautag (10.08.2026)</w:t>
      </w:r>
    </w:p>
    <w:p>
      <w:pPr>
        <w:spacing w:after="200" w:line="300"/>
        <w:jc w:val="both"/>
      </w:pPr>
      <w:r>
        <w:rPr>
          <w:sz w:val="22"/>
          <w:szCs w:val="22"/>
        </w:rPr>
        <w:t xml:space="preserve">Der 10.08.2026 war mit zwanzig Commits an einem einzigen Tag der arbeitsintensivste Einzeltag des gesamten Projekts. Ich habe unter anderem dem Incident-Panel einen CRQ-Bezug gegeben, ein gemeinsames Impressum für alle drei Panels über eine neue geteilte Razor-Class-Library gebaut, einen einheitlichen Anwendungsnamen über alle Panels hinweg eingeführt, eine Sitzungswache ergänzt, die bei abgelaufener Session automatisch zur Anmeldung zurückleitet, sowie im GU-Panel einen Einführungsrundgang für neue Nutzer und direkte Tiefenlinks in den Support-E-Mails implementiert.</w:t>
      </w:r>
    </w:p>
    <w:p>
      <w:pPr>
        <w:pStyle w:val="Heading3"/>
        <w:spacing w:after="120" w:before="240"/>
      </w:pPr>
      <w:r>
        <w:t xml:space="preserve">8.4 Betriebsreife: Löschlauf, Prüfprotokoll, Systemzustand und eine neue Rolle (11.08.2026)</w:t>
      </w:r>
    </w:p>
    <w:p>
      <w:pPr>
        <w:spacing w:after="200" w:line="300"/>
        <w:jc w:val="both"/>
      </w:pPr>
      <w:r>
        <w:rPr>
          <w:sz w:val="22"/>
          <w:szCs w:val="22"/>
        </w:rPr>
        <w:t xml:space="preserve">Am Vormittag des 11.08.2026 hat mein Kollege einen täglichen automatischen Löschlauf für Altdaten, ein vollständiges Prüfprotokoll über alle verändernden Vorgänge im System sowie eine Systemzustands-Ampel im Admin-Panel eingebaut. Am Nachmittag habe ich eine neue Rolle namens Operator ergänzt, für Personen, die ausschließlich Einblick in Systemzustand und Prüfprotokoll benötigen, aber weder auf Benutzerdaten noch auf CRQs oder Incidents zugreifen dürfen. Bei der Umsetzung ist mir aufgefallen, dass fast alle Admin-Panel-Seiten bis dahin nur ein pauschales „angemeldet" statt einer expliziten Rollenprüfung verlangten, was so lange unproblematisch war, wie sich ohnehin nur Admins anmelden konnten. Mit einer zweiten zugelassenen Rolle wurde daraus eine echte Sicherheitslücke, die ich an dieser Stelle konsequent für alle betroffenen Seiten geschlossen habe.</w:t>
      </w:r>
    </w:p>
    <w:p>
      <w:pPr>
        <w:pStyle w:val="Heading3"/>
        <w:spacing w:after="120" w:before="240"/>
      </w:pPr>
      <w:r>
        <w:t xml:space="preserve">8.5 Qualitätstore, eine vollständige Automatisierung und CRQ-Chat (12.08.2026)</w:t>
      </w:r>
    </w:p>
    <w:p>
      <w:pPr>
        <w:spacing w:after="200" w:line="300"/>
        <w:jc w:val="both"/>
      </w:pPr>
      <w:r>
        <w:rPr>
          <w:sz w:val="22"/>
          <w:szCs w:val="22"/>
        </w:rPr>
        <w:t xml:space="preserve">Am 12.08.2026 habe ich zunächst Fassungsnummern nach Semantic Versioning eingeführt und alle drei bis dahin nur prüfenden, aber nicht blockierenden Qualitätstore der Pipeline (SonarCloud, zwei Trivy-Sicherheitsscans) scharf geschaltet. Der größte Baustein des Tages war jedoch eine grundlegende Überarbeitung der automatischen TEF-Übertragung: Die bisher fest im Code verankerte Regel (Standortkategorie unter drei und Zeitraum bis sechs Tage) erwies sich beim Abgleich mit der echten Standortdatei als in der Praxis wirkungslos, weil das Kategoriefeld dort keine sauberen Zahlenwerte, sondern 147 verschiedene Freitext-Schreibweisen enthielt. Ich habe die Entscheidungslogik deshalb komplett auf einstellbare Bedingungen umgestellt, die ein Admin über eine neue Oberfläche pflegen kann, standardmäßig deaktiviert, bis jemand sie bewusst mit sinnvollen Werten befüllt und einschaltet. Ergänzend dazu läuft die eigentliche Übertragung nicht mehr sofort, sondern zu festen, konfigurierbaren Uhrzeiten, wobei ein rückwärtsgerichteter Ansatz („ist seit dem letzten Lauf ein Termin vergangen?") auch einen verschlafenen Termin zuverlässig nachholt statt ihn zu überspringen. Den Abschluss des Tages bildete ein CRQ-Chat zwischen GU und ChangeCoordinator, mit dem ich die bisherige unstrukturierte Kommunikation per E-Mail-Antwort durch einen einzigen, strukturierten Eingabeweg im Panel ersetzt habe.</w:t>
      </w:r>
    </w:p>
    <w:p>
      <w:pPr>
        <w:pBdr>
          <w:bottom w:val="single" w:color="AAAAAA" w:sz="6" w:space="1"/>
        </w:pBdr>
        <w:spacing w:after="300" w:before="100"/>
      </w:pPr>
    </w:p>
    <w:p>
      <w:pPr>
        <w:pStyle w:val="Heading2"/>
        <w:spacing w:after="150" w:before="300"/>
      </w:pPr>
      <w:r>
        <w:t xml:space="preserve">9. Aktueller Stand (Stand: 01.09.2026)</w:t>
      </w:r>
    </w:p>
    <w:p>
      <w:pPr>
        <w:spacing w:after="200" w:line="300"/>
        <w:jc w:val="both"/>
      </w:pPr>
      <w:r>
        <w:rPr>
          <w:sz w:val="22"/>
          <w:szCs w:val="22"/>
        </w:rPr>
        <w:t xml:space="preserve">Der letzte inhaltliche Arbeitstag vor dem Stichtag dieser Dokumentation war fast ausschließlich der Dokumentationspflege und der Gliederung dieser Bachelorarbeit selbst gewidmet, nicht mehr dem AsiMinu-Code. Das System umfasst zu diesem Zeitpunkt vier zusammenspielende Frontend-/Backend-Komponenten (GU-Panel, Admin-Panel, ChangeCoordinator-Panel und die API mit angeschlossenem INC-Worker und Löschworker), drei getrennte PostgreSQL-Datenbanken, 57 dokumentierte Architekturentscheidungen und läuft produktiv in einer Azure-Dev- und einer Azure-Test-Umgebung.</w:t>
      </w:r>
    </w:p>
    <w:p>
      <w:pPr>
        <w:spacing w:after="200" w:line="300"/>
        <w:jc w:val="both"/>
      </w:pPr>
      <w:r>
        <w:rPr>
          <w:sz w:val="22"/>
          <w:szCs w:val="22"/>
        </w:rPr>
        <w:t xml:space="preserve">Eine Reihe von Punkten ist zum aktuellen Zeitpunkt bewusst noch offen, unter anderem die vollständige Kontolöschung als eigenständiges, von der Kontodeaktivierung abzugrenzendes Feature, die Ablösung des TEF-Service-Stubs durch die noch nicht verfügbare echte TEF-Schnittstelle, sowie mehrere Punkte, die zwar technisch fertig implementiert, aber noch nicht vollständig im Browser end-to-end nachgetestet sind. Der größte offene Punkt liegt dabei nicht bei mir: Der ursprünglich vertraglich mit der TEF vereinbarte Live-Termin am 09.07.2026 konnte nicht gehalten werden, weil die TEF die Schnittstelle auf ihrer eigenen Seite bis dahin nicht fertigstellen konnte, weshalb sich der Live-Gang insgesamt auf November 2026 verschoben hat. Diese Transparenz über offene Punkte war mir während des ganzen Projekts wichtig, jedes Tagesprotokoll endet konsequent mit einer ehrlichen Liste dessen, was noch fehlt, statt den Stand schönzureden.</w:t>
      </w:r>
    </w:p>
    <w:p>
      <w:pPr>
        <w:pBdr>
          <w:bottom w:val="single" w:color="AAAAAA" w:sz="6" w:space="1"/>
        </w:pBdr>
        <w:spacing w:after="300" w:before="100"/>
      </w:pPr>
    </w:p>
    <w:p>
      <w:pPr>
        <w:pStyle w:val="Heading2"/>
        <w:spacing w:after="150" w:before="300"/>
      </w:pPr>
      <w:r>
        <w:t xml:space="preserve">10. Reflexion: Wie sich die Anforderungen im Projektverlauf verändert und erweitert haben</w:t>
      </w:r>
    </w:p>
    <w:p>
      <w:pPr>
        <w:spacing w:after="200" w:line="300"/>
        <w:jc w:val="both"/>
      </w:pPr>
      <w:r>
        <w:rPr>
          <w:sz w:val="22"/>
          <w:szCs w:val="22"/>
        </w:rPr>
        <w:t xml:space="preserve">Rückblickend über die gut viereinhalb Monate von der Konzeptphase bis heute lassen sich mehrere wiederkehrende Muster erkennen, wie sich die ursprünglichen Anforderungen verändert und erweitert haben.</w:t>
      </w:r>
    </w:p>
    <w:p>
      <w:pPr>
        <w:spacing w:after="200" w:line="300"/>
        <w:jc w:val="both"/>
      </w:pPr>
      <w:r>
        <w:rPr>
          <w:sz w:val="22"/>
          <w:szCs w:val="22"/>
        </w:rPr>
        <w:t xml:space="preserve">Am deutlichsten zeigt sich das an der geplanten Anpassung des bestehenden AsiMinu-Dashboards. Ursprünglich war dafür nur eine kleine Änderung an der Datenanlieferung vorgesehen, am Ende ist daraus eine komplett neue CRQ-Datenbank und mit dem ChangeCoordinator-Panel ein komplett neues, drittes Frontend geworden, die größte einzelne Abweichung vom ursprünglichen Plan im ganzen Projekt. Das Admin-Panel dagegen war, anders als ich es an anderer Stelle einmal für mich selbst notiert hatte, tatsächlich von Anfang an Teil des Auftrags und keine spätere Ergänzung. Auch die Automatisierung der TEF-Übertragung war von Anfang an fachlich angedacht, musste aber im August komplett neu konzipiert werden, nachdem sich die ursprünglich feste Regel in der Praxis als wirkungslos herausstellte, weil die reale Standortdatenqualität deutlich uneinheitlicher war als angenommen.</w:t>
      </w:r>
    </w:p>
    <w:p>
      <w:pPr>
        <w:spacing w:after="200" w:line="300"/>
        <w:jc w:val="both"/>
      </w:pPr>
      <w:r>
        <w:rPr>
          <w:sz w:val="22"/>
          <w:szCs w:val="22"/>
        </w:rPr>
        <w:t xml:space="preserve">Ein zweites Muster ist, wie oft sich technische Grundsatzentscheidungen erst aus konkreten, in der Praxis aufgetretenen Problemen ergeben haben, statt am Reißbrett vorhergesehen worden zu sein: SMS-OTP wurde durch TOTP ersetzt, weil sich Kosten und Testbarkeit als problematisch erwiesen, nicht weil TOTP von Anfang an geplant war. Die Postgres-Hosting-Strategie in Azure hat sich über drei komplett verschiedene Ansätze entwickelt, bis der dritte tatsächlich funktionierte. Die Automatisierungsregeln für TEF wurden von einer festen Code-Regel zu einem konfigurierbaren System, weil die reale Datenqualität etwas anderes verlangte als angenommen.</w:t>
      </w:r>
    </w:p>
    <w:p>
      <w:pPr>
        <w:spacing w:after="200" w:line="300"/>
        <w:jc w:val="both"/>
      </w:pPr>
      <w:r>
        <w:rPr>
          <w:sz w:val="22"/>
          <w:szCs w:val="22"/>
        </w:rPr>
        <w:t xml:space="preserve">Ein drittes, für mich persönlich sehr lehrreiches Muster ist, wie viele Bugs erst durch das Zusammenspiel mehrerer, für sich genommen korrekter Systeme entstanden sind, der Base64Url-Bug bei E-Mail-Links, der als CORS-Problem missverstandene JWT-Schlüssel-Bug, oder die doppelte Zeitzonen-Konvertierung bei der SA-Duration-Berechnung. Diese Fälle haben mir gezeigt, dass systematisches, schrittweises Ausschlussverfahren am Ende immer zuverlässiger zum echten Grund führt als eine naheliegende, aber ungeprüfte erste Vermutung.</w:t>
      </w:r>
    </w:p>
    <w:p>
      <w:pPr>
        <w:spacing w:after="200" w:line="300"/>
        <w:jc w:val="both"/>
      </w:pPr>
      <w:r>
        <w:rPr>
          <w:sz w:val="22"/>
          <w:szCs w:val="22"/>
        </w:rPr>
        <w:t xml:space="preserve">Und schließlich hat sich über das ganze Projekt hinweg eine Arbeitsweise etabliert, die ich am Anfang so nicht bewusst geplant hatte, aber rückblickend als meine eigentliche Methode bezeichnen würde: Jede fachliche oder technische Entscheidung wird begründet dokumentiert, bevor sie umgesetzt wird oder unmittelbar danach, jeder Arbeitstag endet mit einem ehrlichen Protokoll aus Ergebnis, Entscheidung und offenen Punkten, und Abweichungen vom ursprünglichen Plan werden nicht verschwiegen, sondern explizit als Abweichung markiert. Diese Disziplin ist es letztlich auch, die es überhaupt möglich gemacht hat, dieses Dokument mit dieser Detailtiefe im Nachhinein zu schreiben.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Dennis Sacher – AsiMinu-Projekt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2026-09-09T08:27:53.495Z</dcterms:created>
  <dcterms:modified xsi:type="dcterms:W3CDTF">2026-09-09T08:27:53.512Z</dcterms:modified>
</cp:coreProperties>
</file>

<file path=docProps/custom.xml><?xml version="1.0" encoding="utf-8"?>
<Properties xmlns="http://schemas.openxmlformats.org/officeDocument/2006/custom-properties" xmlns:vt="http://schemas.openxmlformats.org/officeDocument/2006/docPropsVTypes"/>
</file>