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C50F3" w14:textId="35500003" w:rsidR="00C721F6" w:rsidRDefault="00C721F6" w:rsidP="00C721F6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Problemset 1</w:t>
      </w:r>
    </w:p>
    <w:p w14:paraId="6D4210F8" w14:textId="131663B8" w:rsidR="004749A0" w:rsidRDefault="00C721F6" w:rsidP="00C721F6">
      <w:pPr>
        <w:spacing w:line="240" w:lineRule="auto"/>
        <w:jc w:val="center"/>
        <w:rPr>
          <w:sz w:val="40"/>
          <w:szCs w:val="40"/>
        </w:rPr>
      </w:pPr>
      <w:r w:rsidRPr="00C721F6">
        <w:rPr>
          <w:sz w:val="40"/>
          <w:szCs w:val="40"/>
        </w:rPr>
        <w:t>Building a Strategic Portfolio</w:t>
      </w:r>
    </w:p>
    <w:p w14:paraId="66EC6617" w14:textId="77777777" w:rsidR="00C721F6" w:rsidRDefault="00C721F6" w:rsidP="00C721F6">
      <w:pPr>
        <w:spacing w:line="240" w:lineRule="auto"/>
        <w:jc w:val="center"/>
        <w:rPr>
          <w:sz w:val="40"/>
          <w:szCs w:val="40"/>
        </w:rPr>
      </w:pPr>
    </w:p>
    <w:p w14:paraId="7F3D6E15" w14:textId="492905A7" w:rsidR="008341DB" w:rsidRPr="008341DB" w:rsidRDefault="00AA6082" w:rsidP="00CA1118">
      <w:pPr>
        <w:pStyle w:val="Listenabsatz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E268D">
        <w:rPr>
          <w:sz w:val="28"/>
          <w:szCs w:val="28"/>
        </w:rPr>
        <w:t>Introductio</w:t>
      </w:r>
      <w:r w:rsidR="001E268D" w:rsidRPr="001E268D">
        <w:rPr>
          <w:sz w:val="28"/>
          <w:szCs w:val="28"/>
        </w:rPr>
        <w:t>n</w:t>
      </w:r>
    </w:p>
    <w:p w14:paraId="191B1BE0" w14:textId="77777777" w:rsidR="00AA6082" w:rsidRPr="00AA6082" w:rsidRDefault="00AA6082" w:rsidP="00AA6082">
      <w:pPr>
        <w:pStyle w:val="Listenabsatz"/>
        <w:spacing w:line="240" w:lineRule="auto"/>
        <w:rPr>
          <w:sz w:val="22"/>
          <w:szCs w:val="22"/>
        </w:rPr>
      </w:pPr>
    </w:p>
    <w:p w14:paraId="5EA0BE4E" w14:textId="7E92EF9F" w:rsidR="00C721F6" w:rsidRDefault="001E268D" w:rsidP="00C721F6">
      <w:pPr>
        <w:pStyle w:val="Listenabsatz"/>
        <w:spacing w:line="240" w:lineRule="auto"/>
        <w:rPr>
          <w:sz w:val="22"/>
          <w:szCs w:val="22"/>
        </w:rPr>
      </w:pPr>
      <w:r w:rsidRPr="00B06FD5">
        <w:rPr>
          <w:sz w:val="22"/>
          <w:szCs w:val="22"/>
        </w:rPr>
        <w:t xml:space="preserve">This project’s goal is to construct and analyze a strategic investment portfolio using a sufficiently large dataset of asset prices. </w:t>
      </w:r>
    </w:p>
    <w:p w14:paraId="6457844A" w14:textId="77777777" w:rsidR="00B06FD5" w:rsidRPr="00B06FD5" w:rsidRDefault="00B06FD5" w:rsidP="00C721F6">
      <w:pPr>
        <w:pStyle w:val="Listenabsatz"/>
        <w:spacing w:line="240" w:lineRule="auto"/>
        <w:rPr>
          <w:sz w:val="22"/>
          <w:szCs w:val="22"/>
        </w:rPr>
      </w:pPr>
    </w:p>
    <w:p w14:paraId="61DBFC6C" w14:textId="4F6F930D" w:rsidR="00B06FD5" w:rsidRPr="00B06FD5" w:rsidRDefault="001E268D" w:rsidP="00C721F6">
      <w:pPr>
        <w:pStyle w:val="Listenabsatz"/>
        <w:spacing w:line="240" w:lineRule="auto"/>
        <w:rPr>
          <w:sz w:val="22"/>
          <w:szCs w:val="22"/>
        </w:rPr>
      </w:pPr>
      <w:r w:rsidRPr="00B06FD5">
        <w:rPr>
          <w:sz w:val="22"/>
          <w:szCs w:val="22"/>
        </w:rPr>
        <w:t xml:space="preserve">Our investments fond focus is on the following five stocks: Apple (AAPL), Microsoft (MSFT), Tesla (TSLA) </w:t>
      </w:r>
      <w:r w:rsidRPr="00B06FD5">
        <w:rPr>
          <w:sz w:val="22"/>
          <w:szCs w:val="22"/>
        </w:rPr>
        <w:t>Ø</w:t>
      </w:r>
      <w:r w:rsidRPr="00B06FD5">
        <w:rPr>
          <w:sz w:val="22"/>
          <w:szCs w:val="22"/>
        </w:rPr>
        <w:t>rsted (ORSTED.CO) and Visa (V). In addition, the SP500 (</w:t>
      </w:r>
      <w:r w:rsidRPr="00B06FD5">
        <w:rPr>
          <w:sz w:val="22"/>
          <w:szCs w:val="22"/>
        </w:rPr>
        <w:t>^</w:t>
      </w:r>
      <w:r w:rsidRPr="00B06FD5">
        <w:rPr>
          <w:sz w:val="22"/>
          <w:szCs w:val="22"/>
        </w:rPr>
        <w:t xml:space="preserve">GSPC) is used for </w:t>
      </w:r>
      <w:r w:rsidRPr="00B06FD5">
        <w:rPr>
          <w:sz w:val="22"/>
          <w:szCs w:val="22"/>
        </w:rPr>
        <w:t>comparative</w:t>
      </w:r>
      <w:r w:rsidRPr="00B06FD5">
        <w:rPr>
          <w:sz w:val="22"/>
          <w:szCs w:val="22"/>
        </w:rPr>
        <w:t xml:space="preserve"> purposes.</w:t>
      </w:r>
    </w:p>
    <w:p w14:paraId="49AF82EF" w14:textId="77777777" w:rsidR="008341DB" w:rsidRPr="00B06FD5" w:rsidRDefault="001E268D" w:rsidP="00C721F6">
      <w:pPr>
        <w:pStyle w:val="Listenabsatz"/>
        <w:spacing w:line="240" w:lineRule="auto"/>
        <w:rPr>
          <w:sz w:val="22"/>
          <w:szCs w:val="22"/>
        </w:rPr>
      </w:pPr>
      <w:r w:rsidRPr="00B06FD5">
        <w:rPr>
          <w:sz w:val="22"/>
          <w:szCs w:val="22"/>
        </w:rPr>
        <w:t xml:space="preserve">These assets were selected to ensure a broad diversification across different industries and regions. </w:t>
      </w:r>
      <w:r w:rsidRPr="00B06FD5">
        <w:rPr>
          <w:sz w:val="22"/>
          <w:szCs w:val="22"/>
        </w:rPr>
        <w:t>Apple, Microsoft, and Tesla represent leading U.S. technology and innovation companies with high market capitalizations. Ørsted, a</w:t>
      </w:r>
    </w:p>
    <w:p w14:paraId="5719E99B" w14:textId="0FF85339" w:rsidR="008341DB" w:rsidRPr="00B06FD5" w:rsidRDefault="001E268D" w:rsidP="008341DB">
      <w:pPr>
        <w:pStyle w:val="Listenabsatz"/>
        <w:spacing w:line="240" w:lineRule="auto"/>
        <w:rPr>
          <w:sz w:val="22"/>
          <w:szCs w:val="22"/>
        </w:rPr>
      </w:pPr>
      <w:r w:rsidRPr="00B06FD5">
        <w:rPr>
          <w:sz w:val="22"/>
          <w:szCs w:val="22"/>
        </w:rPr>
        <w:t>Danish company in the renewable energy sector, adds a European and sustainable component to the portfolio. Visa represents the financial sector and complements the selection with a stable, globally operating payment company.</w:t>
      </w:r>
    </w:p>
    <w:p w14:paraId="63CF9E4C" w14:textId="77777777" w:rsidR="008341DB" w:rsidRDefault="008341DB" w:rsidP="008341DB">
      <w:pPr>
        <w:pStyle w:val="Listenabsatz"/>
        <w:spacing w:line="240" w:lineRule="auto"/>
      </w:pPr>
    </w:p>
    <w:p w14:paraId="385D56A6" w14:textId="77777777" w:rsidR="002C4064" w:rsidRDefault="002C4064" w:rsidP="008341DB">
      <w:pPr>
        <w:pStyle w:val="Listenabsatz"/>
        <w:spacing w:line="240" w:lineRule="auto"/>
      </w:pPr>
    </w:p>
    <w:p w14:paraId="0F442D50" w14:textId="366068BA" w:rsidR="008341DB" w:rsidRPr="008341DB" w:rsidRDefault="008341DB" w:rsidP="00CA1118">
      <w:pPr>
        <w:pStyle w:val="Listenabsatz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Data Collection</w:t>
      </w:r>
    </w:p>
    <w:p w14:paraId="2EC8BD58" w14:textId="77777777" w:rsidR="00B06FD5" w:rsidRDefault="00B06FD5" w:rsidP="008341DB">
      <w:pPr>
        <w:pStyle w:val="Listenabsatz"/>
        <w:spacing w:line="240" w:lineRule="auto"/>
        <w:rPr>
          <w:sz w:val="22"/>
          <w:szCs w:val="22"/>
        </w:rPr>
      </w:pPr>
    </w:p>
    <w:p w14:paraId="230642B4" w14:textId="4163DAAC" w:rsidR="002C4064" w:rsidRDefault="008341DB" w:rsidP="008341DB">
      <w:pPr>
        <w:pStyle w:val="Listenabsatz"/>
        <w:spacing w:line="240" w:lineRule="auto"/>
      </w:pPr>
      <w:r>
        <w:rPr>
          <w:sz w:val="22"/>
          <w:szCs w:val="22"/>
        </w:rPr>
        <w:t xml:space="preserve">The historical price data were obtained using Yahoo Finance and its </w:t>
      </w:r>
      <w:r w:rsidRPr="008341DB">
        <w:rPr>
          <w:i/>
          <w:iCs/>
          <w:sz w:val="22"/>
          <w:szCs w:val="22"/>
        </w:rPr>
        <w:t>yfinance</w:t>
      </w:r>
      <w:r>
        <w:rPr>
          <w:sz w:val="22"/>
          <w:szCs w:val="22"/>
        </w:rPr>
        <w:t xml:space="preserve"> python library, aggregated into monthly intervals. </w:t>
      </w:r>
      <w:r>
        <w:t>For comparability and improved modeling, logarithmic returns were calculated, defined as:</w:t>
      </w:r>
    </w:p>
    <w:p w14:paraId="0DB636BA" w14:textId="77777777" w:rsidR="002C4064" w:rsidRDefault="002C4064" w:rsidP="008341DB">
      <w:pPr>
        <w:pStyle w:val="Listenabsatz"/>
        <w:spacing w:line="240" w:lineRule="auto"/>
      </w:pPr>
    </w:p>
    <w:p w14:paraId="618164CA" w14:textId="77777777" w:rsidR="00207D92" w:rsidRDefault="002C4064" w:rsidP="00207D92">
      <w:pPr>
        <w:pStyle w:val="Listenabsatz"/>
        <w:keepNext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F38BA9C" w14:textId="4DD7D57C" w:rsidR="008341DB" w:rsidRDefault="00207D92" w:rsidP="00207D92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6FD5">
        <w:rPr>
          <w:noProof/>
        </w:rPr>
        <w:t>1</w:t>
      </w:r>
      <w:r>
        <w:fldChar w:fldCharType="end"/>
      </w:r>
      <w:r>
        <w:t>: log-return formula</w:t>
      </w:r>
    </w:p>
    <w:p w14:paraId="0CFE1101" w14:textId="77777777" w:rsidR="00207D92" w:rsidRPr="00207D92" w:rsidRDefault="00207D92" w:rsidP="00207D92"/>
    <w:p w14:paraId="0E3B5D4E" w14:textId="11767449" w:rsidR="002C4064" w:rsidRDefault="002C4064" w:rsidP="008341DB">
      <w:pPr>
        <w:pStyle w:val="Listenabsatz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defined as the price at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>
        <w:rPr>
          <w:rFonts w:eastAsiaTheme="minorEastAsia"/>
          <w:sz w:val="22"/>
          <w:szCs w:val="22"/>
        </w:rPr>
        <w:t xml:space="preserve">. </w:t>
      </w:r>
      <w:r w:rsidRPr="002C4064">
        <w:rPr>
          <w:sz w:val="22"/>
          <w:szCs w:val="22"/>
        </w:rPr>
        <w:t>This transformation linearizes percentage changes and better captures extreme values.</w:t>
      </w:r>
    </w:p>
    <w:p w14:paraId="324CF4B4" w14:textId="77777777" w:rsidR="002C4064" w:rsidRDefault="002C4064" w:rsidP="008341DB">
      <w:pPr>
        <w:pStyle w:val="Listenabsatz"/>
        <w:spacing w:line="240" w:lineRule="auto"/>
        <w:rPr>
          <w:sz w:val="22"/>
          <w:szCs w:val="22"/>
        </w:rPr>
      </w:pPr>
    </w:p>
    <w:p w14:paraId="4524A604" w14:textId="77777777" w:rsidR="00207D92" w:rsidRDefault="00207D92" w:rsidP="008341DB">
      <w:pPr>
        <w:pStyle w:val="Listenabsatz"/>
        <w:spacing w:line="240" w:lineRule="auto"/>
        <w:rPr>
          <w:sz w:val="22"/>
          <w:szCs w:val="22"/>
        </w:rPr>
      </w:pPr>
    </w:p>
    <w:p w14:paraId="7AB0A2D7" w14:textId="7028AD0B" w:rsidR="002C4064" w:rsidRPr="008341DB" w:rsidRDefault="002C4064" w:rsidP="00CA1118">
      <w:pPr>
        <w:pStyle w:val="Listenabsatz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Jarque-Bera Test for Normality</w:t>
      </w:r>
    </w:p>
    <w:p w14:paraId="65641441" w14:textId="77777777" w:rsidR="002C4064" w:rsidRPr="00AA6082" w:rsidRDefault="002C4064" w:rsidP="002C4064">
      <w:pPr>
        <w:pStyle w:val="Listenabsatz"/>
        <w:spacing w:line="240" w:lineRule="auto"/>
        <w:rPr>
          <w:sz w:val="22"/>
          <w:szCs w:val="22"/>
        </w:rPr>
      </w:pPr>
    </w:p>
    <w:p w14:paraId="37F117D6" w14:textId="1588C224" w:rsidR="002C4064" w:rsidRDefault="002C4064" w:rsidP="002C4064">
      <w:pPr>
        <w:pStyle w:val="Listenabsatz"/>
        <w:spacing w:line="240" w:lineRule="auto"/>
      </w:pPr>
      <w:r>
        <w:rPr>
          <w:sz w:val="22"/>
          <w:szCs w:val="22"/>
        </w:rPr>
        <w:t xml:space="preserve">To </w:t>
      </w:r>
      <w:r w:rsidR="00207D92">
        <w:rPr>
          <w:sz w:val="22"/>
          <w:szCs w:val="22"/>
        </w:rPr>
        <w:t>assess</w:t>
      </w:r>
      <w:r>
        <w:rPr>
          <w:sz w:val="22"/>
          <w:szCs w:val="22"/>
        </w:rPr>
        <w:t xml:space="preserve"> </w:t>
      </w:r>
      <w:r w:rsidR="00207D92">
        <w:rPr>
          <w:sz w:val="22"/>
          <w:szCs w:val="22"/>
        </w:rPr>
        <w:t>whether</w:t>
      </w:r>
      <w:r>
        <w:rPr>
          <w:sz w:val="22"/>
          <w:szCs w:val="22"/>
        </w:rPr>
        <w:t xml:space="preserve"> the monthly stock return follow a normal distribution, the Jarque-Bera </w:t>
      </w:r>
      <w:r w:rsidR="00207D92">
        <w:rPr>
          <w:sz w:val="22"/>
          <w:szCs w:val="22"/>
        </w:rPr>
        <w:t xml:space="preserve">(JB) test was used. </w:t>
      </w:r>
      <w:r>
        <w:rPr>
          <w:sz w:val="22"/>
          <w:szCs w:val="22"/>
        </w:rPr>
        <w:t xml:space="preserve"> </w:t>
      </w:r>
      <w:r w:rsidR="00207D92">
        <w:t>This statistical test evaluates whether the skewness and kurtosis of the sample distribution significantly deviate from those of a normal distribution. Specifically, the JB test statistic is calculated as:</w:t>
      </w:r>
      <w:r w:rsidR="00207D92">
        <w:t xml:space="preserve"> </w:t>
      </w:r>
    </w:p>
    <w:p w14:paraId="2EA35631" w14:textId="77777777" w:rsidR="00207D92" w:rsidRDefault="00207D92" w:rsidP="002C4064">
      <w:pPr>
        <w:pStyle w:val="Listenabsatz"/>
        <w:spacing w:line="240" w:lineRule="auto"/>
      </w:pPr>
    </w:p>
    <w:p w14:paraId="6B935CA2" w14:textId="77777777" w:rsidR="00B06FD5" w:rsidRDefault="00B06FD5" w:rsidP="00B06FD5">
      <w:pPr>
        <w:pStyle w:val="Listenabsatz"/>
        <w:keepNext/>
        <w:spacing w:line="240" w:lineRule="auto"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JB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groupCh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box>
        </m:oMath>
      </m:oMathPara>
    </w:p>
    <w:p w14:paraId="2EF1CE54" w14:textId="2ABCFD49" w:rsidR="00B06FD5" w:rsidRPr="00B06FD5" w:rsidRDefault="00B06FD5" w:rsidP="00B06FD5">
      <w:pPr>
        <w:pStyle w:val="Beschriftung"/>
        <w:jc w:val="center"/>
        <w:rPr>
          <w:rFonts w:eastAsiaTheme="minorEastAsia"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Jarue-Bera distribution</w:t>
      </w:r>
    </w:p>
    <w:p w14:paraId="3F4C32D5" w14:textId="29B554C4" w:rsidR="00207D92" w:rsidRDefault="00B06FD5" w:rsidP="00B06FD5">
      <w:pPr>
        <w:pStyle w:val="Listenabsatz"/>
        <w:spacing w:line="24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where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is the number of observations, 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  <w:r>
        <w:rPr>
          <w:rFonts w:eastAsiaTheme="minorEastAsia"/>
          <w:sz w:val="22"/>
          <w:szCs w:val="22"/>
        </w:rPr>
        <w:t xml:space="preserve"> is the skewness and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>
        <w:rPr>
          <w:rFonts w:eastAsiaTheme="minorEastAsia"/>
          <w:sz w:val="22"/>
          <w:szCs w:val="22"/>
        </w:rPr>
        <w:t xml:space="preserve"> the kurtosis.</w:t>
      </w:r>
      <w:r w:rsidR="00207D92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Under the null hypothesis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, the data is normal distributed, skewness is </w:t>
      </w:r>
      <w:r w:rsidRPr="00B06FD5">
        <w:rPr>
          <w:rFonts w:eastAsiaTheme="minorEastAsia"/>
          <w:i/>
          <w:iCs/>
          <w:sz w:val="22"/>
          <w:szCs w:val="22"/>
        </w:rPr>
        <w:t>0</w:t>
      </w:r>
      <w:r>
        <w:rPr>
          <w:rFonts w:eastAsiaTheme="minorEastAsia"/>
          <w:sz w:val="22"/>
          <w:szCs w:val="22"/>
        </w:rPr>
        <w:t xml:space="preserve"> and kurtosis is </w:t>
      </w:r>
      <w:r w:rsidRPr="00B06FD5">
        <w:rPr>
          <w:rFonts w:eastAsiaTheme="minorEastAsia"/>
          <w:i/>
          <w:iCs/>
          <w:sz w:val="22"/>
          <w:szCs w:val="22"/>
        </w:rPr>
        <w:t>3</w:t>
      </w:r>
      <w:r>
        <w:rPr>
          <w:rFonts w:eastAsiaTheme="minorEastAsia"/>
          <w:sz w:val="22"/>
          <w:szCs w:val="22"/>
        </w:rPr>
        <w:t xml:space="preserve">. The JB test follows 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Pr="00B06FD5">
        <w:rPr>
          <w:rFonts w:eastAsiaTheme="minorEastAsia"/>
          <w:i/>
          <w:iCs/>
          <w:sz w:val="22"/>
          <w:szCs w:val="22"/>
        </w:rPr>
        <w:t>- distribution</w:t>
      </w:r>
      <w:r>
        <w:rPr>
          <w:rFonts w:eastAsiaTheme="minorEastAsia"/>
          <w:sz w:val="22"/>
          <w:szCs w:val="22"/>
        </w:rPr>
        <w:t xml:space="preserve"> with two degrees of freedom. </w:t>
      </w:r>
    </w:p>
    <w:p w14:paraId="326ACF77" w14:textId="77777777" w:rsidR="00B06FD5" w:rsidRDefault="00B06FD5" w:rsidP="00B06FD5">
      <w:pPr>
        <w:pStyle w:val="Listenabsatz"/>
        <w:spacing w:line="240" w:lineRule="auto"/>
        <w:rPr>
          <w:rFonts w:eastAsiaTheme="minorEastAsia"/>
          <w:sz w:val="22"/>
          <w:szCs w:val="22"/>
        </w:rPr>
      </w:pPr>
    </w:p>
    <w:p w14:paraId="73FB9476" w14:textId="2B5846BA" w:rsidR="00B06FD5" w:rsidRDefault="00B06FD5" w:rsidP="00B06FD5">
      <w:pPr>
        <w:pStyle w:val="Listenabsatz"/>
        <w:spacing w:line="240" w:lineRule="auto"/>
        <w:rPr>
          <w:sz w:val="22"/>
          <w:szCs w:val="22"/>
        </w:rPr>
      </w:pPr>
      <w:r w:rsidRPr="00B06FD5">
        <w:rPr>
          <w:sz w:val="22"/>
          <w:szCs w:val="22"/>
        </w:rPr>
        <w:t>Testing for normality is crucial in the context of Mean-Variance Portfolio (MVP) optimization, as the Markowitz framework assumes normally distributed returns. This assumption allows risk and return to be fully described by the mean and variance. Violations of normality — such as skewed distributions or excess kurtosis — may lead to underestimating risk and poor asset allocation.</w:t>
      </w:r>
    </w:p>
    <w:p w14:paraId="6F471C40" w14:textId="77777777" w:rsidR="001D5A74" w:rsidRDefault="001D5A74" w:rsidP="00B06FD5">
      <w:pPr>
        <w:pStyle w:val="Listenabsatz"/>
        <w:spacing w:line="240" w:lineRule="auto"/>
        <w:rPr>
          <w:sz w:val="22"/>
          <w:szCs w:val="22"/>
        </w:rPr>
      </w:pPr>
    </w:p>
    <w:p w14:paraId="0BEB312C" w14:textId="6004139F" w:rsidR="001D5A74" w:rsidRDefault="001D5A74" w:rsidP="00B06FD5">
      <w:pPr>
        <w:pStyle w:val="Listenabsatz"/>
        <w:spacing w:line="240" w:lineRule="auto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Based on a significance level of 5% (</w:t>
      </w:r>
      <m:oMath>
        <m:r>
          <w:rPr>
            <w:rFonts w:ascii="Cambria Math" w:eastAsiaTheme="minorEastAsia" w:hAnsi="Cambria Math"/>
            <w:sz w:val="22"/>
            <w:szCs w:val="22"/>
          </w:rPr>
          <m:t>α = 0.05</m:t>
        </m:r>
      </m:oMath>
      <w:r>
        <w:rPr>
          <w:rFonts w:eastAsiaTheme="minorEastAsia"/>
          <w:sz w:val="22"/>
          <w:szCs w:val="22"/>
        </w:rPr>
        <w:t xml:space="preserve">) </w:t>
      </w:r>
      <w:r w:rsidRPr="001D5A74">
        <w:rPr>
          <w:rFonts w:eastAsiaTheme="minorEastAsia"/>
          <w:sz w:val="22"/>
          <w:szCs w:val="22"/>
        </w:rPr>
        <w:t xml:space="preserve">and the provides p-values from the Jarque-Bera test, we can </w:t>
      </w:r>
      <w:r w:rsidRPr="001D5A74">
        <w:rPr>
          <w:sz w:val="22"/>
          <w:szCs w:val="22"/>
        </w:rPr>
        <w:t>determine whether to reject or retain the null hypothesis of normality for each stock.</w:t>
      </w:r>
    </w:p>
    <w:p w14:paraId="04E14EC1" w14:textId="77777777" w:rsidR="001D5A74" w:rsidRDefault="001D5A74" w:rsidP="00B06FD5">
      <w:pPr>
        <w:pStyle w:val="Listenabsatz"/>
        <w:spacing w:line="240" w:lineRule="auto"/>
        <w:rPr>
          <w:sz w:val="22"/>
          <w:szCs w:val="22"/>
        </w:rPr>
      </w:pPr>
    </w:p>
    <w:tbl>
      <w:tblPr>
        <w:tblStyle w:val="Tabellenraster"/>
        <w:tblW w:w="8402" w:type="dxa"/>
        <w:tblInd w:w="720" w:type="dxa"/>
        <w:tblLook w:val="04A0" w:firstRow="1" w:lastRow="0" w:firstColumn="1" w:lastColumn="0" w:noHBand="0" w:noVBand="1"/>
      </w:tblPr>
      <w:tblGrid>
        <w:gridCol w:w="2733"/>
        <w:gridCol w:w="2730"/>
        <w:gridCol w:w="2939"/>
      </w:tblGrid>
      <w:tr w:rsidR="001D5A74" w14:paraId="1AC1FD01" w14:textId="77777777" w:rsidTr="004A7AB6">
        <w:trPr>
          <w:trHeight w:val="271"/>
        </w:trPr>
        <w:tc>
          <w:tcPr>
            <w:tcW w:w="2733" w:type="dxa"/>
          </w:tcPr>
          <w:p w14:paraId="54187950" w14:textId="57317015" w:rsidR="001D5A74" w:rsidRPr="001D5A74" w:rsidRDefault="001D5A74" w:rsidP="00B06FD5">
            <w:pPr>
              <w:pStyle w:val="Listenabsatz"/>
              <w:ind w:left="0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1D5A74">
              <w:rPr>
                <w:rFonts w:eastAsiaTheme="minorEastAsia"/>
                <w:b/>
                <w:bCs/>
                <w:sz w:val="22"/>
                <w:szCs w:val="22"/>
              </w:rPr>
              <w:t>Asset</w:t>
            </w:r>
          </w:p>
        </w:tc>
        <w:tc>
          <w:tcPr>
            <w:tcW w:w="2730" w:type="dxa"/>
          </w:tcPr>
          <w:p w14:paraId="49F2D917" w14:textId="20766A01" w:rsidR="001D5A74" w:rsidRPr="001D5A74" w:rsidRDefault="001D5A74" w:rsidP="00B06FD5">
            <w:pPr>
              <w:pStyle w:val="Listenabsatz"/>
              <w:ind w:left="0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1D5A74">
              <w:rPr>
                <w:rFonts w:eastAsiaTheme="minorEastAsia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2939" w:type="dxa"/>
          </w:tcPr>
          <w:p w14:paraId="047F17D5" w14:textId="0CB4BC3D" w:rsidR="001D5A74" w:rsidRPr="001D5A74" w:rsidRDefault="001D5A74" w:rsidP="001D5A74">
            <w:pPr>
              <w:pStyle w:val="Listenabsatz"/>
              <w:tabs>
                <w:tab w:val="center" w:pos="1257"/>
              </w:tabs>
              <w:ind w:left="0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Interpretation</w:t>
            </w:r>
          </w:p>
        </w:tc>
      </w:tr>
      <w:tr w:rsidR="001D5A74" w14:paraId="7185AB4E" w14:textId="77777777" w:rsidTr="004A7AB6">
        <w:trPr>
          <w:trHeight w:val="271"/>
        </w:trPr>
        <w:tc>
          <w:tcPr>
            <w:tcW w:w="2733" w:type="dxa"/>
          </w:tcPr>
          <w:p w14:paraId="2B4C8DF8" w14:textId="61ED60CC" w:rsidR="001D5A74" w:rsidRDefault="001D5A74" w:rsidP="00B06FD5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AAPL</w:t>
            </w:r>
          </w:p>
        </w:tc>
        <w:tc>
          <w:tcPr>
            <w:tcW w:w="2730" w:type="dxa"/>
          </w:tcPr>
          <w:p w14:paraId="32EF3D15" w14:textId="5F2B2245" w:rsidR="001D5A74" w:rsidRDefault="001D5A74" w:rsidP="00B06FD5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Pr="00CF65BE">
              <w:rPr>
                <w:sz w:val="22"/>
                <w:szCs w:val="22"/>
              </w:rPr>
              <w:t>45376205</w:t>
            </w:r>
          </w:p>
        </w:tc>
        <w:tc>
          <w:tcPr>
            <w:tcW w:w="2939" w:type="dxa"/>
          </w:tcPr>
          <w:p w14:paraId="1F072E3D" w14:textId="12ADA30A" w:rsidR="001D5A74" w:rsidRDefault="001D5A74" w:rsidP="00B06FD5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Normality can be assumed</w:t>
            </w:r>
          </w:p>
        </w:tc>
      </w:tr>
      <w:tr w:rsidR="001D5A74" w14:paraId="1906ABE6" w14:textId="77777777" w:rsidTr="004A7AB6">
        <w:trPr>
          <w:trHeight w:val="271"/>
        </w:trPr>
        <w:tc>
          <w:tcPr>
            <w:tcW w:w="2733" w:type="dxa"/>
          </w:tcPr>
          <w:p w14:paraId="3009C4AD" w14:textId="75920410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MSFT</w:t>
            </w:r>
          </w:p>
        </w:tc>
        <w:tc>
          <w:tcPr>
            <w:tcW w:w="2730" w:type="dxa"/>
          </w:tcPr>
          <w:p w14:paraId="01CAE590" w14:textId="698B0F11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 w:rsidRPr="00CF65BE">
              <w:rPr>
                <w:sz w:val="22"/>
                <w:szCs w:val="22"/>
              </w:rPr>
              <w:t>0.90774303</w:t>
            </w:r>
          </w:p>
        </w:tc>
        <w:tc>
          <w:tcPr>
            <w:tcW w:w="2939" w:type="dxa"/>
          </w:tcPr>
          <w:p w14:paraId="5FD56814" w14:textId="7B2A45BA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Normality can be assumed</w:t>
            </w:r>
          </w:p>
        </w:tc>
      </w:tr>
      <w:tr w:rsidR="001D5A74" w14:paraId="216D0621" w14:textId="77777777" w:rsidTr="004A7AB6">
        <w:trPr>
          <w:trHeight w:val="253"/>
        </w:trPr>
        <w:tc>
          <w:tcPr>
            <w:tcW w:w="2733" w:type="dxa"/>
          </w:tcPr>
          <w:p w14:paraId="2FFD5EDD" w14:textId="48CE4F1B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TSLA</w:t>
            </w:r>
          </w:p>
        </w:tc>
        <w:tc>
          <w:tcPr>
            <w:tcW w:w="2730" w:type="dxa"/>
          </w:tcPr>
          <w:p w14:paraId="262D02A1" w14:textId="61E3EA26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 w:rsidRPr="00CF65BE">
              <w:rPr>
                <w:sz w:val="22"/>
                <w:szCs w:val="22"/>
              </w:rPr>
              <w:t>0.44097407</w:t>
            </w:r>
          </w:p>
        </w:tc>
        <w:tc>
          <w:tcPr>
            <w:tcW w:w="2939" w:type="dxa"/>
          </w:tcPr>
          <w:p w14:paraId="27CA92C3" w14:textId="15D467D7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Normality can be assumed</w:t>
            </w:r>
          </w:p>
        </w:tc>
      </w:tr>
      <w:tr w:rsidR="001D5A74" w14:paraId="429580AF" w14:textId="77777777" w:rsidTr="004A7AB6">
        <w:trPr>
          <w:trHeight w:val="271"/>
        </w:trPr>
        <w:tc>
          <w:tcPr>
            <w:tcW w:w="2733" w:type="dxa"/>
          </w:tcPr>
          <w:p w14:paraId="6E90D7CF" w14:textId="2D1EF7D0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ORSTED.CO</w:t>
            </w:r>
          </w:p>
        </w:tc>
        <w:tc>
          <w:tcPr>
            <w:tcW w:w="2730" w:type="dxa"/>
          </w:tcPr>
          <w:p w14:paraId="45B40667" w14:textId="5751DDC8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 w:rsidRPr="00CF65BE">
              <w:rPr>
                <w:sz w:val="22"/>
                <w:szCs w:val="22"/>
              </w:rPr>
              <w:t>0.08249381</w:t>
            </w:r>
          </w:p>
        </w:tc>
        <w:tc>
          <w:tcPr>
            <w:tcW w:w="2939" w:type="dxa"/>
          </w:tcPr>
          <w:p w14:paraId="26666DF8" w14:textId="2BA6EC4B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Normality can be assumed</w:t>
            </w:r>
          </w:p>
        </w:tc>
      </w:tr>
      <w:tr w:rsidR="001D5A74" w14:paraId="69206CC8" w14:textId="77777777" w:rsidTr="004A7AB6">
        <w:trPr>
          <w:trHeight w:val="271"/>
        </w:trPr>
        <w:tc>
          <w:tcPr>
            <w:tcW w:w="2733" w:type="dxa"/>
          </w:tcPr>
          <w:p w14:paraId="7C769F40" w14:textId="1815ABCD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V</w:t>
            </w:r>
          </w:p>
        </w:tc>
        <w:tc>
          <w:tcPr>
            <w:tcW w:w="2730" w:type="dxa"/>
          </w:tcPr>
          <w:p w14:paraId="6DC846BE" w14:textId="3EED0B87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 w:rsidRPr="00CF65BE">
              <w:rPr>
                <w:sz w:val="22"/>
                <w:szCs w:val="22"/>
              </w:rPr>
              <w:t xml:space="preserve">0.487308  </w:t>
            </w:r>
          </w:p>
        </w:tc>
        <w:tc>
          <w:tcPr>
            <w:tcW w:w="2939" w:type="dxa"/>
          </w:tcPr>
          <w:p w14:paraId="374EE7D3" w14:textId="1BCC7429" w:rsidR="001D5A74" w:rsidRDefault="001D5A74" w:rsidP="001D5A74">
            <w:pPr>
              <w:pStyle w:val="Listenabsatz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Normality can be assumed</w:t>
            </w:r>
          </w:p>
        </w:tc>
      </w:tr>
    </w:tbl>
    <w:p w14:paraId="0649BD28" w14:textId="77777777" w:rsidR="001D5A74" w:rsidRPr="00B06FD5" w:rsidRDefault="001D5A74" w:rsidP="00B06FD5">
      <w:pPr>
        <w:pStyle w:val="Listenabsatz"/>
        <w:spacing w:line="240" w:lineRule="auto"/>
        <w:rPr>
          <w:rFonts w:eastAsiaTheme="minorEastAsia"/>
          <w:sz w:val="22"/>
          <w:szCs w:val="22"/>
        </w:rPr>
      </w:pPr>
    </w:p>
    <w:p w14:paraId="1084CBD4" w14:textId="6690AF3C" w:rsidR="00B06FD5" w:rsidRPr="00FC0ADF" w:rsidRDefault="001D5A74" w:rsidP="00B06FD5">
      <w:pPr>
        <w:pStyle w:val="Listenabsatz"/>
        <w:spacing w:line="24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all five assets,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>cannot be rejected at the 5% significance level</w:t>
      </w:r>
      <w:r w:rsidRPr="00FC0ADF">
        <w:rPr>
          <w:rFonts w:eastAsiaTheme="minorEastAsia"/>
          <w:sz w:val="22"/>
          <w:szCs w:val="22"/>
        </w:rPr>
        <w:t xml:space="preserve">. </w:t>
      </w:r>
      <w:r w:rsidRPr="00FC0ADF">
        <w:rPr>
          <w:sz w:val="22"/>
          <w:szCs w:val="22"/>
        </w:rPr>
        <w:t xml:space="preserve">This means there is </w:t>
      </w:r>
      <w:r w:rsidRPr="00FC0ADF">
        <w:rPr>
          <w:rStyle w:val="Fett"/>
          <w:b w:val="0"/>
          <w:bCs w:val="0"/>
          <w:sz w:val="22"/>
          <w:szCs w:val="22"/>
        </w:rPr>
        <w:t>no strong evidence against normal distribution</w:t>
      </w:r>
      <w:r w:rsidRPr="00FC0ADF">
        <w:rPr>
          <w:sz w:val="22"/>
          <w:szCs w:val="22"/>
        </w:rPr>
        <w:t xml:space="preserve">, and thus the use of </w:t>
      </w:r>
      <w:r w:rsidRPr="00FC0ADF">
        <w:rPr>
          <w:rStyle w:val="Fett"/>
          <w:b w:val="0"/>
          <w:bCs w:val="0"/>
          <w:sz w:val="22"/>
          <w:szCs w:val="22"/>
        </w:rPr>
        <w:t>Mean-Variance Optimization</w:t>
      </w:r>
      <w:r w:rsidRPr="00FC0ADF">
        <w:rPr>
          <w:rStyle w:val="Fett"/>
          <w:b w:val="0"/>
          <w:bCs w:val="0"/>
          <w:sz w:val="22"/>
          <w:szCs w:val="22"/>
        </w:rPr>
        <w:t xml:space="preserve"> </w:t>
      </w:r>
      <w:r w:rsidRPr="00FC0ADF">
        <w:rPr>
          <w:sz w:val="22"/>
          <w:szCs w:val="22"/>
        </w:rPr>
        <w:t>under the assumption of normally distributed returns is statistically justified in this context.</w:t>
      </w:r>
    </w:p>
    <w:p w14:paraId="1F765F94" w14:textId="77777777" w:rsidR="001D5A74" w:rsidRDefault="001D5A74" w:rsidP="00B06FD5">
      <w:pPr>
        <w:pStyle w:val="Listenabsatz"/>
        <w:spacing w:line="240" w:lineRule="auto"/>
        <w:rPr>
          <w:sz w:val="22"/>
          <w:szCs w:val="22"/>
        </w:rPr>
      </w:pPr>
    </w:p>
    <w:p w14:paraId="02EADE21" w14:textId="77777777" w:rsidR="00CA1118" w:rsidRDefault="00CA1118" w:rsidP="00B06FD5">
      <w:pPr>
        <w:pStyle w:val="Listenabsatz"/>
        <w:spacing w:line="240" w:lineRule="auto"/>
        <w:rPr>
          <w:sz w:val="22"/>
          <w:szCs w:val="22"/>
        </w:rPr>
      </w:pPr>
    </w:p>
    <w:p w14:paraId="30482C87" w14:textId="40D80120" w:rsidR="00CA1118" w:rsidRPr="008341DB" w:rsidRDefault="00CA1118" w:rsidP="00CA1118">
      <w:pPr>
        <w:pStyle w:val="Listenabsatz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Building the Minimum Variance Frontier</w:t>
      </w:r>
    </w:p>
    <w:p w14:paraId="5BE114DA" w14:textId="77777777" w:rsidR="00CA1118" w:rsidRPr="00AA6082" w:rsidRDefault="00CA1118" w:rsidP="00CA1118">
      <w:pPr>
        <w:pStyle w:val="Listenabsatz"/>
        <w:spacing w:line="240" w:lineRule="auto"/>
        <w:rPr>
          <w:sz w:val="22"/>
          <w:szCs w:val="22"/>
        </w:rPr>
      </w:pPr>
    </w:p>
    <w:p w14:paraId="3ABAF283" w14:textId="00EAB893" w:rsidR="005C63D6" w:rsidRDefault="00CA1118" w:rsidP="00CA1118">
      <w:pPr>
        <w:pStyle w:val="Listenabsatz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The minimum variance frontier represents the sets of all possible portfolios, that offer the lowest level of risk for a given expected return value. It is a fundamental concept in the Modern Portfolio Theory and a crucial step for finding the optimal tangency portfolio.</w:t>
      </w:r>
    </w:p>
    <w:p w14:paraId="54282675" w14:textId="1DB3A366" w:rsidR="00CA1118" w:rsidRDefault="00CA1118" w:rsidP="004253DE">
      <w:pPr>
        <w:pStyle w:val="Listenabsatz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To construct the frontier, the portfolio variance is minimized subject to different level of expected returns. </w:t>
      </w:r>
      <w:r w:rsidRPr="00CA1118">
        <w:rPr>
          <w:sz w:val="22"/>
          <w:szCs w:val="22"/>
        </w:rPr>
        <w:t xml:space="preserve">This is done by combining </w:t>
      </w:r>
      <w:r w:rsidR="004253DE">
        <w:rPr>
          <w:sz w:val="22"/>
          <w:szCs w:val="22"/>
        </w:rPr>
        <w:t xml:space="preserve">our </w:t>
      </w:r>
      <w:r w:rsidRPr="00CA1118">
        <w:rPr>
          <w:sz w:val="22"/>
          <w:szCs w:val="22"/>
        </w:rPr>
        <w:t>assets with different risk and return characteristics while considering their covariances.</w:t>
      </w:r>
    </w:p>
    <w:p w14:paraId="12A30A01" w14:textId="416FBC42" w:rsidR="004253DE" w:rsidRDefault="004253DE" w:rsidP="004253DE">
      <w:pPr>
        <w:pStyle w:val="Listenabsatz"/>
        <w:spacing w:line="240" w:lineRule="auto"/>
        <w:rPr>
          <w:sz w:val="22"/>
          <w:szCs w:val="22"/>
        </w:rPr>
      </w:pPr>
    </w:p>
    <w:p w14:paraId="1015F61A" w14:textId="03D4B7FD" w:rsidR="004253DE" w:rsidRDefault="004253DE" w:rsidP="004253DE">
      <w:pPr>
        <w:pStyle w:val="Listenabsatz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The optimization problem is defined as:</w:t>
      </w:r>
    </w:p>
    <w:p w14:paraId="63627FB1" w14:textId="77777777" w:rsidR="004253DE" w:rsidRDefault="004253DE" w:rsidP="004253DE">
      <w:pPr>
        <w:pStyle w:val="Listenabsatz"/>
        <w:spacing w:line="240" w:lineRule="auto"/>
        <w:rPr>
          <w:sz w:val="22"/>
          <w:szCs w:val="22"/>
        </w:rPr>
      </w:pPr>
    </w:p>
    <w:p w14:paraId="6F187AA2" w14:textId="53FB5A53" w:rsidR="004253DE" w:rsidRPr="004253DE" w:rsidRDefault="004253DE" w:rsidP="004253DE">
      <w:pPr>
        <w:pStyle w:val="Listenabsatz"/>
        <w:spacing w:line="240" w:lineRule="auto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∑w</m:t>
              </m:r>
            </m:e>
          </m:func>
        </m:oMath>
      </m:oMathPara>
    </w:p>
    <w:p w14:paraId="54D7E9CC" w14:textId="563E101A" w:rsidR="004253DE" w:rsidRPr="004253DE" w:rsidRDefault="004253DE" w:rsidP="004253DE">
      <w:pPr>
        <w:pStyle w:val="Listenabsatz"/>
        <w:spacing w:line="24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under the following conditions:</w:t>
      </w:r>
    </w:p>
    <w:p w14:paraId="7BC9F8F4" w14:textId="3C787C76" w:rsidR="004253DE" w:rsidRPr="004253DE" w:rsidRDefault="004253DE" w:rsidP="004253DE">
      <w:pPr>
        <w:pStyle w:val="Listenabsatz"/>
        <w:spacing w:line="24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μ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379FE578" w14:textId="0C32ECF6" w:rsidR="00FC0ADF" w:rsidRPr="004253DE" w:rsidRDefault="004253DE" w:rsidP="004253DE">
      <w:pPr>
        <w:pStyle w:val="Listenabsatz"/>
        <w:spacing w:line="240" w:lineRule="auto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1</m:t>
          </m:r>
        </m:oMath>
      </m:oMathPara>
    </w:p>
    <w:p w14:paraId="1A6DB2DD" w14:textId="5E0312EE" w:rsidR="00FC0ADF" w:rsidRDefault="004253DE" w:rsidP="00FC0ADF">
      <w:pPr>
        <w:pStyle w:val="Listenabsatz"/>
        <w:spacing w:line="240" w:lineRule="auto"/>
        <w:rPr>
          <w:sz w:val="28"/>
          <w:szCs w:val="28"/>
        </w:rPr>
      </w:pPr>
      <w:r>
        <w:rPr>
          <w:rFonts w:eastAsiaTheme="minorEastAsia"/>
          <w:sz w:val="22"/>
          <w:szCs w:val="22"/>
        </w:rPr>
        <w:t xml:space="preserve">ensuring that the expected return is accomplished and </w:t>
      </w:r>
      <w:r w:rsidRPr="004253DE">
        <w:rPr>
          <w:rFonts w:eastAsiaTheme="minorEastAsia"/>
          <w:i/>
          <w:iCs/>
          <w:sz w:val="22"/>
          <w:szCs w:val="22"/>
        </w:rPr>
        <w:t>100%</w:t>
      </w:r>
      <w:r>
        <w:rPr>
          <w:rFonts w:eastAsiaTheme="minorEastAsia"/>
          <w:sz w:val="22"/>
          <w:szCs w:val="22"/>
        </w:rPr>
        <w:t xml:space="preserve"> of the investment capital is invested.</w:t>
      </w:r>
    </w:p>
    <w:p w14:paraId="0293E7EB" w14:textId="24A5EC47" w:rsidR="00FC0ADF" w:rsidRPr="00FC0ADF" w:rsidRDefault="00FC0ADF" w:rsidP="00FC0ADF">
      <w:pPr>
        <w:pStyle w:val="Listenabsatz"/>
        <w:spacing w:line="240" w:lineRule="auto"/>
        <w:rPr>
          <w:sz w:val="22"/>
          <w:szCs w:val="22"/>
        </w:rPr>
      </w:pPr>
    </w:p>
    <w:p w14:paraId="124534FC" w14:textId="5EB14786" w:rsidR="00FC0ADF" w:rsidRPr="00FC0ADF" w:rsidRDefault="00FC0ADF" w:rsidP="00FC0ADF">
      <w:pPr>
        <w:pStyle w:val="Listenabsatz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This results in the </w:t>
      </w:r>
      <w:proofErr w:type="spellStart"/>
      <w:r>
        <w:rPr>
          <w:sz w:val="22"/>
          <w:szCs w:val="22"/>
        </w:rPr>
        <w:t>follwoing</w:t>
      </w:r>
      <w:proofErr w:type="spellEnd"/>
      <w:r>
        <w:rPr>
          <w:sz w:val="22"/>
          <w:szCs w:val="22"/>
        </w:rPr>
        <w:t xml:space="preserve"> Constrained Mai</w:t>
      </w:r>
    </w:p>
    <w:sectPr w:rsidR="00FC0ADF" w:rsidRPr="00FC0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31E"/>
    <w:multiLevelType w:val="hybridMultilevel"/>
    <w:tmpl w:val="82E89240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FD4884"/>
    <w:multiLevelType w:val="hybridMultilevel"/>
    <w:tmpl w:val="61C67540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B33B0"/>
    <w:multiLevelType w:val="hybridMultilevel"/>
    <w:tmpl w:val="47029D38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F419D"/>
    <w:multiLevelType w:val="hybridMultilevel"/>
    <w:tmpl w:val="E2E05462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A7F4C"/>
    <w:multiLevelType w:val="hybridMultilevel"/>
    <w:tmpl w:val="BDF0118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F5F75"/>
    <w:multiLevelType w:val="hybridMultilevel"/>
    <w:tmpl w:val="3FAE5AC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F752FA"/>
    <w:multiLevelType w:val="hybridMultilevel"/>
    <w:tmpl w:val="F6D614E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446B8"/>
    <w:multiLevelType w:val="hybridMultilevel"/>
    <w:tmpl w:val="8296460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CB5894"/>
    <w:multiLevelType w:val="hybridMultilevel"/>
    <w:tmpl w:val="23944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829632">
    <w:abstractNumId w:val="8"/>
  </w:num>
  <w:num w:numId="2" w16cid:durableId="129247350">
    <w:abstractNumId w:val="6"/>
  </w:num>
  <w:num w:numId="3" w16cid:durableId="705566915">
    <w:abstractNumId w:val="3"/>
  </w:num>
  <w:num w:numId="4" w16cid:durableId="1355770310">
    <w:abstractNumId w:val="2"/>
  </w:num>
  <w:num w:numId="5" w16cid:durableId="426967657">
    <w:abstractNumId w:val="5"/>
  </w:num>
  <w:num w:numId="6" w16cid:durableId="1871140976">
    <w:abstractNumId w:val="0"/>
  </w:num>
  <w:num w:numId="7" w16cid:durableId="1463187894">
    <w:abstractNumId w:val="1"/>
  </w:num>
  <w:num w:numId="8" w16cid:durableId="4288318">
    <w:abstractNumId w:val="7"/>
  </w:num>
  <w:num w:numId="9" w16cid:durableId="348675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F6"/>
    <w:rsid w:val="00065D98"/>
    <w:rsid w:val="000F5327"/>
    <w:rsid w:val="001D5A74"/>
    <w:rsid w:val="001E268D"/>
    <w:rsid w:val="00207D92"/>
    <w:rsid w:val="00222AA4"/>
    <w:rsid w:val="00247134"/>
    <w:rsid w:val="002C4064"/>
    <w:rsid w:val="004253DE"/>
    <w:rsid w:val="004749A0"/>
    <w:rsid w:val="004A7AB6"/>
    <w:rsid w:val="005C63D6"/>
    <w:rsid w:val="007D0E5E"/>
    <w:rsid w:val="008341DB"/>
    <w:rsid w:val="0088086F"/>
    <w:rsid w:val="00AA6082"/>
    <w:rsid w:val="00B06FD5"/>
    <w:rsid w:val="00C721F6"/>
    <w:rsid w:val="00CA1118"/>
    <w:rsid w:val="00F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51F2"/>
  <w15:chartTrackingRefBased/>
  <w15:docId w15:val="{054BCC7E-EA7B-2641-8F85-934A90C5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2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2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2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2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2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2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2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2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2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2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2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2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21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21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21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21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21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21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2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2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2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2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21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21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21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2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21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21F6"/>
    <w:rPr>
      <w:b/>
      <w:bCs/>
      <w:smallCaps/>
      <w:color w:val="0F4761" w:themeColor="accent1" w:themeShade="BF"/>
      <w:spacing w:val="5"/>
    </w:rPr>
  </w:style>
  <w:style w:type="character" w:styleId="Hervorhebung">
    <w:name w:val="Emphasis"/>
    <w:basedOn w:val="Absatz-Standardschriftart"/>
    <w:uiPriority w:val="20"/>
    <w:qFormat/>
    <w:rsid w:val="008341DB"/>
    <w:rPr>
      <w:i/>
      <w:iCs/>
    </w:rPr>
  </w:style>
  <w:style w:type="character" w:customStyle="1" w:styleId="katex-mathml">
    <w:name w:val="katex-mathml"/>
    <w:basedOn w:val="Absatz-Standardschriftart"/>
    <w:rsid w:val="008341DB"/>
  </w:style>
  <w:style w:type="character" w:customStyle="1" w:styleId="mord">
    <w:name w:val="mord"/>
    <w:basedOn w:val="Absatz-Standardschriftart"/>
    <w:rsid w:val="008341DB"/>
  </w:style>
  <w:style w:type="character" w:customStyle="1" w:styleId="vlist-s">
    <w:name w:val="vlist-s"/>
    <w:basedOn w:val="Absatz-Standardschriftart"/>
    <w:rsid w:val="008341DB"/>
  </w:style>
  <w:style w:type="character" w:customStyle="1" w:styleId="mrel">
    <w:name w:val="mrel"/>
    <w:basedOn w:val="Absatz-Standardschriftart"/>
    <w:rsid w:val="008341DB"/>
  </w:style>
  <w:style w:type="character" w:customStyle="1" w:styleId="mop">
    <w:name w:val="mop"/>
    <w:basedOn w:val="Absatz-Standardschriftart"/>
    <w:rsid w:val="008341DB"/>
  </w:style>
  <w:style w:type="character" w:customStyle="1" w:styleId="delimsizing">
    <w:name w:val="delimsizing"/>
    <w:basedOn w:val="Absatz-Standardschriftart"/>
    <w:rsid w:val="008341DB"/>
  </w:style>
  <w:style w:type="character" w:customStyle="1" w:styleId="mbin">
    <w:name w:val="mbin"/>
    <w:basedOn w:val="Absatz-Standardschriftart"/>
    <w:rsid w:val="008341DB"/>
  </w:style>
  <w:style w:type="character" w:styleId="Platzhaltertext">
    <w:name w:val="Placeholder Text"/>
    <w:basedOn w:val="Absatz-Standardschriftart"/>
    <w:uiPriority w:val="99"/>
    <w:semiHidden/>
    <w:rsid w:val="008341DB"/>
    <w:rPr>
      <w:color w:val="666666"/>
    </w:rPr>
  </w:style>
  <w:style w:type="paragraph" w:styleId="Beschriftung">
    <w:name w:val="caption"/>
    <w:basedOn w:val="Standard"/>
    <w:next w:val="Standard"/>
    <w:uiPriority w:val="35"/>
    <w:unhideWhenUsed/>
    <w:qFormat/>
    <w:rsid w:val="002C40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1D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D5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30CFAD-CE86-1F40-AC10-7AE373DD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3443</Characters>
  <Application>Microsoft Office Word</Application>
  <DocSecurity>0</DocSecurity>
  <Lines>344</Lines>
  <Paragraphs>220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ujxyu</dc:creator>
  <cp:keywords/>
  <dc:description/>
  <cp:lastModifiedBy>ujxyu</cp:lastModifiedBy>
  <cp:revision>5</cp:revision>
  <dcterms:created xsi:type="dcterms:W3CDTF">2025-05-21T09:30:00Z</dcterms:created>
  <dcterms:modified xsi:type="dcterms:W3CDTF">2025-05-22T09:03:00Z</dcterms:modified>
</cp:coreProperties>
</file>