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I.C.E. Application</w:t>
        <w:br/>
        <w:t>High-Level Architecture</w:t>
      </w:r>
    </w:p>
    <w:p>
      <w:pPr>
        <w:jc w:val="center"/>
      </w:pPr>
      <w:r>
        <w:rPr>
          <w:b/>
          <w:sz w:val="24"/>
        </w:rPr>
        <w:t>Function, Components, Purpose, and System Architecture</w:t>
      </w:r>
    </w:p>
    <w:tbl>
      <w:tblPr>
        <w:tblStyle w:val="TableGrid"/>
        <w:tblW w:type="auto" w:w="0"/>
        <w:jc w:val="center"/>
        <w:tblLook w:firstColumn="1" w:firstRow="1" w:lastColumn="0" w:lastRow="0" w:noHBand="0" w:noVBand="1" w:val="04A0"/>
      </w:tblPr>
      <w:tblGrid>
        <w:gridCol w:w="4997"/>
        <w:gridCol w:w="4997"/>
      </w:tblGrid>
      <w:tr>
        <w:tc>
          <w:tcPr>
            <w:tcW w:type="dxa" w:w="4997"/>
          </w:tcPr>
          <w:p>
            <w:r>
              <w:rPr>
                <w:b/>
              </w:rPr>
              <w:t>Document Type</w:t>
            </w:r>
          </w:p>
        </w:tc>
        <w:tc>
          <w:tcPr>
            <w:tcW w:type="dxa" w:w="4997"/>
          </w:tcPr>
          <w:p>
            <w:r>
              <w:t>Repository Architecture Record</w:t>
            </w:r>
          </w:p>
        </w:tc>
      </w:tr>
      <w:tr>
        <w:tc>
          <w:tcPr>
            <w:tcW w:type="dxa" w:w="4997"/>
          </w:tcPr>
          <w:p>
            <w:r>
              <w:rPr>
                <w:b/>
              </w:rPr>
              <w:t>Revision</w:t>
            </w:r>
          </w:p>
        </w:tc>
        <w:tc>
          <w:tcPr>
            <w:tcW w:type="dxa" w:w="4997"/>
          </w:tcPr>
          <w:p>
            <w:r>
              <w:t>R1.0</w:t>
            </w:r>
          </w:p>
        </w:tc>
      </w:tr>
      <w:tr>
        <w:tc>
          <w:tcPr>
            <w:tcW w:type="dxa" w:w="4997"/>
          </w:tcPr>
          <w:p>
            <w:r>
              <w:rPr>
                <w:b/>
              </w:rPr>
              <w:t>Project</w:t>
            </w:r>
          </w:p>
        </w:tc>
        <w:tc>
          <w:tcPr>
            <w:tcW w:type="dxa" w:w="4997"/>
          </w:tcPr>
          <w:p>
            <w:r>
              <w:t>I.C.E. — Integrated Comprehension Engine</w:t>
            </w:r>
          </w:p>
        </w:tc>
      </w:tr>
      <w:tr>
        <w:tc>
          <w:tcPr>
            <w:tcW w:type="dxa" w:w="4997"/>
          </w:tcPr>
          <w:p>
            <w:r>
              <w:rPr>
                <w:b/>
              </w:rPr>
              <w:t>Architecture Baseline</w:t>
            </w:r>
          </w:p>
        </w:tc>
        <w:tc>
          <w:tcPr>
            <w:tcW w:type="dxa" w:w="4997"/>
          </w:tcPr>
          <w:p>
            <w:r>
              <w:t>Post-AA Semantic Authority Governance; AA_0036_R2 committed</w:t>
            </w:r>
          </w:p>
        </w:tc>
      </w:tr>
    </w:tbl>
    <w:p/>
    <w:p>
      <w:pPr>
        <w:pStyle w:val="Heading1"/>
      </w:pPr>
      <w:r>
        <w:t>1. Purpose</w:t>
      </w:r>
    </w:p>
    <w:p>
      <w:r>
        <w:t>I.C.E. is a browser-integrated comprehension and knowledge system designed to move from raw source material to governed, structured understanding. The browser extension acquires and interacts with source material; the analysis and Study environment organizes that material into evidence, context, semantic knowledge, relationships, verification, exploration, and presentation.</w:t>
      </w:r>
    </w:p>
    <w:p>
      <w:pPr>
        <w:jc w:val="center"/>
      </w:pPr>
      <w:r>
        <w:rPr>
          <w:b/>
          <w:sz w:val="19"/>
        </w:rPr>
        <w:t>SOURCE → EVIDENCE → CONTEXT → ANALYSIS → OBSERVATIONS → ENTITIES / EVENTS → RELATIONSHIPS → SEMANTIC COMPREHENSION → PRINCIPLES / CONCEPTS → KNOWLEDGE → VERIFICATION → EXPLORATION → PRESENTATION</w:t>
      </w:r>
    </w:p>
    <w:p>
      <w:r>
        <w:t>A defining architectural principle is that displaying information, discovering information, and establishing governed knowledge are separate responsibilities. Authority and governance cross the complete processing path.</w:t>
      </w:r>
    </w:p>
    <w:p>
      <w:pPr>
        <w:pStyle w:val="Heading1"/>
      </w:pPr>
      <w:r>
        <w:t>2. Major Components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rPr>
                <w:b/>
              </w:rPr>
              <w:t>Component</w:t>
            </w:r>
          </w:p>
        </w:tc>
        <w:tc>
          <w:tcPr>
            <w:tcW w:type="dxa" w:w="3331"/>
          </w:tcPr>
          <w:p>
            <w:r>
              <w:rPr>
                <w:b/>
              </w:rPr>
              <w:t>High-Level Function</w:t>
            </w:r>
          </w:p>
        </w:tc>
        <w:tc>
          <w:tcPr>
            <w:tcW w:type="dxa" w:w="3331"/>
          </w:tcPr>
          <w:p>
            <w:r>
              <w:rPr>
                <w:b/>
              </w:rPr>
              <w:t>Primary Purpose</w:t>
            </w:r>
          </w:p>
        </w:tc>
      </w:tr>
      <w:tr>
        <w:tc>
          <w:tcPr>
            <w:tcW w:type="dxa" w:w="3331"/>
            <w:vAlign w:val="top"/>
          </w:tcPr>
          <w:p>
            <w:r>
              <w:t>Chrome Extension Shell</w:t>
            </w:r>
          </w:p>
        </w:tc>
        <w:tc>
          <w:tcPr>
            <w:tcW w:type="dxa" w:w="3331"/>
            <w:vAlign w:val="top"/>
          </w:tcPr>
          <w:p>
            <w:r>
              <w:t>Browser integration and lifecycle</w:t>
            </w:r>
          </w:p>
        </w:tc>
        <w:tc>
          <w:tcPr>
            <w:tcW w:type="dxa" w:w="3331"/>
            <w:vAlign w:val="top"/>
          </w:tcPr>
          <w:p>
            <w:r>
              <w:t>Provides the Manifest V3 environment, permissions, scripts, popup, background service worker, and browser integration surfaces.</w:t>
            </w:r>
          </w:p>
        </w:tc>
      </w:tr>
      <w:tr>
        <w:tc>
          <w:tcPr>
            <w:tcW w:type="dxa" w:w="3331"/>
            <w:vAlign w:val="top"/>
          </w:tcPr>
          <w:p>
            <w:r>
              <w:t>Content Layer — content.js</w:t>
            </w:r>
          </w:p>
        </w:tc>
        <w:tc>
          <w:tcPr>
            <w:tcW w:type="dxa" w:w="3331"/>
            <w:vAlign w:val="top"/>
          </w:tcPr>
          <w:p>
            <w:r>
              <w:t>Source acquisition</w:t>
            </w:r>
          </w:p>
        </w:tc>
        <w:tc>
          <w:tcPr>
            <w:tcW w:type="dxa" w:w="3331"/>
            <w:vAlign w:val="top"/>
          </w:tcPr>
          <w:p>
            <w:r>
              <w:t>Observes source facts and captures readable material, selections, source metadata, and evidence for downstream processing.</w:t>
            </w:r>
          </w:p>
        </w:tc>
      </w:tr>
      <w:tr>
        <w:tc>
          <w:tcPr>
            <w:tcW w:type="dxa" w:w="3331"/>
            <w:vAlign w:val="top"/>
          </w:tcPr>
          <w:p>
            <w:r>
              <w:t>Background Authority — background.js</w:t>
            </w:r>
          </w:p>
        </w:tc>
        <w:tc>
          <w:tcPr>
            <w:tcW w:type="dxa" w:w="3331"/>
            <w:vAlign w:val="top"/>
          </w:tcPr>
          <w:p>
            <w:r>
              <w:t>Analysis orchestration</w:t>
            </w:r>
          </w:p>
        </w:tc>
        <w:tc>
          <w:tcPr>
            <w:tcW w:type="dxa" w:w="3331"/>
            <w:vAlign w:val="top"/>
          </w:tcPr>
          <w:p>
            <w:r>
              <w:t>Owns primary analysis authority, generation lifecycle, source validation, canonical analysis target and membership, and governed semantic production.</w:t>
            </w:r>
          </w:p>
        </w:tc>
      </w:tr>
      <w:tr>
        <w:tc>
          <w:tcPr>
            <w:tcW w:type="dxa" w:w="3331"/>
            <w:vAlign w:val="top"/>
          </w:tcPr>
          <w:p>
            <w:r>
              <w:t>Core Engine — engine.js</w:t>
            </w:r>
          </w:p>
        </w:tc>
        <w:tc>
          <w:tcPr>
            <w:tcW w:type="dxa" w:w="3331"/>
            <w:vAlign w:val="top"/>
          </w:tcPr>
          <w:p>
            <w:r>
              <w:t>Processing and transformation</w:t>
            </w:r>
          </w:p>
        </w:tc>
        <w:tc>
          <w:tcPr>
            <w:tcW w:type="dxa" w:w="3331"/>
            <w:vAlign w:val="top"/>
          </w:tcPr>
          <w:p>
            <w:r>
              <w:t>Provides core processing, matching, formatting, semantic/provenance transformations, and reusable engine operations.</w:t>
            </w:r>
          </w:p>
        </w:tc>
      </w:tr>
      <w:tr>
        <w:tc>
          <w:tcPr>
            <w:tcW w:type="dxa" w:w="3331"/>
            <w:vAlign w:val="top"/>
          </w:tcPr>
          <w:p>
            <w:r>
              <w:t>Popup — popup.js</w:t>
            </w:r>
          </w:p>
        </w:tc>
        <w:tc>
          <w:tcPr>
            <w:tcW w:type="dxa" w:w="3331"/>
            <w:vAlign w:val="top"/>
          </w:tcPr>
          <w:p>
            <w:r>
              <w:t>Browser workflow control</w:t>
            </w:r>
          </w:p>
        </w:tc>
        <w:tc>
          <w:tcPr>
            <w:tcW w:type="dxa" w:w="3331"/>
            <w:vAlign w:val="top"/>
          </w:tcPr>
          <w:p>
            <w:r>
              <w:t>Provides capture and analysis actions, source interaction, Study launch, bounded local compatibility workflows, and lifecycle controls.</w:t>
            </w:r>
          </w:p>
        </w:tc>
      </w:tr>
      <w:tr>
        <w:tc>
          <w:tcPr>
            <w:tcW w:type="dxa" w:w="3331"/>
            <w:vAlign w:val="top"/>
          </w:tcPr>
          <w:p>
            <w:r>
              <w:t>Study Application — study.js</w:t>
            </w:r>
          </w:p>
        </w:tc>
        <w:tc>
          <w:tcPr>
            <w:tcW w:type="dxa" w:w="3331"/>
            <w:vAlign w:val="top"/>
          </w:tcPr>
          <w:p>
            <w:r>
              <w:t>Knowledge exploration</w:t>
            </w:r>
          </w:p>
        </w:tc>
        <w:tc>
          <w:tcPr>
            <w:tcW w:type="dxa" w:w="3331"/>
            <w:vAlign w:val="top"/>
          </w:tcPr>
          <w:p>
            <w:r>
              <w:t>Consumes governed results and provides scope-aware exploration, relationships, graphs, diagnostics, provenance, questions, and structured Study views.</w:t>
            </w:r>
          </w:p>
        </w:tc>
      </w:tr>
      <w:tr>
        <w:tc>
          <w:tcPr>
            <w:tcW w:type="dxa" w:w="3331"/>
            <w:vAlign w:val="top"/>
          </w:tcPr>
          <w:p>
            <w:r>
              <w:t>Page Overlay — pageOverlay.js</w:t>
            </w:r>
          </w:p>
        </w:tc>
        <w:tc>
          <w:tcPr>
            <w:tcW w:type="dxa" w:w="3331"/>
            <w:vAlign w:val="top"/>
          </w:tcPr>
          <w:p>
            <w:r>
              <w:t>In-source presentation</w:t>
            </w:r>
          </w:p>
        </w:tc>
        <w:tc>
          <w:tcPr>
            <w:tcW w:type="dxa" w:w="3331"/>
            <w:vAlign w:val="top"/>
          </w:tcPr>
          <w:p>
            <w:r>
              <w:t>Projects appropriate I.C.E. information onto the source page without becoming semantic or scope authority.</w:t>
            </w:r>
          </w:p>
        </w:tc>
      </w:tr>
      <w:tr>
        <w:tc>
          <w:tcPr>
            <w:tcW w:type="dxa" w:w="3331"/>
            <w:vAlign w:val="top"/>
          </w:tcPr>
          <w:p>
            <w:r>
              <w:t>Shared Helpers</w:t>
            </w:r>
          </w:p>
        </w:tc>
        <w:tc>
          <w:tcPr>
            <w:tcW w:type="dxa" w:w="3331"/>
            <w:vAlign w:val="top"/>
          </w:tcPr>
          <w:p>
            <w:r>
              <w:t>Bounded transformations</w:t>
            </w:r>
          </w:p>
        </w:tc>
        <w:tc>
          <w:tcPr>
            <w:tcW w:type="dxa" w:w="3331"/>
            <w:vAlign w:val="top"/>
          </w:tcPr>
          <w:p>
            <w:r>
              <w:t>Normalize, compare, classify, format, or project information within specifically governed responsibilities.</w:t>
            </w:r>
          </w:p>
        </w:tc>
      </w:tr>
      <w:tr>
        <w:tc>
          <w:tcPr>
            <w:tcW w:type="dxa" w:w="3331"/>
            <w:vAlign w:val="top"/>
          </w:tcPr>
          <w:p>
            <w:r>
              <w:t>Persistent Storage</w:t>
            </w:r>
          </w:p>
        </w:tc>
        <w:tc>
          <w:tcPr>
            <w:tcW w:type="dxa" w:w="3331"/>
            <w:vAlign w:val="top"/>
          </w:tcPr>
          <w:p>
            <w:r>
              <w:t>Durable system state</w:t>
            </w:r>
          </w:p>
        </w:tc>
        <w:tc>
          <w:tcPr>
            <w:tcW w:type="dxa" w:w="3331"/>
            <w:vAlign w:val="top"/>
          </w:tcPr>
          <w:p>
            <w:r>
              <w:t>Stores evidence, source/scope state, generation, governed semantic records, graph/workflow state, and presentation state.</w:t>
            </w:r>
          </w:p>
        </w:tc>
      </w:tr>
      <w:tr>
        <w:tc>
          <w:tcPr>
            <w:tcW w:type="dxa" w:w="3331"/>
            <w:vAlign w:val="top"/>
          </w:tcPr>
          <w:p>
            <w:r>
              <w:t>QA / Contract Layer</w:t>
            </w:r>
          </w:p>
        </w:tc>
        <w:tc>
          <w:tcPr>
            <w:tcW w:type="dxa" w:w="3331"/>
            <w:vAlign w:val="top"/>
          </w:tcPr>
          <w:p>
            <w:r>
              <w:t>Architectural enforcement</w:t>
            </w:r>
          </w:p>
        </w:tc>
        <w:tc>
          <w:tcPr>
            <w:tcW w:type="dxa" w:w="3331"/>
            <w:vAlign w:val="top"/>
          </w:tcPr>
          <w:p>
            <w:r>
              <w:t>Tests functional behavior and authority contracts including generation, identity, scope, semantic persistence, reset, graph, and presentation boundaries.</w:t>
            </w:r>
          </w:p>
        </w:tc>
      </w:tr>
    </w:tbl>
    <w:p>
      <w:pPr>
        <w:pStyle w:val="Heading1"/>
      </w:pPr>
      <w:r>
        <w:t>3. Functional Architecture</w:t>
      </w:r>
    </w:p>
    <w:p>
      <w:pPr>
        <w:pStyle w:val="Heading2"/>
      </w:pPr>
      <w:r>
        <w:t>Source Acquisition &amp; Evidence</w:t>
      </w:r>
    </w:p>
    <w:p>
      <w:r>
        <w:t>Acquires readable source material, selections, source metadata, capture identifiers, cross-reference evidence, and provenance. The acquisition layer produces evidence; it does not independently decide what becomes canonical knowledge.</w:t>
      </w:r>
    </w:p>
    <w:p>
      <w:pPr>
        <w:pStyle w:val="Heading2"/>
      </w:pPr>
      <w:r>
        <w:t>Source Identity</w:t>
      </w:r>
    </w:p>
    <w:p>
      <w:r>
        <w:t>Establishes what source or page evidence belongs to using governed identity characteristics such as URL, adapter, book, chapter, source title, capture ID, canonical reference, and page key.</w:t>
      </w:r>
    </w:p>
    <w:p>
      <w:pPr>
        <w:pStyle w:val="Heading2"/>
      </w:pPr>
      <w:r>
        <w:t>Context &amp; Scope</w:t>
      </w:r>
    </w:p>
    <w:p>
      <w:r>
        <w:t>Determines which governed material belongs to the current analytical context through the canonical target, canonical analyzed-page membership, selected range, multi-page scope, active-source projections, and current Study scope. Navigation, provenance, or visibility alone does not admit a page into canonical analytical scope.</w:t>
      </w:r>
    </w:p>
    <w:p>
      <w:pPr>
        <w:pStyle w:val="Heading2"/>
      </w:pPr>
      <w:r>
        <w:t>Context Lock</w:t>
      </w:r>
    </w:p>
    <w:p>
      <w:r>
        <w:t>Uses the established Model A contract: Context Lock is a derived assertion over governed current scope. It is not an independent source-admission mechanism or separate canonical persistence authority.</w:t>
      </w:r>
    </w:p>
    <w:p>
      <w:pPr>
        <w:pStyle w:val="Heading2"/>
      </w:pPr>
      <w:r>
        <w:t>Analysis Lifecycle &amp; Generation</w:t>
      </w:r>
    </w:p>
    <w:p>
      <w:r>
        <w:t>Operates governed analysis within a generation-controlled lifecycle so current results can be distinguished from stale persisted results. Background is the primary generation authority.</w:t>
      </w:r>
    </w:p>
    <w:p>
      <w:pPr>
        <w:pStyle w:val="Heading2"/>
      </w:pPr>
      <w:r>
        <w:t>Observation, Entity &amp; Event Model</w:t>
      </w:r>
    </w:p>
    <w:p>
      <w:r>
        <w:t>Transforms evidence into structured observations and identifies actors, entities, events, actions, statements, temporal information, and relationships while retaining traceability to supporting evidence.</w:t>
      </w:r>
    </w:p>
    <w:p>
      <w:pPr>
        <w:pStyle w:val="Heading2"/>
      </w:pPr>
      <w:r>
        <w:t>Semantic Comprehension</w:t>
      </w:r>
    </w:p>
    <w:p>
      <w:r>
        <w:t>Moves beyond extraction into structured meaning, including semantic relationships, principles, concepts, themes, categories, and higher-order knowledge structures.</w:t>
      </w:r>
    </w:p>
    <w:p>
      <w:pPr>
        <w:pStyle w:val="Heading2"/>
      </w:pPr>
      <w:r>
        <w:t>Provenance</w:t>
      </w:r>
    </w:p>
    <w:p>
      <w:r>
        <w:t>Preserves lineage from source and capture through derived records. Provenance establishes where knowledge came from; it does not independently authorize canonical scope or semantic truth.</w:t>
      </w:r>
    </w:p>
    <w:p>
      <w:pPr>
        <w:pStyle w:val="Heading2"/>
      </w:pPr>
      <w:r>
        <w:t>Confidence / Reliability / Trust</w:t>
      </w:r>
    </w:p>
    <w:p>
      <w:r>
        <w:t>Provides an evaluation layer for the quality and dependability of semantic understanding without allowing presentation or evaluation to rewrite upstream semantic authority.</w:t>
      </w:r>
    </w:p>
    <w:p>
      <w:pPr>
        <w:pStyle w:val="Heading2"/>
      </w:pPr>
      <w:r>
        <w:t>Knowledge &amp; Graph</w:t>
      </w:r>
    </w:p>
    <w:p>
      <w:r>
        <w:t>Projects entities, events, relationships, principles, concepts, and connections into explorable knowledge structures. Graph visibility is not canonical scope membership.</w:t>
      </w:r>
    </w:p>
    <w:p>
      <w:pPr>
        <w:pStyle w:val="Heading2"/>
      </w:pPr>
      <w:r>
        <w:t>Queue / Workflow</w:t>
      </w:r>
    </w:p>
    <w:p>
      <w:r>
        <w:t>Organizes work, review, questions, candidates, and analytical tasks. Workflow authority remains distinct from source, scope, and semantic authority.</w:t>
      </w:r>
    </w:p>
    <w:p>
      <w:pPr>
        <w:pStyle w:val="Heading2"/>
      </w:pPr>
      <w:r>
        <w:t>Presentation &amp; Explainability</w:t>
      </w:r>
    </w:p>
    <w:p>
      <w:r>
        <w:t>Study, popup, overlay, diagnostics, and presentation helpers expose governed knowledge and explain system behavior without independently establishing persistent canonical truth.</w:t>
      </w:r>
    </w:p>
    <w:p>
      <w:pPr>
        <w:pStyle w:val="Heading1"/>
      </w:pPr>
      <w:r>
        <w:t>4. Comprehension Pipeline</w:t>
      </w:r>
    </w:p>
    <w:p>
      <w:pPr>
        <w:jc w:val="center"/>
      </w:pPr>
      <w:r>
        <w:rPr>
          <w:b/>
        </w:rPr>
        <w:t>Source</w:t>
      </w:r>
      <w:r>
        <w:br/>
        <w:t>↓</w:t>
      </w:r>
    </w:p>
    <w:p>
      <w:pPr>
        <w:jc w:val="center"/>
      </w:pPr>
      <w:r>
        <w:rPr>
          <w:b/>
        </w:rPr>
        <w:t>Capture</w:t>
      </w:r>
      <w:r>
        <w:br/>
        <w:t>↓</w:t>
      </w:r>
    </w:p>
    <w:p>
      <w:pPr>
        <w:jc w:val="center"/>
      </w:pPr>
      <w:r>
        <w:rPr>
          <w:b/>
        </w:rPr>
        <w:t>Primary Evidence</w:t>
      </w:r>
      <w:r>
        <w:br/>
        <w:t>↓</w:t>
      </w:r>
    </w:p>
    <w:p>
      <w:pPr>
        <w:jc w:val="center"/>
      </w:pPr>
      <w:r>
        <w:rPr>
          <w:b/>
        </w:rPr>
        <w:t>Source Identity + Provenance</w:t>
      </w:r>
      <w:r>
        <w:br/>
        <w:t>↓</w:t>
      </w:r>
    </w:p>
    <w:p>
      <w:pPr>
        <w:jc w:val="center"/>
      </w:pPr>
      <w:r>
        <w:rPr>
          <w:b/>
        </w:rPr>
        <w:t>Context / Scope</w:t>
      </w:r>
      <w:r>
        <w:br/>
        <w:t>↓</w:t>
      </w:r>
    </w:p>
    <w:p>
      <w:pPr>
        <w:jc w:val="center"/>
      </w:pPr>
      <w:r>
        <w:rPr>
          <w:b/>
        </w:rPr>
        <w:t>Generation-Governed Analysis</w:t>
      </w:r>
      <w:r>
        <w:br/>
        <w:t>↓</w:t>
      </w:r>
    </w:p>
    <w:p>
      <w:pPr>
        <w:jc w:val="center"/>
      </w:pPr>
      <w:r>
        <w:rPr>
          <w:b/>
        </w:rPr>
        <w:t>Observations</w:t>
      </w:r>
      <w:r>
        <w:br/>
        <w:t>↓</w:t>
      </w:r>
    </w:p>
    <w:p>
      <w:pPr>
        <w:jc w:val="center"/>
      </w:pPr>
      <w:r>
        <w:rPr>
          <w:b/>
        </w:rPr>
        <w:t>Entities / Events</w:t>
      </w:r>
      <w:r>
        <w:br/>
        <w:t>↓</w:t>
      </w:r>
    </w:p>
    <w:p>
      <w:pPr>
        <w:jc w:val="center"/>
      </w:pPr>
      <w:r>
        <w:rPr>
          <w:b/>
        </w:rPr>
        <w:t>Relationships</w:t>
      </w:r>
      <w:r>
        <w:br/>
        <w:t>↓</w:t>
      </w:r>
    </w:p>
    <w:p>
      <w:pPr>
        <w:jc w:val="center"/>
      </w:pPr>
      <w:r>
        <w:rPr>
          <w:b/>
        </w:rPr>
        <w:t>Semantic Comprehension</w:t>
      </w:r>
      <w:r>
        <w:br/>
        <w:t>↓</w:t>
      </w:r>
    </w:p>
    <w:p>
      <w:pPr>
        <w:jc w:val="center"/>
      </w:pPr>
      <w:r>
        <w:rPr>
          <w:b/>
        </w:rPr>
        <w:t>Principles / Concepts</w:t>
      </w:r>
      <w:r>
        <w:br/>
        <w:t>↓</w:t>
      </w:r>
    </w:p>
    <w:p>
      <w:pPr>
        <w:jc w:val="center"/>
      </w:pPr>
      <w:r>
        <w:rPr>
          <w:b/>
        </w:rPr>
        <w:t>Knowledge / Relationship Structures</w:t>
      </w:r>
      <w:r>
        <w:br/>
        <w:t>↓</w:t>
      </w:r>
    </w:p>
    <w:p>
      <w:pPr>
        <w:jc w:val="center"/>
      </w:pPr>
      <w:r>
        <w:rPr>
          <w:b/>
        </w:rPr>
        <w:t>Confidence / Reliability / Trust</w:t>
      </w:r>
      <w:r>
        <w:br/>
        <w:t>↓</w:t>
      </w:r>
    </w:p>
    <w:p>
      <w:pPr>
        <w:jc w:val="center"/>
      </w:pPr>
      <w:r>
        <w:rPr>
          <w:b/>
        </w:rPr>
        <w:t>Questions / Lenses / Exploration</w:t>
      </w:r>
      <w:r>
        <w:br/>
        <w:t>↓</w:t>
      </w:r>
    </w:p>
    <w:p>
      <w:pPr>
        <w:jc w:val="center"/>
      </w:pPr>
      <w:r>
        <w:rPr>
          <w:b/>
        </w:rPr>
        <w:t>Study / Overlay / User</w:t>
      </w:r>
    </w:p>
    <w:p>
      <w:pPr>
        <w:pStyle w:val="Heading1"/>
      </w:pPr>
      <w:r>
        <w:t>5. Four Architectural Planes</w:t>
      </w:r>
    </w:p>
    <w:tbl>
      <w:tblPr>
        <w:tblStyle w:val="TableGrid"/>
        <w:tblW w:type="auto" w:w="0"/>
        <w:tblLook w:firstColumn="1" w:firstRow="1" w:lastColumn="0" w:lastRow="0" w:noHBand="0" w:noVBand="1" w:val="04A0"/>
      </w:tblPr>
      <w:tblGrid>
        <w:gridCol w:w="4997"/>
        <w:gridCol w:w="4997"/>
      </w:tblGrid>
      <w:tr>
        <w:tc>
          <w:tcPr>
            <w:tcW w:type="dxa" w:w="4997"/>
          </w:tcPr>
          <w:p>
            <w:r>
              <w:rPr>
                <w:b/>
              </w:rPr>
              <w:t>Plane</w:t>
            </w:r>
          </w:p>
        </w:tc>
        <w:tc>
          <w:tcPr>
            <w:tcW w:type="dxa" w:w="4997"/>
          </w:tcPr>
          <w:p>
            <w:r>
              <w:rPr>
                <w:b/>
              </w:rPr>
              <w:t>High-Level Flow</w:t>
            </w:r>
          </w:p>
        </w:tc>
      </w:tr>
      <w:tr>
        <w:tc>
          <w:tcPr>
            <w:tcW w:type="dxa" w:w="4997"/>
          </w:tcPr>
          <w:p>
            <w:r>
              <w:t>Evidence Plane</w:t>
            </w:r>
          </w:p>
        </w:tc>
        <w:tc>
          <w:tcPr>
            <w:tcW w:type="dxa" w:w="4997"/>
          </w:tcPr>
          <w:p>
            <w:r>
              <w:t>Source → Capture → Identity → Provenance</w:t>
            </w:r>
          </w:p>
        </w:tc>
      </w:tr>
      <w:tr>
        <w:tc>
          <w:tcPr>
            <w:tcW w:type="dxa" w:w="4997"/>
          </w:tcPr>
          <w:p>
            <w:r>
              <w:t>Comprehension Plane</w:t>
            </w:r>
          </w:p>
        </w:tc>
        <w:tc>
          <w:tcPr>
            <w:tcW w:type="dxa" w:w="4997"/>
          </w:tcPr>
          <w:p>
            <w:r>
              <w:t>Context → Analysis → Observations → Entities → Events → Semantic Meaning</w:t>
            </w:r>
          </w:p>
        </w:tc>
      </w:tr>
      <w:tr>
        <w:tc>
          <w:tcPr>
            <w:tcW w:type="dxa" w:w="4997"/>
          </w:tcPr>
          <w:p>
            <w:r>
              <w:t>Knowledge Plane</w:t>
            </w:r>
          </w:p>
        </w:tc>
        <w:tc>
          <w:tcPr>
            <w:tcW w:type="dxa" w:w="4997"/>
          </w:tcPr>
          <w:p>
            <w:r>
              <w:t>Relationships → Principles → Concepts → Graph → Confidence / Reliability / Trust</w:t>
            </w:r>
          </w:p>
        </w:tc>
      </w:tr>
      <w:tr>
        <w:tc>
          <w:tcPr>
            <w:tcW w:type="dxa" w:w="4997"/>
          </w:tcPr>
          <w:p>
            <w:r>
              <w:t>Presentation Plane</w:t>
            </w:r>
          </w:p>
        </w:tc>
        <w:tc>
          <w:tcPr>
            <w:tcW w:type="dxa" w:w="4997"/>
          </w:tcPr>
          <w:p>
            <w:r>
              <w:t>Study → Questions → Lenses → Queue → Overlay → Popup → User</w:t>
            </w:r>
          </w:p>
        </w:tc>
      </w:tr>
    </w:tbl>
    <w:p>
      <w:r>
        <w:t>Authority / Governance crosses all four planes and determines what is evidence, current, canonical, derived, historical, workflow state, or presentation-only.</w:t>
      </w:r>
    </w:p>
    <w:p>
      <w:pPr>
        <w:pStyle w:val="Heading1"/>
      </w:pPr>
      <w:r>
        <w:t>6. Governance Plane</w:t>
      </w:r>
    </w:p>
    <w:p>
      <w:r>
        <w:t>The governance plane answers the system-level questions that prevent presentation, workflow, provenance, or local compatibility behavior from silently becoming canonical authority.</w:t>
      </w:r>
    </w:p>
    <w:p>
      <w:pPr>
        <w:pStyle w:val="ListBullet"/>
      </w:pPr>
      <w:r>
        <w:t>Source Identity — what source or page does the evidence represent?</w:t>
      </w:r>
    </w:p>
    <w:p>
      <w:pPr>
        <w:pStyle w:val="ListBullet"/>
      </w:pPr>
      <w:r>
        <w:t>Canonical Target — what exact source/page is the governed analysis target?</w:t>
      </w:r>
    </w:p>
    <w:p>
      <w:pPr>
        <w:pStyle w:val="ListBullet"/>
      </w:pPr>
      <w:r>
        <w:t>Canonical Membership — what material is admitted into governed analytical scope?</w:t>
      </w:r>
    </w:p>
    <w:p>
      <w:pPr>
        <w:pStyle w:val="ListBullet"/>
      </w:pPr>
      <w:r>
        <w:t>Generation — which analytical lifecycle produced the result, and is it current?</w:t>
      </w:r>
    </w:p>
    <w:p>
      <w:pPr>
        <w:pStyle w:val="ListBullet"/>
      </w:pPr>
      <w:r>
        <w:t>Selected Range / Multi-Page Scope — what bounded admitted material is being explored?</w:t>
      </w:r>
    </w:p>
    <w:p>
      <w:pPr>
        <w:pStyle w:val="ListBullet"/>
      </w:pPr>
      <w:r>
        <w:t>Context Lock — what governed current scope is asserted for Study?</w:t>
      </w:r>
    </w:p>
    <w:p>
      <w:pPr>
        <w:pStyle w:val="ListBullet"/>
      </w:pPr>
      <w:r>
        <w:t>Provenance — where did a record originate?</w:t>
      </w:r>
    </w:p>
    <w:p>
      <w:pPr>
        <w:pStyle w:val="ListBullet"/>
      </w:pPr>
      <w:r>
        <w:t>Semantic Authority — which processing path establishes governed semantic meaning?</w:t>
      </w:r>
    </w:p>
    <w:p>
      <w:pPr>
        <w:pStyle w:val="ListBullet"/>
      </w:pPr>
      <w:r>
        <w:t>Confidence / Reliability / Trust — how is the quality of understanding evaluated?</w:t>
      </w:r>
    </w:p>
    <w:p>
      <w:pPr>
        <w:pStyle w:val="ListBullet"/>
      </w:pPr>
      <w:r>
        <w:t>Lifecycle / Reset — how are stale or cleared states invalidated without creating competing authority?</w:t>
      </w:r>
    </w:p>
    <w:p>
      <w:pPr>
        <w:pStyle w:val="Heading1"/>
      </w:pPr>
      <w:r>
        <w:t>7. Current Semantic Authority Boundary</w:t>
      </w:r>
    </w:p>
    <w:p>
      <w:r>
        <w:t>Following the AA_0034–AA_0036_R2 reconciliation, background processing remains the canonical semantic owner for the shared semantic families below. Popup extraction remains a bounded compatibility/local workflow and cannot replace protected current-generation canonical semantic state.</w:t>
      </w:r>
    </w:p>
    <w:p>
      <w:pPr>
        <w:pStyle w:val="ListBullet"/>
      </w:pPr>
      <w:r>
        <w:t>ICE_TIMELINE_ITEMS</w:t>
      </w:r>
    </w:p>
    <w:p>
      <w:pPr>
        <w:pStyle w:val="ListBullet"/>
      </w:pPr>
      <w:r>
        <w:t>ICE_EVENT_ITEMS</w:t>
      </w:r>
    </w:p>
    <w:p>
      <w:pPr>
        <w:pStyle w:val="ListBullet"/>
      </w:pPr>
      <w:r>
        <w:t>ICE_PRINCIPLE_ITEMS</w:t>
      </w:r>
    </w:p>
    <w:p>
      <w:pPr>
        <w:pStyle w:val="ListBullet"/>
      </w:pPr>
      <w:r>
        <w:t>ICE_ORDERED_EVENTS</w:t>
      </w:r>
    </w:p>
    <w:p>
      <w:pPr>
        <w:pStyle w:val="ListBullet"/>
      </w:pPr>
      <w:r>
        <w:t>ICE_ACTOR_TIMELINES</w:t>
      </w:r>
    </w:p>
    <w:p>
      <w:r>
        <w:t>ICE_INTERACTION_GRAPH and ICE_SCENE_MODELS were explicitly excluded from that reconciliation and remain subject to separate lifecycle-authority review. The protection predicate used by popup is write-protection only; it does not create canonicality, membership, source identity, generation authority, scope authority, or Context Lock participation.</w:t>
      </w:r>
    </w:p>
    <w:p>
      <w:pPr>
        <w:pStyle w:val="Heading1"/>
      </w:pPr>
      <w:r>
        <w:t>8. Architectural Rules of Record</w:t>
      </w:r>
    </w:p>
    <w:p>
      <w:pPr>
        <w:pStyle w:val="ListBullet"/>
      </w:pPr>
      <w:r>
        <w:t>Background is the primary generation authority.</w:t>
      </w:r>
    </w:p>
    <w:p>
      <w:pPr>
        <w:pStyle w:val="ListBullet"/>
      </w:pPr>
      <w:r>
        <w:t>Background owns canonical analysis target and canonical membership.</w:t>
      </w:r>
    </w:p>
    <w:p>
      <w:pPr>
        <w:pStyle w:val="ListBullet"/>
      </w:pPr>
      <w:r>
        <w:t>Active-source state is bounded supporting state and cannot override canonical target or membership.</w:t>
      </w:r>
    </w:p>
    <w:p>
      <w:pPr>
        <w:pStyle w:val="ListBullet"/>
      </w:pPr>
      <w:r>
        <w:t>Selected range can select admitted material but cannot independently admit pages.</w:t>
      </w:r>
    </w:p>
    <w:p>
      <w:pPr>
        <w:pStyle w:val="ListBullet"/>
      </w:pPr>
      <w:r>
        <w:t>Context Lock follows Model A: a derived assertion over governed current scope.</w:t>
      </w:r>
    </w:p>
    <w:p>
      <w:pPr>
        <w:pStyle w:val="ListBullet"/>
      </w:pPr>
      <w:r>
        <w:t>Provenance establishes lineage, not authorization.</w:t>
      </w:r>
    </w:p>
    <w:p>
      <w:pPr>
        <w:pStyle w:val="ListBullet"/>
      </w:pPr>
      <w:r>
        <w:t>Graph visibility does not establish canonical scope membership.</w:t>
      </w:r>
    </w:p>
    <w:p>
      <w:pPr>
        <w:pStyle w:val="ListBullet"/>
      </w:pPr>
      <w:r>
        <w:t>Queue/workflow state does not establish semantic truth.</w:t>
      </w:r>
    </w:p>
    <w:p>
      <w:pPr>
        <w:pStyle w:val="ListBullet"/>
      </w:pPr>
      <w:r>
        <w:t>Presentation and diagnostics explain or project governed state; they do not create persistent canonical truth.</w:t>
      </w:r>
    </w:p>
    <w:p>
      <w:pPr>
        <w:pStyle w:val="ListBullet"/>
      </w:pPr>
      <w:r>
        <w:t>Popup local semantic workflows may remain useful without becoming co-equal canonical semantic writers.</w:t>
      </w:r>
    </w:p>
    <w:p>
      <w:pPr>
        <w:pStyle w:val="Heading1"/>
      </w:pPr>
      <w:r>
        <w:t>9. High-Level Architecture Summary</w:t>
      </w:r>
    </w:p>
    <w:p>
      <w:r>
        <w:rPr>
          <w:b/>
        </w:rPr>
        <w:t>I.C.E. acquires source evidence through the browser extension, establishes governed identity and analytical context, processes that evidence through a generation-controlled comprehension pipeline, derives structured observations, entities, events, relationships, principles and concepts, organizes those results into an explorable knowledge system, evaluates their provenance and quality, and presents the resulting understanding through Study, graph, queue, overlay, and browser workflows.</w:t>
      </w:r>
    </w:p>
    <w:p>
      <w:r>
        <w:rPr>
          <w:b/>
        </w:rPr>
        <w:t>Across the complete system, a separate governance plane determines what is evidence, what belongs to scope, what is current, what is canonical, what is derived, what is workflow state, and what is presentation.</w:t>
      </w:r>
    </w:p>
    <w:p>
      <w:pPr>
        <w:jc w:val="center"/>
      </w:pPr>
      <w:r>
        <w:rPr>
          <w:b/>
          <w:sz w:val="26"/>
        </w:rPr>
        <w:t>Evidence → Comprehension → Knowledge → Presentation</w:t>
      </w:r>
    </w:p>
    <w:p>
      <w:pPr>
        <w:jc w:val="center"/>
      </w:pPr>
      <w:r>
        <w:rPr>
          <w:b/>
          <w:sz w:val="22"/>
        </w:rPr>
        <w:t>Authority &amp; Governance across every layer</w:t>
      </w:r>
    </w:p>
    <w:p>
      <w:pPr>
        <w:pStyle w:val="Heading1"/>
      </w:pPr>
      <w:r>
        <w:t>10. Repository Record Note</w:t>
      </w:r>
    </w:p>
    <w:p>
      <w:r>
        <w:t>This document is a high-level architecture record. It intentionally describes component responsibilities, system planes, processing flow, and authority boundaries rather than acting as a line-by-line implementation specification. Detailed runtime contracts and future authority reconciliations remain governed by the serialized I.C.E. architecture review process.</w:t>
      </w:r>
    </w:p>
    <w:p>
      <w:r>
        <w:t>Architecture baseline at preparation: master commit ce133dd31cb763db32b07fc92b01d981b9bd4eb8 (fix: protect canonical semantic state from popup replacement).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Architecture Record  |  R1.0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I.C.E. — Integrated Comprehension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