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Customer Onboarding &amp;
CDD Procedures</w:t>
      </w:r>
    </w:p>
    <w:p>
      <w:pPr>
        <w:spacing w:after="200" w:before="0"/>
        <w:jc w:val="center"/>
      </w:pPr>
      <w:r>
        <w:rPr>
          <w:rFonts w:ascii="Calibri" w:cs="Calibri" w:eastAsia="Calibri" w:hAnsi="Calibri"/>
          <w:b/>
          <w:bCs/>
          <w:color w:val="666666"/>
          <w:sz w:val="28"/>
          <w:szCs w:val="28"/>
        </w:rPr>
        <w:t xml:space="preserve">Consumer Due Diligence and
Process Flow Documentation</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INTRODUCTION</w:t>
      </w:r>
    </w:p>
    <w:p>
      <w:pPr>
        <w:spacing w:after="120" w:before="0"/>
        <w:jc w:val="both"/>
      </w:pPr>
      <w:r>
        <w:rPr>
          <w:rFonts w:ascii="Calibri" w:cs="Calibri" w:eastAsia="Calibri" w:hAnsi="Calibri"/>
          <w:b w:val="false"/>
          <w:bCs w:val="false"/>
          <w:i w:val="false"/>
          <w:iCs w:val="false"/>
          <w:color w:val="333333"/>
          <w:sz w:val="22"/>
          <w:szCs w:val="22"/>
        </w:rPr>
        <w:t xml:space="preserve">This document describes the customer onboarding process for the Monde digital payment system, including the Customer Due Diligence (CDD) procedures implemented to comply with the Bank of Zambia Anti-Money Laundering Directives, the Financial Intelligence Centre Act, and the National Payment Systems Act, 2007.</w:t>
      </w:r>
    </w:p>
    <w:p>
      <w:pPr>
        <w:spacing w:after="120" w:before="0"/>
        <w:jc w:val="both"/>
      </w:pPr>
      <w:r>
        <w:rPr>
          <w:rFonts w:ascii="Calibri" w:cs="Calibri" w:eastAsia="Calibri" w:hAnsi="Calibri"/>
          <w:b w:val="false"/>
          <w:bCs w:val="false"/>
          <w:i w:val="false"/>
          <w:iCs w:val="false"/>
          <w:color w:val="333333"/>
          <w:sz w:val="22"/>
          <w:szCs w:val="22"/>
        </w:rPr>
        <w:t xml:space="preserve">Monde is committed to ensuring that all customers are properly identified and verified before being granted access to payment services. The onboarding process is designed to balance regulatory compliance with user convenience, enabling rapid onboarding while maintaining robust identity verification controls.</w:t>
      </w:r>
    </w:p>
    <w:p>
      <w:pPr>
        <w:pStyle w:val="Heading1"/>
        <w:spacing w:after="120" w:before="300"/>
      </w:pPr>
      <w:r>
        <w:rPr>
          <w:rFonts w:ascii="Calibri" w:cs="Calibri" w:eastAsia="Calibri" w:hAnsi="Calibri"/>
          <w:b/>
          <w:bCs/>
          <w:color w:val="0A6E3C"/>
          <w:sz w:val="32"/>
          <w:szCs w:val="32"/>
        </w:rPr>
        <w:t xml:space="preserve">2. CUSTOMER ONBOARDING PROCESS</w:t>
      </w:r>
    </w:p>
    <w:p>
      <w:pPr>
        <w:pStyle w:val="Heading2"/>
        <w:spacing w:after="120" w:before="300"/>
      </w:pPr>
      <w:r>
        <w:rPr>
          <w:rFonts w:ascii="Calibri" w:cs="Calibri" w:eastAsia="Calibri" w:hAnsi="Calibri"/>
          <w:b/>
          <w:bCs/>
          <w:color w:val="0A6E3C"/>
          <w:sz w:val="26"/>
          <w:szCs w:val="26"/>
        </w:rPr>
        <w:t xml:space="preserve">2.1 Overview</w:t>
      </w:r>
    </w:p>
    <w:p>
      <w:pPr>
        <w:spacing w:after="120" w:before="0"/>
        <w:jc w:val="both"/>
      </w:pPr>
      <w:r>
        <w:rPr>
          <w:rFonts w:ascii="Calibri" w:cs="Calibri" w:eastAsia="Calibri" w:hAnsi="Calibri"/>
          <w:b w:val="false"/>
          <w:bCs w:val="false"/>
          <w:i w:val="false"/>
          <w:iCs w:val="false"/>
          <w:color w:val="333333"/>
          <w:sz w:val="22"/>
          <w:szCs w:val="22"/>
        </w:rPr>
        <w:t xml:space="preserve">The Monde customer onboarding process follows a streamlined digital-first approach. All onboarding is conducted through the Monde mobile application, which is available for download on the Google Play Store (Android) and Apple App Store (iOS). The onboarding process is designed to be completed in under 3 minutes.</w:t>
      </w:r>
    </w:p>
    <w:p>
      <w:pPr>
        <w:pStyle w:val="Heading2"/>
        <w:spacing w:after="120" w:before="300"/>
      </w:pPr>
      <w:r>
        <w:rPr>
          <w:rFonts w:ascii="Calibri" w:cs="Calibri" w:eastAsia="Calibri" w:hAnsi="Calibri"/>
          <w:b/>
          <w:bCs/>
          <w:color w:val="0A6E3C"/>
          <w:sz w:val="26"/>
          <w:szCs w:val="26"/>
        </w:rPr>
        <w:t xml:space="preserve">2.2 Step-by-Step Onboarding Flow</w:t>
      </w:r>
    </w:p>
    <w:p>
      <w:pPr>
        <w:pStyle w:val="Heading3"/>
        <w:spacing w:after="120" w:before="300"/>
      </w:pPr>
      <w:r>
        <w:rPr>
          <w:rFonts w:ascii="Calibri" w:cs="Calibri" w:eastAsia="Calibri" w:hAnsi="Calibri"/>
          <w:b/>
          <w:bCs/>
          <w:color w:val="0A6E3C"/>
          <w:sz w:val="22"/>
          <w:szCs w:val="22"/>
        </w:rPr>
        <w:t xml:space="preserve">Step 1: Application Download and Launch</w:t>
      </w:r>
    </w:p>
    <w:p>
      <w:pPr>
        <w:spacing w:after="120" w:before="0"/>
        <w:jc w:val="both"/>
      </w:pPr>
      <w:r>
        <w:rPr>
          <w:rFonts w:ascii="Calibri" w:cs="Calibri" w:eastAsia="Calibri" w:hAnsi="Calibri"/>
          <w:b w:val="false"/>
          <w:bCs w:val="false"/>
          <w:i w:val="false"/>
          <w:iCs w:val="false"/>
          <w:color w:val="333333"/>
          <w:sz w:val="22"/>
          <w:szCs w:val="22"/>
        </w:rPr>
        <w:t xml:space="preserve">The prospective customer downloads the Monde application from an official app store. Upon first launch, the customer is presented with a welcome screen that describes the key features of the platform: Send and Receive money, Top Up and Withdraw, and QR Code/NFC payments. The customer taps "Get Started" to begin the registration process.</w:t>
      </w:r>
    </w:p>
    <w:p>
      <w:pPr>
        <w:pStyle w:val="Heading3"/>
        <w:spacing w:after="120" w:before="300"/>
      </w:pPr>
      <w:r>
        <w:rPr>
          <w:rFonts w:ascii="Calibri" w:cs="Calibri" w:eastAsia="Calibri" w:hAnsi="Calibri"/>
          <w:b/>
          <w:bCs/>
          <w:color w:val="0A6E3C"/>
          <w:sz w:val="22"/>
          <w:szCs w:val="22"/>
        </w:rPr>
        <w:t xml:space="preserve">Step 2: Provider Selection</w:t>
      </w:r>
    </w:p>
    <w:p>
      <w:pPr>
        <w:spacing w:after="120" w:before="0"/>
        <w:jc w:val="both"/>
      </w:pPr>
      <w:r>
        <w:rPr>
          <w:rFonts w:ascii="Calibri" w:cs="Calibri" w:eastAsia="Calibri" w:hAnsi="Calibri"/>
          <w:b w:val="false"/>
          <w:bCs w:val="false"/>
          <w:i w:val="false"/>
          <w:iCs w:val="false"/>
          <w:color w:val="333333"/>
          <w:sz w:val="22"/>
          <w:szCs w:val="22"/>
        </w:rPr>
        <w:t xml:space="preserve">The customer selects their primary mobile money provider from the supported options:</w:t>
      </w:r>
    </w:p>
    <w:p>
      <w:pPr>
        <w:pStyle w:val="ListParagraph"/>
        <w:numPr>
          <w:ilvl w:val="0"/>
          <w:numId w:val="1"/>
        </w:numPr>
        <w:spacing w:after="60"/>
      </w:pPr>
      <w:r>
        <w:rPr>
          <w:rFonts w:ascii="Calibri" w:cs="Calibri" w:eastAsia="Calibri" w:hAnsi="Calibri"/>
          <w:color w:val="333333"/>
          <w:sz w:val="22"/>
          <w:szCs w:val="22"/>
        </w:rPr>
        <w:t xml:space="preserve">Airtel Money</w:t>
      </w:r>
    </w:p>
    <w:p>
      <w:pPr>
        <w:pStyle w:val="ListParagraph"/>
        <w:numPr>
          <w:ilvl w:val="0"/>
          <w:numId w:val="1"/>
        </w:numPr>
        <w:spacing w:after="60"/>
      </w:pPr>
      <w:r>
        <w:rPr>
          <w:rFonts w:ascii="Calibri" w:cs="Calibri" w:eastAsia="Calibri" w:hAnsi="Calibri"/>
          <w:color w:val="333333"/>
          <w:sz w:val="22"/>
          <w:szCs w:val="22"/>
        </w:rPr>
        <w:t xml:space="preserve">MTN Money</w:t>
      </w:r>
    </w:p>
    <w:p>
      <w:pPr>
        <w:pStyle w:val="ListParagraph"/>
        <w:numPr>
          <w:ilvl w:val="0"/>
          <w:numId w:val="1"/>
        </w:numPr>
        <w:spacing w:after="60"/>
      </w:pPr>
      <w:r>
        <w:rPr>
          <w:rFonts w:ascii="Calibri" w:cs="Calibri" w:eastAsia="Calibri" w:hAnsi="Calibri"/>
          <w:color w:val="333333"/>
          <w:sz w:val="22"/>
          <w:szCs w:val="22"/>
        </w:rPr>
        <w:t xml:space="preserve">Zamtel Kwacha</w:t>
      </w:r>
    </w:p>
    <w:p>
      <w:pPr>
        <w:spacing w:after="120" w:before="0"/>
        <w:jc w:val="both"/>
      </w:pPr>
      <w:r>
        <w:rPr>
          <w:rFonts w:ascii="Calibri" w:cs="Calibri" w:eastAsia="Calibri" w:hAnsi="Calibri"/>
          <w:b w:val="false"/>
          <w:bCs w:val="false"/>
          <w:i w:val="false"/>
          <w:iCs w:val="false"/>
          <w:color w:val="333333"/>
          <w:sz w:val="22"/>
          <w:szCs w:val="22"/>
        </w:rPr>
        <w:t xml:space="preserve">This selection determines the default provider for top-up and withdrawal transactions and allows Monde to validate the phone number format against the selected network.</w:t>
      </w:r>
    </w:p>
    <w:p>
      <w:pPr>
        <w:pStyle w:val="Heading3"/>
        <w:spacing w:after="120" w:before="300"/>
      </w:pPr>
      <w:r>
        <w:rPr>
          <w:rFonts w:ascii="Calibri" w:cs="Calibri" w:eastAsia="Calibri" w:hAnsi="Calibri"/>
          <w:b/>
          <w:bCs/>
          <w:color w:val="0A6E3C"/>
          <w:sz w:val="22"/>
          <w:szCs w:val="22"/>
        </w:rPr>
        <w:t xml:space="preserve">Step 3: Personal Information Collection</w:t>
      </w:r>
    </w:p>
    <w:p>
      <w:pPr>
        <w:spacing w:after="120" w:before="0"/>
        <w:jc w:val="both"/>
      </w:pPr>
      <w:r>
        <w:rPr>
          <w:rFonts w:ascii="Calibri" w:cs="Calibri" w:eastAsia="Calibri" w:hAnsi="Calibri"/>
          <w:b w:val="false"/>
          <w:bCs w:val="false"/>
          <w:i w:val="false"/>
          <w:iCs w:val="false"/>
          <w:color w:val="333333"/>
          <w:sz w:val="22"/>
          <w:szCs w:val="22"/>
        </w:rPr>
        <w:t xml:space="preserve">The customer provides the following mandatory information:</w:t>
      </w:r>
    </w:p>
    <w:p>
      <w:pPr>
        <w:pStyle w:val="ListParagraph"/>
        <w:numPr>
          <w:ilvl w:val="0"/>
          <w:numId w:val="1"/>
        </w:numPr>
        <w:spacing w:after="60"/>
      </w:pPr>
      <w:r>
        <w:rPr>
          <w:rFonts w:ascii="Calibri" w:cs="Calibri" w:eastAsia="Calibri" w:hAnsi="Calibri"/>
          <w:color w:val="333333"/>
          <w:sz w:val="22"/>
          <w:szCs w:val="22"/>
        </w:rPr>
        <w:t xml:space="preserve">Full Name: First name and last name (used for account identification and handle generation)</w:t>
      </w:r>
    </w:p>
    <w:p>
      <w:pPr>
        <w:pStyle w:val="ListParagraph"/>
        <w:numPr>
          <w:ilvl w:val="0"/>
          <w:numId w:val="1"/>
        </w:numPr>
        <w:spacing w:after="60"/>
      </w:pPr>
      <w:r>
        <w:rPr>
          <w:rFonts w:ascii="Calibri" w:cs="Calibri" w:eastAsia="Calibri" w:hAnsi="Calibri"/>
          <w:color w:val="333333"/>
          <w:sz w:val="22"/>
          <w:szCs w:val="22"/>
        </w:rPr>
        <w:t xml:space="preserve">Phone Number: A valid Zambian mobile phone number (used as the primary account identifier)</w:t>
      </w:r>
    </w:p>
    <w:p>
      <w:pPr>
        <w:spacing w:after="120" w:before="0"/>
        <w:jc w:val="both"/>
      </w:pPr>
      <w:r>
        <w:rPr>
          <w:rFonts w:ascii="Calibri" w:cs="Calibri" w:eastAsia="Calibri" w:hAnsi="Calibri"/>
          <w:b w:val="false"/>
          <w:bCs w:val="false"/>
          <w:i w:val="false"/>
          <w:iCs w:val="false"/>
          <w:color w:val="333333"/>
          <w:sz w:val="22"/>
          <w:szCs w:val="22"/>
        </w:rPr>
        <w:t xml:space="preserve">The phone number must match the format of a valid Zambian number for the selected provider. The system validates the phone number prefix against known network prefixes: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Provider</w:t>
            </w:r>
          </w:p>
        </w:tc>
        <w:tc>
          <w:tcPr>
            <w:tcW w:type="pct" w:w="33%"/>
            <w:shd w:color="0A6E3C" w:val="solid"/>
          </w:tcPr>
          <w:p>
            <w:pPr>
              <w:jc w:val="center"/>
            </w:pPr>
            <w:r>
              <w:rPr>
                <w:rFonts w:ascii="Calibri" w:cs="Calibri" w:eastAsia="Calibri" w:hAnsi="Calibri"/>
                <w:b/>
                <w:bCs/>
                <w:color w:val="FFFFFF"/>
                <w:sz w:val="20"/>
                <w:szCs w:val="20"/>
              </w:rPr>
              <w:t xml:space="preserve">Valid Prefixes</w:t>
            </w:r>
          </w:p>
        </w:tc>
        <w:tc>
          <w:tcPr>
            <w:tcW w:type="pct" w:w="33%"/>
            <w:shd w:color="0A6E3C" w:val="solid"/>
          </w:tcPr>
          <w:p>
            <w:pPr>
              <w:jc w:val="center"/>
            </w:pPr>
            <w:r>
              <w:rPr>
                <w:rFonts w:ascii="Calibri" w:cs="Calibri" w:eastAsia="Calibri" w:hAnsi="Calibri"/>
                <w:b/>
                <w:bCs/>
                <w:color w:val="FFFFFF"/>
                <w:sz w:val="20"/>
                <w:szCs w:val="20"/>
              </w:rPr>
              <w:t xml:space="preserve">Format</w:t>
            </w:r>
          </w:p>
        </w:tc>
      </w:tr>
      <w:tr>
        <w:tc>
          <w:tcPr>
            <w:tcW w:type="pct" w:w="33%"/>
          </w:tcPr>
          <w:p>
            <w:r>
              <w:rPr>
                <w:rFonts w:ascii="Calibri" w:cs="Calibri" w:eastAsia="Calibri" w:hAnsi="Calibri"/>
                <w:color w:val="333333"/>
                <w:sz w:val="20"/>
                <w:szCs w:val="20"/>
              </w:rPr>
              <w:t xml:space="preserve">Airtel Money</w:t>
            </w:r>
          </w:p>
        </w:tc>
        <w:tc>
          <w:tcPr>
            <w:tcW w:type="pct" w:w="33%"/>
          </w:tcPr>
          <w:p>
            <w:r>
              <w:rPr>
                <w:rFonts w:ascii="Calibri" w:cs="Calibri" w:eastAsia="Calibri" w:hAnsi="Calibri"/>
                <w:color w:val="333333"/>
                <w:sz w:val="20"/>
                <w:szCs w:val="20"/>
              </w:rPr>
              <w:t xml:space="preserve">097x, 077x</w:t>
            </w:r>
          </w:p>
        </w:tc>
        <w:tc>
          <w:tcPr>
            <w:tcW w:type="pct" w:w="33%"/>
          </w:tcPr>
          <w:p>
            <w:r>
              <w:rPr>
                <w:rFonts w:ascii="Calibri" w:cs="Calibri" w:eastAsia="Calibri" w:hAnsi="Calibri"/>
                <w:color w:val="333333"/>
                <w:sz w:val="20"/>
                <w:szCs w:val="20"/>
              </w:rPr>
              <w:t xml:space="preserve">10 digits (0971234567)</w:t>
            </w:r>
          </w:p>
        </w:tc>
      </w:tr>
      <w:tr>
        <w:tc>
          <w:tcPr>
            <w:tcW w:type="pct" w:w="33%"/>
          </w:tcPr>
          <w:p>
            <w:r>
              <w:rPr>
                <w:rFonts w:ascii="Calibri" w:cs="Calibri" w:eastAsia="Calibri" w:hAnsi="Calibri"/>
                <w:color w:val="333333"/>
                <w:sz w:val="20"/>
                <w:szCs w:val="20"/>
              </w:rPr>
              <w:t xml:space="preserve">MTN Money</w:t>
            </w:r>
          </w:p>
        </w:tc>
        <w:tc>
          <w:tcPr>
            <w:tcW w:type="pct" w:w="33%"/>
          </w:tcPr>
          <w:p>
            <w:r>
              <w:rPr>
                <w:rFonts w:ascii="Calibri" w:cs="Calibri" w:eastAsia="Calibri" w:hAnsi="Calibri"/>
                <w:color w:val="333333"/>
                <w:sz w:val="20"/>
                <w:szCs w:val="20"/>
              </w:rPr>
              <w:t xml:space="preserve">096x, 076x</w:t>
            </w:r>
          </w:p>
        </w:tc>
        <w:tc>
          <w:tcPr>
            <w:tcW w:type="pct" w:w="33%"/>
          </w:tcPr>
          <w:p>
            <w:r>
              <w:rPr>
                <w:rFonts w:ascii="Calibri" w:cs="Calibri" w:eastAsia="Calibri" w:hAnsi="Calibri"/>
                <w:color w:val="333333"/>
                <w:sz w:val="20"/>
                <w:szCs w:val="20"/>
              </w:rPr>
              <w:t xml:space="preserve">10 digits (0961234567)</w:t>
            </w:r>
          </w:p>
        </w:tc>
      </w:tr>
      <w:tr>
        <w:tc>
          <w:tcPr>
            <w:tcW w:type="pct" w:w="33%"/>
          </w:tcPr>
          <w:p>
            <w:r>
              <w:rPr>
                <w:rFonts w:ascii="Calibri" w:cs="Calibri" w:eastAsia="Calibri" w:hAnsi="Calibri"/>
                <w:color w:val="333333"/>
                <w:sz w:val="20"/>
                <w:szCs w:val="20"/>
              </w:rPr>
              <w:t xml:space="preserve">Zamtel Kwacha</w:t>
            </w:r>
          </w:p>
        </w:tc>
        <w:tc>
          <w:tcPr>
            <w:tcW w:type="pct" w:w="33%"/>
          </w:tcPr>
          <w:p>
            <w:r>
              <w:rPr>
                <w:rFonts w:ascii="Calibri" w:cs="Calibri" w:eastAsia="Calibri" w:hAnsi="Calibri"/>
                <w:color w:val="333333"/>
                <w:sz w:val="20"/>
                <w:szCs w:val="20"/>
              </w:rPr>
              <w:t xml:space="preserve">095x, 075x</w:t>
            </w:r>
          </w:p>
        </w:tc>
        <w:tc>
          <w:tcPr>
            <w:tcW w:type="pct" w:w="33%"/>
          </w:tcPr>
          <w:p>
            <w:r>
              <w:rPr>
                <w:rFonts w:ascii="Calibri" w:cs="Calibri" w:eastAsia="Calibri" w:hAnsi="Calibri"/>
                <w:color w:val="333333"/>
                <w:sz w:val="20"/>
                <w:szCs w:val="20"/>
              </w:rPr>
              <w:t xml:space="preserve">10 digits (0951234567)</w:t>
            </w:r>
          </w:p>
        </w:tc>
      </w:tr>
    </w:tbl>
    <w:p>
      <w:pPr>
        <w:spacing w:after="200"/>
      </w:pPr>
    </w:p>
    <w:p>
      <w:pPr>
        <w:pStyle w:val="Heading3"/>
        <w:spacing w:after="120" w:before="300"/>
      </w:pPr>
      <w:r>
        <w:rPr>
          <w:rFonts w:ascii="Calibri" w:cs="Calibri" w:eastAsia="Calibri" w:hAnsi="Calibri"/>
          <w:b/>
          <w:bCs/>
          <w:color w:val="0A6E3C"/>
          <w:sz w:val="22"/>
          <w:szCs w:val="22"/>
        </w:rPr>
        <w:t xml:space="preserve">Step 4: Phone Number Verification (OTP)</w:t>
      </w:r>
    </w:p>
    <w:p>
      <w:pPr>
        <w:spacing w:after="120" w:before="0"/>
        <w:jc w:val="both"/>
      </w:pPr>
      <w:r>
        <w:rPr>
          <w:rFonts w:ascii="Calibri" w:cs="Calibri" w:eastAsia="Calibri" w:hAnsi="Calibri"/>
          <w:b w:val="false"/>
          <w:bCs w:val="false"/>
          <w:i w:val="false"/>
          <w:iCs w:val="false"/>
          <w:color w:val="333333"/>
          <w:sz w:val="22"/>
          <w:szCs w:val="22"/>
        </w:rPr>
        <w:t xml:space="preserve">Monde sends a one-time password (OTP) to the customer provided phone number via SMS. This verification step serves two critical purposes:</w:t>
      </w:r>
    </w:p>
    <w:p>
      <w:pPr>
        <w:pStyle w:val="ListParagraph"/>
        <w:numPr>
          <w:ilvl w:val="0"/>
          <w:numId w:val="1"/>
        </w:numPr>
        <w:spacing w:after="60"/>
      </w:pPr>
      <w:r>
        <w:rPr>
          <w:rFonts w:ascii="Calibri" w:cs="Calibri" w:eastAsia="Calibri" w:hAnsi="Calibri"/>
          <w:color w:val="333333"/>
          <w:sz w:val="22"/>
          <w:szCs w:val="22"/>
        </w:rPr>
        <w:t xml:space="preserve">Identity Verification: Confirms that the customer has physical possession of the registered phone number</w:t>
      </w:r>
    </w:p>
    <w:p>
      <w:pPr>
        <w:pStyle w:val="ListParagraph"/>
        <w:numPr>
          <w:ilvl w:val="0"/>
          <w:numId w:val="1"/>
        </w:numPr>
        <w:spacing w:after="60"/>
      </w:pPr>
      <w:r>
        <w:rPr>
          <w:rFonts w:ascii="Calibri" w:cs="Calibri" w:eastAsia="Calibri" w:hAnsi="Calibri"/>
          <w:color w:val="333333"/>
          <w:sz w:val="22"/>
          <w:szCs w:val="22"/>
        </w:rPr>
        <w:t xml:space="preserve">SIM Ownership Validation: Ensures the customer is the rightful owner/user of the SIM card</w:t>
      </w:r>
    </w:p>
    <w:p>
      <w:pPr>
        <w:spacing w:after="120" w:before="0"/>
        <w:jc w:val="both"/>
      </w:pPr>
      <w:r>
        <w:rPr>
          <w:rFonts w:ascii="Calibri" w:cs="Calibri" w:eastAsia="Calibri" w:hAnsi="Calibri"/>
          <w:b w:val="false"/>
          <w:bCs w:val="false"/>
          <w:i w:val="false"/>
          <w:iCs w:val="false"/>
          <w:color w:val="333333"/>
          <w:sz w:val="22"/>
          <w:szCs w:val="22"/>
        </w:rPr>
        <w:t xml:space="preserve">The OTP is generated and delivered through Twilio Verify, a globally recognized SMS verification service. The OTP:</w:t>
      </w:r>
    </w:p>
    <w:p>
      <w:pPr>
        <w:pStyle w:val="ListParagraph"/>
        <w:numPr>
          <w:ilvl w:val="0"/>
          <w:numId w:val="1"/>
        </w:numPr>
        <w:spacing w:after="60"/>
      </w:pPr>
      <w:r>
        <w:rPr>
          <w:rFonts w:ascii="Calibri" w:cs="Calibri" w:eastAsia="Calibri" w:hAnsi="Calibri"/>
          <w:color w:val="333333"/>
          <w:sz w:val="22"/>
          <w:szCs w:val="22"/>
        </w:rPr>
        <w:t xml:space="preserve">Is a 6-digit numeric code</w:t>
      </w:r>
    </w:p>
    <w:p>
      <w:pPr>
        <w:pStyle w:val="ListParagraph"/>
        <w:numPr>
          <w:ilvl w:val="0"/>
          <w:numId w:val="1"/>
        </w:numPr>
        <w:spacing w:after="60"/>
      </w:pPr>
      <w:r>
        <w:rPr>
          <w:rFonts w:ascii="Calibri" w:cs="Calibri" w:eastAsia="Calibri" w:hAnsi="Calibri"/>
          <w:color w:val="333333"/>
          <w:sz w:val="22"/>
          <w:szCs w:val="22"/>
        </w:rPr>
        <w:t xml:space="preserve">Expires after 10 minutes</w:t>
      </w:r>
    </w:p>
    <w:p>
      <w:pPr>
        <w:pStyle w:val="ListParagraph"/>
        <w:numPr>
          <w:ilvl w:val="0"/>
          <w:numId w:val="1"/>
        </w:numPr>
        <w:spacing w:after="60"/>
      </w:pPr>
      <w:r>
        <w:rPr>
          <w:rFonts w:ascii="Calibri" w:cs="Calibri" w:eastAsia="Calibri" w:hAnsi="Calibri"/>
          <w:color w:val="333333"/>
          <w:sz w:val="22"/>
          <w:szCs w:val="22"/>
        </w:rPr>
        <w:t xml:space="preserve">Can be re-sent if not received</w:t>
      </w:r>
    </w:p>
    <w:p>
      <w:pPr>
        <w:pStyle w:val="ListParagraph"/>
        <w:numPr>
          <w:ilvl w:val="0"/>
          <w:numId w:val="1"/>
        </w:numPr>
        <w:spacing w:after="60"/>
      </w:pPr>
      <w:r>
        <w:rPr>
          <w:rFonts w:ascii="Calibri" w:cs="Calibri" w:eastAsia="Calibri" w:hAnsi="Calibri"/>
          <w:color w:val="333333"/>
          <w:sz w:val="22"/>
          <w:szCs w:val="22"/>
        </w:rPr>
        <w:t xml:space="preserve">Is rate-limited to prevent abuse (maximum 5 attempts per phone number per hour)</w:t>
      </w:r>
    </w:p>
    <w:p>
      <w:pPr>
        <w:spacing w:after="120" w:before="0"/>
        <w:jc w:val="both"/>
      </w:pPr>
      <w:r>
        <w:rPr>
          <w:rFonts w:ascii="Calibri" w:cs="Calibri" w:eastAsia="Calibri" w:hAnsi="Calibri"/>
          <w:b w:val="false"/>
          <w:bCs w:val="false"/>
          <w:i w:val="false"/>
          <w:iCs w:val="false"/>
          <w:color w:val="333333"/>
          <w:sz w:val="22"/>
          <w:szCs w:val="22"/>
        </w:rPr>
        <w:t xml:space="preserve">The customer enters the OTP in the application. The system verifies the code against the Twilio Verify service. If the code is correct, the customer proceeds to the next step. If incorrect, the customer may retry or request a new code.</w:t>
      </w:r>
    </w:p>
    <w:p>
      <w:pPr>
        <w:pStyle w:val="Heading3"/>
        <w:spacing w:after="120" w:before="300"/>
      </w:pPr>
      <w:r>
        <w:rPr>
          <w:rFonts w:ascii="Calibri" w:cs="Calibri" w:eastAsia="Calibri" w:hAnsi="Calibri"/>
          <w:b/>
          <w:bCs/>
          <w:color w:val="0A6E3C"/>
          <w:sz w:val="22"/>
          <w:szCs w:val="22"/>
        </w:rPr>
        <w:t xml:space="preserve">Step 5: PIN Creation</w:t>
      </w:r>
    </w:p>
    <w:p>
      <w:pPr>
        <w:spacing w:after="120" w:before="0"/>
        <w:jc w:val="both"/>
      </w:pPr>
      <w:r>
        <w:rPr>
          <w:rFonts w:ascii="Calibri" w:cs="Calibri" w:eastAsia="Calibri" w:hAnsi="Calibri"/>
          <w:b w:val="false"/>
          <w:bCs w:val="false"/>
          <w:i w:val="false"/>
          <w:iCs w:val="false"/>
          <w:color w:val="333333"/>
          <w:sz w:val="22"/>
          <w:szCs w:val="22"/>
        </w:rPr>
        <w:t xml:space="preserve">The customer creates a 4-digit Personal Identification Number (PIN) that will be used to authorize all financial transactions. The PIN:</w:t>
      </w:r>
    </w:p>
    <w:p>
      <w:pPr>
        <w:pStyle w:val="ListParagraph"/>
        <w:numPr>
          <w:ilvl w:val="0"/>
          <w:numId w:val="1"/>
        </w:numPr>
        <w:spacing w:after="60"/>
      </w:pPr>
      <w:r>
        <w:rPr>
          <w:rFonts w:ascii="Calibri" w:cs="Calibri" w:eastAsia="Calibri" w:hAnsi="Calibri"/>
          <w:color w:val="333333"/>
          <w:sz w:val="22"/>
          <w:szCs w:val="22"/>
        </w:rPr>
        <w:t xml:space="preserve">Must be exactly 4 digits</w:t>
      </w:r>
    </w:p>
    <w:p>
      <w:pPr>
        <w:pStyle w:val="ListParagraph"/>
        <w:numPr>
          <w:ilvl w:val="0"/>
          <w:numId w:val="1"/>
        </w:numPr>
        <w:spacing w:after="60"/>
      </w:pPr>
      <w:r>
        <w:rPr>
          <w:rFonts w:ascii="Calibri" w:cs="Calibri" w:eastAsia="Calibri" w:hAnsi="Calibri"/>
          <w:color w:val="333333"/>
          <w:sz w:val="22"/>
          <w:szCs w:val="22"/>
        </w:rPr>
        <w:t xml:space="preserve">Is converted to a secure password using a one-way transformation before storage</w:t>
      </w:r>
    </w:p>
    <w:p>
      <w:pPr>
        <w:pStyle w:val="ListParagraph"/>
        <w:numPr>
          <w:ilvl w:val="0"/>
          <w:numId w:val="1"/>
        </w:numPr>
        <w:spacing w:after="60"/>
      </w:pPr>
      <w:r>
        <w:rPr>
          <w:rFonts w:ascii="Calibri" w:cs="Calibri" w:eastAsia="Calibri" w:hAnsi="Calibri"/>
          <w:color w:val="333333"/>
          <w:sz w:val="22"/>
          <w:szCs w:val="22"/>
        </w:rPr>
        <w:t xml:space="preserve">Is never stored in plain text on the device or server</w:t>
      </w:r>
    </w:p>
    <w:p>
      <w:pPr>
        <w:pStyle w:val="ListParagraph"/>
        <w:numPr>
          <w:ilvl w:val="0"/>
          <w:numId w:val="1"/>
        </w:numPr>
        <w:spacing w:after="60"/>
      </w:pPr>
      <w:r>
        <w:rPr>
          <w:rFonts w:ascii="Calibri" w:cs="Calibri" w:eastAsia="Calibri" w:hAnsi="Calibri"/>
          <w:color w:val="333333"/>
          <w:sz w:val="22"/>
          <w:szCs w:val="22"/>
        </w:rPr>
        <w:t xml:space="preserve">Is stored securely using Expo SecureStore (device-level encryption) for session management</w:t>
      </w:r>
    </w:p>
    <w:p>
      <w:pPr>
        <w:spacing w:after="120" w:before="0"/>
        <w:jc w:val="both"/>
      </w:pPr>
      <w:r>
        <w:rPr>
          <w:rFonts w:ascii="Calibri" w:cs="Calibri" w:eastAsia="Calibri" w:hAnsi="Calibri"/>
          <w:b w:val="false"/>
          <w:bCs w:val="false"/>
          <w:i w:val="false"/>
          <w:iCs w:val="false"/>
          <w:color w:val="333333"/>
          <w:sz w:val="22"/>
          <w:szCs w:val="22"/>
        </w:rPr>
        <w:t xml:space="preserve">The customer confirms their PIN by entering it twice. If the entries match, the account creation proceeds.</w:t>
      </w:r>
    </w:p>
    <w:p>
      <w:pPr>
        <w:pStyle w:val="Heading3"/>
        <w:spacing w:after="120" w:before="300"/>
      </w:pPr>
      <w:r>
        <w:rPr>
          <w:rFonts w:ascii="Calibri" w:cs="Calibri" w:eastAsia="Calibri" w:hAnsi="Calibri"/>
          <w:b/>
          <w:bCs/>
          <w:color w:val="0A6E3C"/>
          <w:sz w:val="22"/>
          <w:szCs w:val="22"/>
        </w:rPr>
        <w:t xml:space="preserve">Step 6: Account Creation</w:t>
      </w:r>
    </w:p>
    <w:p>
      <w:pPr>
        <w:spacing w:after="120" w:before="0"/>
        <w:jc w:val="both"/>
      </w:pPr>
      <w:r>
        <w:rPr>
          <w:rFonts w:ascii="Calibri" w:cs="Calibri" w:eastAsia="Calibri" w:hAnsi="Calibri"/>
          <w:b w:val="false"/>
          <w:bCs w:val="false"/>
          <w:i w:val="false"/>
          <w:iCs w:val="false"/>
          <w:color w:val="333333"/>
          <w:sz w:val="22"/>
          <w:szCs w:val="22"/>
        </w:rPr>
        <w:t xml:space="preserve">Upon successful verification and PIN creation, the following occurs automatically:</w:t>
      </w:r>
    </w:p>
    <w:p>
      <w:pPr>
        <w:pStyle w:val="ListParagraph"/>
        <w:numPr>
          <w:ilvl w:val="0"/>
          <w:numId w:val="1"/>
        </w:numPr>
        <w:spacing w:after="60"/>
      </w:pPr>
      <w:r>
        <w:rPr>
          <w:rFonts w:ascii="Calibri" w:cs="Calibri" w:eastAsia="Calibri" w:hAnsi="Calibri"/>
          <w:color w:val="333333"/>
          <w:sz w:val="22"/>
          <w:szCs w:val="22"/>
        </w:rPr>
        <w:t xml:space="preserve">A user account is created in the Supabase Authentication system</w:t>
      </w:r>
    </w:p>
    <w:p>
      <w:pPr>
        <w:pStyle w:val="ListParagraph"/>
        <w:numPr>
          <w:ilvl w:val="0"/>
          <w:numId w:val="1"/>
        </w:numPr>
        <w:spacing w:after="60"/>
      </w:pPr>
      <w:r>
        <w:rPr>
          <w:rFonts w:ascii="Calibri" w:cs="Calibri" w:eastAsia="Calibri" w:hAnsi="Calibri"/>
          <w:color w:val="333333"/>
          <w:sz w:val="22"/>
          <w:szCs w:val="22"/>
        </w:rPr>
        <w:t xml:space="preserve">A user profile is created in the Monde database with the provided information</w:t>
      </w:r>
    </w:p>
    <w:p>
      <w:pPr>
        <w:pStyle w:val="ListParagraph"/>
        <w:numPr>
          <w:ilvl w:val="0"/>
          <w:numId w:val="1"/>
        </w:numPr>
        <w:spacing w:after="60"/>
      </w:pPr>
      <w:r>
        <w:rPr>
          <w:rFonts w:ascii="Calibri" w:cs="Calibri" w:eastAsia="Calibri" w:hAnsi="Calibri"/>
          <w:color w:val="333333"/>
          <w:sz w:val="22"/>
          <w:szCs w:val="22"/>
        </w:rPr>
        <w:t xml:space="preserve">A unique user handle is generated in the format @firstname.lastname (with uniqueness checks)</w:t>
      </w:r>
    </w:p>
    <w:p>
      <w:pPr>
        <w:pStyle w:val="ListParagraph"/>
        <w:numPr>
          <w:ilvl w:val="0"/>
          <w:numId w:val="1"/>
        </w:numPr>
        <w:spacing w:after="60"/>
      </w:pPr>
      <w:r>
        <w:rPr>
          <w:rFonts w:ascii="Calibri" w:cs="Calibri" w:eastAsia="Calibri" w:hAnsi="Calibri"/>
          <w:color w:val="333333"/>
          <w:sz w:val="22"/>
          <w:szCs w:val="22"/>
        </w:rPr>
        <w:t xml:space="preserve">The account is assigned the default Copper tier (K100,000 balance limit, K20,000 daily limit)</w:t>
      </w:r>
    </w:p>
    <w:p>
      <w:pPr>
        <w:pStyle w:val="ListParagraph"/>
        <w:numPr>
          <w:ilvl w:val="0"/>
          <w:numId w:val="1"/>
        </w:numPr>
        <w:spacing w:after="60"/>
      </w:pPr>
      <w:r>
        <w:rPr>
          <w:rFonts w:ascii="Calibri" w:cs="Calibri" w:eastAsia="Calibri" w:hAnsi="Calibri"/>
          <w:color w:val="333333"/>
          <w:sz w:val="22"/>
          <w:szCs w:val="22"/>
        </w:rPr>
        <w:t xml:space="preserve">The account starts with a zero balance</w:t>
      </w:r>
    </w:p>
    <w:p>
      <w:pPr>
        <w:pStyle w:val="ListParagraph"/>
        <w:numPr>
          <w:ilvl w:val="0"/>
          <w:numId w:val="1"/>
        </w:numPr>
        <w:spacing w:after="60"/>
      </w:pPr>
      <w:r>
        <w:rPr>
          <w:rFonts w:ascii="Calibri" w:cs="Calibri" w:eastAsia="Calibri" w:hAnsi="Calibri"/>
          <w:color w:val="333333"/>
          <w:sz w:val="22"/>
          <w:szCs w:val="22"/>
        </w:rPr>
        <w:t xml:space="preserve">The customer is redirected to the main application dashboard</w:t>
      </w:r>
    </w:p>
    <w:p>
      <w:r>
        <w:br w:type="page"/>
      </w:r>
    </w:p>
    <w:p>
      <w:pPr>
        <w:pStyle w:val="Heading2"/>
        <w:spacing w:after="120" w:before="300"/>
      </w:pPr>
      <w:r>
        <w:rPr>
          <w:rFonts w:ascii="Calibri" w:cs="Calibri" w:eastAsia="Calibri" w:hAnsi="Calibri"/>
          <w:b/>
          <w:bCs/>
          <w:color w:val="0A6E3C"/>
          <w:sz w:val="26"/>
          <w:szCs w:val="26"/>
        </w:rPr>
        <w:t xml:space="preserve">2.3 Onboarding Process Flow Diagram</w:t>
      </w:r>
    </w:p>
    <w:p>
      <w:pPr>
        <w:spacing w:after="120" w:before="0"/>
        <w:jc w:val="both"/>
      </w:pPr>
      <w:r>
        <w:rPr>
          <w:rFonts w:ascii="Calibri" w:cs="Calibri" w:eastAsia="Calibri" w:hAnsi="Calibri"/>
          <w:b/>
          <w:bCs/>
          <w:i/>
          <w:iCs/>
          <w:color w:val="333333"/>
          <w:sz w:val="22"/>
          <w:szCs w:val="22"/>
        </w:rPr>
        <w:t xml:space="preserve">[PROCESS FLOW DIAGRAM]</w:t>
      </w:r>
    </w:p>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Customer Downloads App</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        v</w:t>
      </w:r>
    </w:p>
    <w:p>
      <w:pPr>
        <w:spacing w:after="120" w:before="0"/>
        <w:jc w:val="both"/>
      </w:pPr>
      <w:r>
        <w:rPr>
          <w:rFonts w:ascii="Calibri" w:cs="Calibri" w:eastAsia="Calibri" w:hAnsi="Calibri"/>
          <w:b w:val="false"/>
          <w:bCs w:val="false"/>
          <w:i w:val="false"/>
          <w:iCs w:val="false"/>
          <w:color w:val="333333"/>
          <w:sz w:val="22"/>
          <w:szCs w:val="22"/>
        </w:rPr>
        <w:t xml:space="preserve">Welcome Screen (Feature Overview)</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        v</w:t>
      </w:r>
    </w:p>
    <w:p>
      <w:pPr>
        <w:spacing w:after="120" w:before="0"/>
        <w:jc w:val="both"/>
      </w:pPr>
      <w:r>
        <w:rPr>
          <w:rFonts w:ascii="Calibri" w:cs="Calibri" w:eastAsia="Calibri" w:hAnsi="Calibri"/>
          <w:b w:val="false"/>
          <w:bCs w:val="false"/>
          <w:i w:val="false"/>
          <w:iCs w:val="false"/>
          <w:color w:val="333333"/>
          <w:sz w:val="22"/>
          <w:szCs w:val="22"/>
        </w:rPr>
        <w:t xml:space="preserve">Select Mobile Money Provider</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        v</w:t>
      </w:r>
    </w:p>
    <w:p>
      <w:pPr>
        <w:spacing w:after="120" w:before="0"/>
        <w:jc w:val="both"/>
      </w:pPr>
      <w:r>
        <w:rPr>
          <w:rFonts w:ascii="Calibri" w:cs="Calibri" w:eastAsia="Calibri" w:hAnsi="Calibri"/>
          <w:b w:val="false"/>
          <w:bCs w:val="false"/>
          <w:i w:val="false"/>
          <w:iCs w:val="false"/>
          <w:color w:val="333333"/>
          <w:sz w:val="22"/>
          <w:szCs w:val="22"/>
        </w:rPr>
        <w:t xml:space="preserve">Enter Full Name + Phone Number</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        v</w:t>
      </w:r>
    </w:p>
    <w:p>
      <w:pPr>
        <w:spacing w:after="120" w:before="0"/>
        <w:jc w:val="both"/>
      </w:pPr>
      <w:r>
        <w:rPr>
          <w:rFonts w:ascii="Calibri" w:cs="Calibri" w:eastAsia="Calibri" w:hAnsi="Calibri"/>
          <w:b w:val="false"/>
          <w:bCs w:val="false"/>
          <w:i w:val="false"/>
          <w:iCs w:val="false"/>
          <w:color w:val="333333"/>
          <w:sz w:val="22"/>
          <w:szCs w:val="22"/>
        </w:rPr>
        <w:t xml:space="preserve">Phone Validation (prefix check)</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    [Valid?] --No--&gt; Show Error, Retry</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       Yes</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        v</w:t>
      </w:r>
    </w:p>
    <w:p>
      <w:pPr>
        <w:spacing w:after="120" w:before="0"/>
        <w:jc w:val="both"/>
      </w:pPr>
      <w:r>
        <w:rPr>
          <w:rFonts w:ascii="Calibri" w:cs="Calibri" w:eastAsia="Calibri" w:hAnsi="Calibri"/>
          <w:b w:val="false"/>
          <w:bCs w:val="false"/>
          <w:i w:val="false"/>
          <w:iCs w:val="false"/>
          <w:color w:val="333333"/>
          <w:sz w:val="22"/>
          <w:szCs w:val="22"/>
        </w:rPr>
        <w:t xml:space="preserve">Send OTP via SMS (Twilio Verify)</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        v</w:t>
      </w:r>
    </w:p>
    <w:p>
      <w:pPr>
        <w:spacing w:after="120" w:before="0"/>
        <w:jc w:val="both"/>
      </w:pPr>
      <w:r>
        <w:rPr>
          <w:rFonts w:ascii="Calibri" w:cs="Calibri" w:eastAsia="Calibri" w:hAnsi="Calibri"/>
          <w:b w:val="false"/>
          <w:bCs w:val="false"/>
          <w:i w:val="false"/>
          <w:iCs w:val="false"/>
          <w:color w:val="333333"/>
          <w:sz w:val="22"/>
          <w:szCs w:val="22"/>
        </w:rPr>
        <w:t xml:space="preserve">Customer Enters OTP</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    [Correct?] --No--&gt; Retry (max 5 attempts)</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       Yes</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        v</w:t>
      </w:r>
    </w:p>
    <w:p>
      <w:pPr>
        <w:spacing w:after="120" w:before="0"/>
        <w:jc w:val="both"/>
      </w:pPr>
      <w:r>
        <w:rPr>
          <w:rFonts w:ascii="Calibri" w:cs="Calibri" w:eastAsia="Calibri" w:hAnsi="Calibri"/>
          <w:b w:val="false"/>
          <w:bCs w:val="false"/>
          <w:i w:val="false"/>
          <w:iCs w:val="false"/>
          <w:color w:val="333333"/>
          <w:sz w:val="22"/>
          <w:szCs w:val="22"/>
        </w:rPr>
        <w:t xml:space="preserve">Create 4-Digit PIN (enter + confirm)</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        v</w:t>
      </w:r>
    </w:p>
    <w:p>
      <w:pPr>
        <w:spacing w:after="120" w:before="0"/>
        <w:jc w:val="both"/>
      </w:pPr>
      <w:r>
        <w:rPr>
          <w:rFonts w:ascii="Calibri" w:cs="Calibri" w:eastAsia="Calibri" w:hAnsi="Calibri"/>
          <w:b w:val="false"/>
          <w:bCs w:val="false"/>
          <w:i w:val="false"/>
          <w:iCs w:val="false"/>
          <w:color w:val="333333"/>
          <w:sz w:val="22"/>
          <w:szCs w:val="22"/>
        </w:rPr>
        <w:t xml:space="preserve">Create Account + Profile + Handle</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        v</w:t>
      </w:r>
    </w:p>
    <w:p>
      <w:pPr>
        <w:spacing w:after="120" w:before="0"/>
        <w:jc w:val="both"/>
      </w:pPr>
      <w:r>
        <w:rPr>
          <w:rFonts w:ascii="Calibri" w:cs="Calibri" w:eastAsia="Calibri" w:hAnsi="Calibri"/>
          <w:b w:val="false"/>
          <w:bCs w:val="false"/>
          <w:i w:val="false"/>
          <w:iCs w:val="false"/>
          <w:color w:val="333333"/>
          <w:sz w:val="22"/>
          <w:szCs w:val="22"/>
        </w:rPr>
        <w:t xml:space="preserve">Assign Copper Tier (default limits)</w:t>
      </w:r>
    </w:p>
    <w:p>
      <w:pPr>
        <w:spacing w:after="120" w:before="0"/>
        <w:jc w:val="both"/>
      </w:pPr>
      <w:r>
        <w:rPr>
          <w:rFonts w:ascii="Calibri" w:cs="Calibri" w:eastAsia="Calibri" w:hAnsi="Calibri"/>
          <w:b w:val="false"/>
          <w:bCs w:val="false"/>
          <w:i w:val="false"/>
          <w:iCs w:val="false"/>
          <w:color w:val="333333"/>
          <w:sz w:val="22"/>
          <w:szCs w:val="22"/>
        </w:rPr>
        <w:t xml:space="preserve">        |</w:t>
      </w:r>
    </w:p>
    <w:p>
      <w:pPr>
        <w:spacing w:after="120" w:before="0"/>
        <w:jc w:val="both"/>
      </w:pPr>
      <w:r>
        <w:rPr>
          <w:rFonts w:ascii="Calibri" w:cs="Calibri" w:eastAsia="Calibri" w:hAnsi="Calibri"/>
          <w:b w:val="false"/>
          <w:bCs w:val="false"/>
          <w:i w:val="false"/>
          <w:iCs w:val="false"/>
          <w:color w:val="333333"/>
          <w:sz w:val="22"/>
          <w:szCs w:val="22"/>
        </w:rPr>
        <w:t xml:space="preserve">        v</w:t>
      </w:r>
    </w:p>
    <w:p>
      <w:pPr>
        <w:spacing w:after="120" w:before="0"/>
        <w:jc w:val="both"/>
      </w:pPr>
      <w:r>
        <w:rPr>
          <w:rFonts w:ascii="Calibri" w:cs="Calibri" w:eastAsia="Calibri" w:hAnsi="Calibri"/>
          <w:b w:val="false"/>
          <w:bCs w:val="false"/>
          <w:i w:val="false"/>
          <w:iCs w:val="false"/>
          <w:color w:val="333333"/>
          <w:sz w:val="22"/>
          <w:szCs w:val="22"/>
        </w:rPr>
        <w:t xml:space="preserve">Redirect to Dashboard</w:t>
      </w:r>
    </w:p>
    <w:p>
      <w:pPr>
        <w:spacing w:after="200"/>
      </w:pPr>
    </w:p>
    <w:p>
      <w:pPr>
        <w:spacing w:after="120" w:before="0"/>
        <w:jc w:val="both"/>
      </w:pPr>
      <w:r>
        <w:rPr>
          <w:rFonts w:ascii="Calibri" w:cs="Calibri" w:eastAsia="Calibri" w:hAnsi="Calibri"/>
          <w:b w:val="false"/>
          <w:bCs w:val="false"/>
          <w:i/>
          <w:iCs/>
          <w:color w:val="333333"/>
          <w:sz w:val="22"/>
          <w:szCs w:val="22"/>
        </w:rPr>
        <w:t xml:space="preserve">Note: A formal visual process flow diagram will be prepared for the Bank of Zambia submission.</w:t>
      </w:r>
    </w:p>
    <w:p>
      <w:r>
        <w:br w:type="page"/>
      </w:r>
    </w:p>
    <w:p>
      <w:pPr>
        <w:pStyle w:val="Heading1"/>
        <w:spacing w:after="120" w:before="300"/>
      </w:pPr>
      <w:r>
        <w:rPr>
          <w:rFonts w:ascii="Calibri" w:cs="Calibri" w:eastAsia="Calibri" w:hAnsi="Calibri"/>
          <w:b/>
          <w:bCs/>
          <w:color w:val="0A6E3C"/>
          <w:sz w:val="32"/>
          <w:szCs w:val="32"/>
        </w:rPr>
        <w:t xml:space="preserve">3. CUSTOMER DUE DILIGENCE (CDD) PROCEDURES</w:t>
      </w:r>
    </w:p>
    <w:p>
      <w:pPr>
        <w:pStyle w:val="Heading2"/>
        <w:spacing w:after="120" w:before="300"/>
      </w:pPr>
      <w:r>
        <w:rPr>
          <w:rFonts w:ascii="Calibri" w:cs="Calibri" w:eastAsia="Calibri" w:hAnsi="Calibri"/>
          <w:b/>
          <w:bCs/>
          <w:color w:val="0A6E3C"/>
          <w:sz w:val="26"/>
          <w:szCs w:val="26"/>
        </w:rPr>
        <w:t xml:space="preserve">3.1 CDD Framework</w:t>
      </w:r>
    </w:p>
    <w:p>
      <w:pPr>
        <w:spacing w:after="120" w:before="0"/>
        <w:jc w:val="both"/>
      </w:pPr>
      <w:r>
        <w:rPr>
          <w:rFonts w:ascii="Calibri" w:cs="Calibri" w:eastAsia="Calibri" w:hAnsi="Calibri"/>
          <w:b w:val="false"/>
          <w:bCs w:val="false"/>
          <w:i w:val="false"/>
          <w:iCs w:val="false"/>
          <w:color w:val="333333"/>
          <w:sz w:val="22"/>
          <w:szCs w:val="22"/>
        </w:rPr>
        <w:t xml:space="preserve">Monde implements a risk-based approach to Customer Due Diligence (CDD) in line with the Bank of Zambia Anti-Money Laundering Directives and the Financial Intelligence Centre Act. The CDD framework operates at three levels:</w:t>
      </w:r>
    </w:p>
    <w:p>
      <w:pPr>
        <w:pStyle w:val="Heading3"/>
        <w:spacing w:after="120" w:before="300"/>
      </w:pPr>
      <w:r>
        <w:rPr>
          <w:rFonts w:ascii="Calibri" w:cs="Calibri" w:eastAsia="Calibri" w:hAnsi="Calibri"/>
          <w:b/>
          <w:bCs/>
          <w:color w:val="0A6E3C"/>
          <w:sz w:val="22"/>
          <w:szCs w:val="22"/>
        </w:rPr>
        <w:t xml:space="preserve">3.1.1 Simplified Due Diligence (SDD) - Copper Tier</w:t>
      </w:r>
    </w:p>
    <w:p>
      <w:pPr>
        <w:spacing w:after="120" w:before="0"/>
        <w:jc w:val="both"/>
      </w:pPr>
      <w:r>
        <w:rPr>
          <w:rFonts w:ascii="Calibri" w:cs="Calibri" w:eastAsia="Calibri" w:hAnsi="Calibri"/>
          <w:b w:val="false"/>
          <w:bCs w:val="false"/>
          <w:i w:val="false"/>
          <w:iCs w:val="false"/>
          <w:color w:val="333333"/>
          <w:sz w:val="22"/>
          <w:szCs w:val="22"/>
        </w:rPr>
        <w:t xml:space="preserve">Applied to all new customers at onboarding. This level is appropriate for low-risk, low-value accounts with restricted transaction limits.</w:t>
      </w:r>
    </w:p>
    <w:p>
      <w:pPr>
        <w:spacing w:after="120" w:before="0"/>
        <w:jc w:val="both"/>
      </w:pPr>
      <w:r>
        <w:rPr>
          <w:rFonts w:ascii="Calibri" w:cs="Calibri" w:eastAsia="Calibri" w:hAnsi="Calibri"/>
          <w:b w:val="false"/>
          <w:bCs w:val="false"/>
          <w:i w:val="false"/>
          <w:iCs w:val="false"/>
          <w:color w:val="333333"/>
          <w:sz w:val="22"/>
          <w:szCs w:val="22"/>
        </w:rPr>
        <w:t xml:space="preserve">Information collected:</w:t>
      </w:r>
    </w:p>
    <w:p>
      <w:pPr>
        <w:pStyle w:val="ListParagraph"/>
        <w:numPr>
          <w:ilvl w:val="0"/>
          <w:numId w:val="1"/>
        </w:numPr>
        <w:spacing w:after="60"/>
      </w:pPr>
      <w:r>
        <w:rPr>
          <w:rFonts w:ascii="Calibri" w:cs="Calibri" w:eastAsia="Calibri" w:hAnsi="Calibri"/>
          <w:color w:val="333333"/>
          <w:sz w:val="22"/>
          <w:szCs w:val="22"/>
        </w:rPr>
        <w:t xml:space="preserve">Full name (self-declared)</w:t>
      </w:r>
    </w:p>
    <w:p>
      <w:pPr>
        <w:pStyle w:val="ListParagraph"/>
        <w:numPr>
          <w:ilvl w:val="0"/>
          <w:numId w:val="1"/>
        </w:numPr>
        <w:spacing w:after="60"/>
      </w:pPr>
      <w:r>
        <w:rPr>
          <w:rFonts w:ascii="Calibri" w:cs="Calibri" w:eastAsia="Calibri" w:hAnsi="Calibri"/>
          <w:color w:val="333333"/>
          <w:sz w:val="22"/>
          <w:szCs w:val="22"/>
        </w:rPr>
        <w:t xml:space="preserve">Phone number (verified via OTP)</w:t>
      </w:r>
    </w:p>
    <w:p>
      <w:pPr>
        <w:pStyle w:val="ListParagraph"/>
        <w:numPr>
          <w:ilvl w:val="0"/>
          <w:numId w:val="1"/>
        </w:numPr>
        <w:spacing w:after="60"/>
      </w:pPr>
      <w:r>
        <w:rPr>
          <w:rFonts w:ascii="Calibri" w:cs="Calibri" w:eastAsia="Calibri" w:hAnsi="Calibri"/>
          <w:color w:val="333333"/>
          <w:sz w:val="22"/>
          <w:szCs w:val="22"/>
        </w:rPr>
        <w:t xml:space="preserve">Mobile money provider</w:t>
      </w:r>
    </w:p>
    <w:p>
      <w:pPr>
        <w:spacing w:after="120" w:before="0"/>
        <w:jc w:val="both"/>
      </w:pPr>
      <w:r>
        <w:rPr>
          <w:rFonts w:ascii="Calibri" w:cs="Calibri" w:eastAsia="Calibri" w:hAnsi="Calibri"/>
          <w:b w:val="false"/>
          <w:bCs w:val="false"/>
          <w:i w:val="false"/>
          <w:iCs w:val="false"/>
          <w:color w:val="333333"/>
          <w:sz w:val="22"/>
          <w:szCs w:val="22"/>
        </w:rPr>
        <w:t xml:space="preserve">Controls applied:</w:t>
      </w:r>
    </w:p>
    <w:p>
      <w:pPr>
        <w:pStyle w:val="ListParagraph"/>
        <w:numPr>
          <w:ilvl w:val="0"/>
          <w:numId w:val="1"/>
        </w:numPr>
        <w:spacing w:after="60"/>
      </w:pPr>
      <w:r>
        <w:rPr>
          <w:rFonts w:ascii="Calibri" w:cs="Calibri" w:eastAsia="Calibri" w:hAnsi="Calibri"/>
          <w:color w:val="333333"/>
          <w:sz w:val="22"/>
          <w:szCs w:val="22"/>
        </w:rPr>
        <w:t xml:space="preserve">Maximum wallet balance: K100,000</w:t>
      </w:r>
    </w:p>
    <w:p>
      <w:pPr>
        <w:pStyle w:val="ListParagraph"/>
        <w:numPr>
          <w:ilvl w:val="0"/>
          <w:numId w:val="1"/>
        </w:numPr>
        <w:spacing w:after="60"/>
      </w:pPr>
      <w:r>
        <w:rPr>
          <w:rFonts w:ascii="Calibri" w:cs="Calibri" w:eastAsia="Calibri" w:hAnsi="Calibri"/>
          <w:color w:val="333333"/>
          <w:sz w:val="22"/>
          <w:szCs w:val="22"/>
        </w:rPr>
        <w:t xml:space="preserve">Maximum daily transactions: K20,000</w:t>
      </w:r>
    </w:p>
    <w:p>
      <w:pPr>
        <w:pStyle w:val="ListParagraph"/>
        <w:numPr>
          <w:ilvl w:val="0"/>
          <w:numId w:val="1"/>
        </w:numPr>
        <w:spacing w:after="60"/>
      </w:pPr>
      <w:r>
        <w:rPr>
          <w:rFonts w:ascii="Calibri" w:cs="Calibri" w:eastAsia="Calibri" w:hAnsi="Calibri"/>
          <w:color w:val="333333"/>
          <w:sz w:val="22"/>
          <w:szCs w:val="22"/>
        </w:rPr>
        <w:t xml:space="preserve">Phone number uniqueness check (one account per phone number)</w:t>
      </w:r>
    </w:p>
    <w:p>
      <w:pPr>
        <w:pStyle w:val="ListParagraph"/>
        <w:numPr>
          <w:ilvl w:val="0"/>
          <w:numId w:val="1"/>
        </w:numPr>
        <w:spacing w:after="60"/>
      </w:pPr>
      <w:r>
        <w:rPr>
          <w:rFonts w:ascii="Calibri" w:cs="Calibri" w:eastAsia="Calibri" w:hAnsi="Calibri"/>
          <w:color w:val="333333"/>
          <w:sz w:val="22"/>
          <w:szCs w:val="22"/>
        </w:rPr>
        <w:t xml:space="preserve">Account monitoring for suspicious activity</w:t>
      </w:r>
    </w:p>
    <w:p>
      <w:pPr>
        <w:pStyle w:val="Heading3"/>
        <w:spacing w:after="120" w:before="300"/>
      </w:pPr>
      <w:r>
        <w:rPr>
          <w:rFonts w:ascii="Calibri" w:cs="Calibri" w:eastAsia="Calibri" w:hAnsi="Calibri"/>
          <w:b/>
          <w:bCs/>
          <w:color w:val="0A6E3C"/>
          <w:sz w:val="22"/>
          <w:szCs w:val="22"/>
        </w:rPr>
        <w:t xml:space="preserve">3.1.2 Standard Due Diligence (CDD) - Gold Tier</w:t>
      </w:r>
    </w:p>
    <w:p>
      <w:pPr>
        <w:spacing w:after="120" w:before="0"/>
        <w:jc w:val="both"/>
      </w:pPr>
      <w:r>
        <w:rPr>
          <w:rFonts w:ascii="Calibri" w:cs="Calibri" w:eastAsia="Calibri" w:hAnsi="Calibri"/>
          <w:b w:val="false"/>
          <w:bCs w:val="false"/>
          <w:i w:val="false"/>
          <w:iCs w:val="false"/>
          <w:color w:val="333333"/>
          <w:sz w:val="22"/>
          <w:szCs w:val="22"/>
        </w:rPr>
        <w:t xml:space="preserve">Applied when a customer requests a tier upgrade or when risk indicators trigger enhanced review. Additional information required:</w:t>
      </w:r>
    </w:p>
    <w:p>
      <w:pPr>
        <w:pStyle w:val="ListParagraph"/>
        <w:numPr>
          <w:ilvl w:val="0"/>
          <w:numId w:val="1"/>
        </w:numPr>
        <w:spacing w:after="60"/>
      </w:pPr>
      <w:r>
        <w:rPr>
          <w:rFonts w:ascii="Calibri" w:cs="Calibri" w:eastAsia="Calibri" w:hAnsi="Calibri"/>
          <w:color w:val="333333"/>
          <w:sz w:val="22"/>
          <w:szCs w:val="22"/>
        </w:rPr>
        <w:t xml:space="preserve">National Registration Card (NRC) or passport number</w:t>
      </w:r>
    </w:p>
    <w:p>
      <w:pPr>
        <w:pStyle w:val="ListParagraph"/>
        <w:numPr>
          <w:ilvl w:val="0"/>
          <w:numId w:val="1"/>
        </w:numPr>
        <w:spacing w:after="60"/>
      </w:pPr>
      <w:r>
        <w:rPr>
          <w:rFonts w:ascii="Calibri" w:cs="Calibri" w:eastAsia="Calibri" w:hAnsi="Calibri"/>
          <w:color w:val="333333"/>
          <w:sz w:val="22"/>
          <w:szCs w:val="22"/>
        </w:rPr>
        <w:t xml:space="preserve">Date of birth</w:t>
      </w:r>
    </w:p>
    <w:p>
      <w:pPr>
        <w:pStyle w:val="ListParagraph"/>
        <w:numPr>
          <w:ilvl w:val="0"/>
          <w:numId w:val="1"/>
        </w:numPr>
        <w:spacing w:after="60"/>
      </w:pPr>
      <w:r>
        <w:rPr>
          <w:rFonts w:ascii="Calibri" w:cs="Calibri" w:eastAsia="Calibri" w:hAnsi="Calibri"/>
          <w:color w:val="333333"/>
          <w:sz w:val="22"/>
          <w:szCs w:val="22"/>
        </w:rPr>
        <w:t xml:space="preserve">Physical address</w:t>
      </w:r>
    </w:p>
    <w:p>
      <w:pPr>
        <w:pStyle w:val="ListParagraph"/>
        <w:numPr>
          <w:ilvl w:val="0"/>
          <w:numId w:val="1"/>
        </w:numPr>
        <w:spacing w:after="60"/>
      </w:pPr>
      <w:r>
        <w:rPr>
          <w:rFonts w:ascii="Calibri" w:cs="Calibri" w:eastAsia="Calibri" w:hAnsi="Calibri"/>
          <w:color w:val="333333"/>
          <w:sz w:val="22"/>
          <w:szCs w:val="22"/>
        </w:rPr>
        <w:t xml:space="preserve">Source of funds declaration</w:t>
      </w:r>
    </w:p>
    <w:p>
      <w:pPr>
        <w:spacing w:after="120" w:before="0"/>
        <w:jc w:val="both"/>
      </w:pPr>
      <w:r>
        <w:rPr>
          <w:rFonts w:ascii="Calibri" w:cs="Calibri" w:eastAsia="Calibri" w:hAnsi="Calibri"/>
          <w:b w:val="false"/>
          <w:bCs w:val="false"/>
          <w:i w:val="false"/>
          <w:iCs w:val="false"/>
          <w:color w:val="333333"/>
          <w:sz w:val="22"/>
          <w:szCs w:val="22"/>
        </w:rPr>
        <w:t xml:space="preserve">Controls applied:</w:t>
      </w:r>
    </w:p>
    <w:p>
      <w:pPr>
        <w:pStyle w:val="ListParagraph"/>
        <w:numPr>
          <w:ilvl w:val="0"/>
          <w:numId w:val="1"/>
        </w:numPr>
        <w:spacing w:after="60"/>
      </w:pPr>
      <w:r>
        <w:rPr>
          <w:rFonts w:ascii="Calibri" w:cs="Calibri" w:eastAsia="Calibri" w:hAnsi="Calibri"/>
          <w:color w:val="333333"/>
          <w:sz w:val="22"/>
          <w:szCs w:val="22"/>
        </w:rPr>
        <w:t xml:space="preserve">Maximum wallet balance: K250,000</w:t>
      </w:r>
    </w:p>
    <w:p>
      <w:pPr>
        <w:pStyle w:val="ListParagraph"/>
        <w:numPr>
          <w:ilvl w:val="0"/>
          <w:numId w:val="1"/>
        </w:numPr>
        <w:spacing w:after="60"/>
      </w:pPr>
      <w:r>
        <w:rPr>
          <w:rFonts w:ascii="Calibri" w:cs="Calibri" w:eastAsia="Calibri" w:hAnsi="Calibri"/>
          <w:color w:val="333333"/>
          <w:sz w:val="22"/>
          <w:szCs w:val="22"/>
        </w:rPr>
        <w:t xml:space="preserve">Maximum daily transactions: K50,000</w:t>
      </w:r>
    </w:p>
    <w:p>
      <w:pPr>
        <w:pStyle w:val="ListParagraph"/>
        <w:numPr>
          <w:ilvl w:val="0"/>
          <w:numId w:val="1"/>
        </w:numPr>
        <w:spacing w:after="60"/>
      </w:pPr>
      <w:r>
        <w:rPr>
          <w:rFonts w:ascii="Calibri" w:cs="Calibri" w:eastAsia="Calibri" w:hAnsi="Calibri"/>
          <w:color w:val="333333"/>
          <w:sz w:val="22"/>
          <w:szCs w:val="22"/>
        </w:rPr>
        <w:t xml:space="preserve">Identity verification against provided documents</w:t>
      </w:r>
    </w:p>
    <w:p>
      <w:pPr>
        <w:pStyle w:val="ListParagraph"/>
        <w:numPr>
          <w:ilvl w:val="0"/>
          <w:numId w:val="1"/>
        </w:numPr>
        <w:spacing w:after="60"/>
      </w:pPr>
      <w:r>
        <w:rPr>
          <w:rFonts w:ascii="Calibri" w:cs="Calibri" w:eastAsia="Calibri" w:hAnsi="Calibri"/>
          <w:color w:val="333333"/>
          <w:sz w:val="22"/>
          <w:szCs w:val="22"/>
        </w:rPr>
        <w:t xml:space="preserve">Transaction monitoring with lower thresholds</w:t>
      </w:r>
    </w:p>
    <w:p>
      <w:pPr>
        <w:pStyle w:val="Heading3"/>
        <w:spacing w:after="120" w:before="300"/>
      </w:pPr>
      <w:r>
        <w:rPr>
          <w:rFonts w:ascii="Calibri" w:cs="Calibri" w:eastAsia="Calibri" w:hAnsi="Calibri"/>
          <w:b/>
          <w:bCs/>
          <w:color w:val="0A6E3C"/>
          <w:sz w:val="22"/>
          <w:szCs w:val="22"/>
        </w:rPr>
        <w:t xml:space="preserve">3.1.3 Enhanced Due Diligence (EDD) - Platinum Tier</w:t>
      </w:r>
    </w:p>
    <w:p>
      <w:pPr>
        <w:spacing w:after="120" w:before="0"/>
        <w:jc w:val="both"/>
      </w:pPr>
      <w:r>
        <w:rPr>
          <w:rFonts w:ascii="Calibri" w:cs="Calibri" w:eastAsia="Calibri" w:hAnsi="Calibri"/>
          <w:b w:val="false"/>
          <w:bCs w:val="false"/>
          <w:i w:val="false"/>
          <w:iCs w:val="false"/>
          <w:color w:val="333333"/>
          <w:sz w:val="22"/>
          <w:szCs w:val="22"/>
        </w:rPr>
        <w:t xml:space="preserve">Applied to high-value accounts, politically exposed persons (PEPs), and accounts flagged for enhanced scrutiny.</w:t>
      </w:r>
    </w:p>
    <w:p>
      <w:pPr>
        <w:pStyle w:val="ListParagraph"/>
        <w:numPr>
          <w:ilvl w:val="0"/>
          <w:numId w:val="1"/>
        </w:numPr>
        <w:spacing w:after="60"/>
      </w:pPr>
      <w:r>
        <w:rPr>
          <w:rFonts w:ascii="Calibri" w:cs="Calibri" w:eastAsia="Calibri" w:hAnsi="Calibri"/>
          <w:color w:val="333333"/>
          <w:sz w:val="22"/>
          <w:szCs w:val="22"/>
        </w:rPr>
        <w:t xml:space="preserve">All Standard CDD requirements plus:</w:t>
      </w:r>
    </w:p>
    <w:p>
      <w:pPr>
        <w:pStyle w:val="ListParagraph"/>
        <w:numPr>
          <w:ilvl w:val="0"/>
          <w:numId w:val="1"/>
        </w:numPr>
        <w:spacing w:after="60"/>
      </w:pPr>
      <w:r>
        <w:rPr>
          <w:rFonts w:ascii="Calibri" w:cs="Calibri" w:eastAsia="Calibri" w:hAnsi="Calibri"/>
          <w:color w:val="333333"/>
          <w:sz w:val="22"/>
          <w:szCs w:val="22"/>
        </w:rPr>
        <w:t xml:space="preserve">Proof of income or source of wealth</w:t>
      </w:r>
    </w:p>
    <w:p>
      <w:pPr>
        <w:pStyle w:val="ListParagraph"/>
        <w:numPr>
          <w:ilvl w:val="0"/>
          <w:numId w:val="1"/>
        </w:numPr>
        <w:spacing w:after="60"/>
      </w:pPr>
      <w:r>
        <w:rPr>
          <w:rFonts w:ascii="Calibri" w:cs="Calibri" w:eastAsia="Calibri" w:hAnsi="Calibri"/>
          <w:color w:val="333333"/>
          <w:sz w:val="22"/>
          <w:szCs w:val="22"/>
        </w:rPr>
        <w:t xml:space="preserve">Enhanced monitoring with manual review triggers</w:t>
      </w:r>
    </w:p>
    <w:p>
      <w:pPr>
        <w:pStyle w:val="ListParagraph"/>
        <w:numPr>
          <w:ilvl w:val="0"/>
          <w:numId w:val="1"/>
        </w:numPr>
        <w:spacing w:after="60"/>
      </w:pPr>
      <w:r>
        <w:rPr>
          <w:rFonts w:ascii="Calibri" w:cs="Calibri" w:eastAsia="Calibri" w:hAnsi="Calibri"/>
          <w:color w:val="333333"/>
          <w:sz w:val="22"/>
          <w:szCs w:val="22"/>
        </w:rPr>
        <w:t xml:space="preserve">Periodic review of account activity (quarterly)</w:t>
      </w:r>
    </w:p>
    <w:p>
      <w:pPr>
        <w:pStyle w:val="ListParagraph"/>
        <w:numPr>
          <w:ilvl w:val="0"/>
          <w:numId w:val="1"/>
        </w:numPr>
        <w:spacing w:after="60"/>
      </w:pPr>
      <w:r>
        <w:rPr>
          <w:rFonts w:ascii="Calibri" w:cs="Calibri" w:eastAsia="Calibri" w:hAnsi="Calibri"/>
          <w:color w:val="333333"/>
          <w:sz w:val="22"/>
          <w:szCs w:val="22"/>
        </w:rPr>
        <w:t xml:space="preserve">Senior management approval for tier upgrade</w:t>
      </w:r>
    </w:p>
    <w:p>
      <w:pPr>
        <w:spacing w:after="120" w:before="0"/>
        <w:jc w:val="both"/>
      </w:pPr>
      <w:r>
        <w:rPr>
          <w:rFonts w:ascii="Calibri" w:cs="Calibri" w:eastAsia="Calibri" w:hAnsi="Calibri"/>
          <w:b w:val="false"/>
          <w:bCs w:val="false"/>
          <w:i w:val="false"/>
          <w:iCs w:val="false"/>
          <w:color w:val="333333"/>
          <w:sz w:val="22"/>
          <w:szCs w:val="22"/>
        </w:rPr>
        <w:t xml:space="preserve">Controls applied:</w:t>
      </w:r>
    </w:p>
    <w:p>
      <w:pPr>
        <w:pStyle w:val="ListParagraph"/>
        <w:numPr>
          <w:ilvl w:val="0"/>
          <w:numId w:val="1"/>
        </w:numPr>
        <w:spacing w:after="60"/>
      </w:pPr>
      <w:r>
        <w:rPr>
          <w:rFonts w:ascii="Calibri" w:cs="Calibri" w:eastAsia="Calibri" w:hAnsi="Calibri"/>
          <w:color w:val="333333"/>
          <w:sz w:val="22"/>
          <w:szCs w:val="22"/>
        </w:rPr>
        <w:t xml:space="preserve">Maximum wallet balance: K500,000</w:t>
      </w:r>
    </w:p>
    <w:p>
      <w:pPr>
        <w:pStyle w:val="ListParagraph"/>
        <w:numPr>
          <w:ilvl w:val="0"/>
          <w:numId w:val="1"/>
        </w:numPr>
        <w:spacing w:after="60"/>
      </w:pPr>
      <w:r>
        <w:rPr>
          <w:rFonts w:ascii="Calibri" w:cs="Calibri" w:eastAsia="Calibri" w:hAnsi="Calibri"/>
          <w:color w:val="333333"/>
          <w:sz w:val="22"/>
          <w:szCs w:val="22"/>
        </w:rPr>
        <w:t xml:space="preserve">Maximum daily transactions: K100,000</w:t>
      </w:r>
    </w:p>
    <w:p>
      <w:pPr>
        <w:pStyle w:val="ListParagraph"/>
        <w:numPr>
          <w:ilvl w:val="0"/>
          <w:numId w:val="1"/>
        </w:numPr>
        <w:spacing w:after="60"/>
      </w:pPr>
      <w:r>
        <w:rPr>
          <w:rFonts w:ascii="Calibri" w:cs="Calibri" w:eastAsia="Calibri" w:hAnsi="Calibri"/>
          <w:color w:val="333333"/>
          <w:sz w:val="22"/>
          <w:szCs w:val="22"/>
        </w:rPr>
        <w:t xml:space="preserve">Dedicated compliance review for transactions above K50,000</w:t>
      </w:r>
    </w:p>
    <w:p>
      <w:r>
        <w:br w:type="page"/>
      </w:r>
    </w:p>
    <w:p>
      <w:pPr>
        <w:pStyle w:val="Heading2"/>
        <w:spacing w:after="120" w:before="300"/>
      </w:pPr>
      <w:r>
        <w:rPr>
          <w:rFonts w:ascii="Calibri" w:cs="Calibri" w:eastAsia="Calibri" w:hAnsi="Calibri"/>
          <w:b/>
          <w:bCs/>
          <w:color w:val="0A6E3C"/>
          <w:sz w:val="26"/>
          <w:szCs w:val="26"/>
        </w:rPr>
        <w:t xml:space="preserve">3.2 Ongoing Monitoring</w:t>
      </w:r>
    </w:p>
    <w:p>
      <w:pPr>
        <w:spacing w:after="120" w:before="0"/>
        <w:jc w:val="both"/>
      </w:pPr>
      <w:r>
        <w:rPr>
          <w:rFonts w:ascii="Calibri" w:cs="Calibri" w:eastAsia="Calibri" w:hAnsi="Calibri"/>
          <w:b w:val="false"/>
          <w:bCs w:val="false"/>
          <w:i w:val="false"/>
          <w:iCs w:val="false"/>
          <w:color w:val="333333"/>
          <w:sz w:val="22"/>
          <w:szCs w:val="22"/>
        </w:rPr>
        <w:t xml:space="preserve">Monde implements continuous monitoring of all customer accounts to detect and prevent suspicious activity:</w:t>
      </w:r>
    </w:p>
    <w:p>
      <w:pPr>
        <w:pStyle w:val="ListParagraph"/>
        <w:numPr>
          <w:ilvl w:val="0"/>
          <w:numId w:val="1"/>
        </w:numPr>
        <w:spacing w:after="60"/>
      </w:pPr>
      <w:r>
        <w:rPr>
          <w:rFonts w:ascii="Calibri" w:cs="Calibri" w:eastAsia="Calibri" w:hAnsi="Calibri"/>
          <w:color w:val="333333"/>
          <w:sz w:val="22"/>
          <w:szCs w:val="22"/>
        </w:rPr>
        <w:t xml:space="preserve">Transaction Pattern Analysis: Automated monitoring of transaction patterns, including frequency, amounts, and counterparties</w:t>
      </w:r>
    </w:p>
    <w:p>
      <w:pPr>
        <w:pStyle w:val="ListParagraph"/>
        <w:numPr>
          <w:ilvl w:val="0"/>
          <w:numId w:val="1"/>
        </w:numPr>
        <w:spacing w:after="60"/>
      </w:pPr>
      <w:r>
        <w:rPr>
          <w:rFonts w:ascii="Calibri" w:cs="Calibri" w:eastAsia="Calibri" w:hAnsi="Calibri"/>
          <w:color w:val="333333"/>
          <w:sz w:val="22"/>
          <w:szCs w:val="22"/>
        </w:rPr>
        <w:t xml:space="preserve">Velocity Checks: Daily transaction limits enforced at the database level to prevent limit circumvention</w:t>
      </w:r>
    </w:p>
    <w:p>
      <w:pPr>
        <w:pStyle w:val="ListParagraph"/>
        <w:numPr>
          <w:ilvl w:val="0"/>
          <w:numId w:val="1"/>
        </w:numPr>
        <w:spacing w:after="60"/>
      </w:pPr>
      <w:r>
        <w:rPr>
          <w:rFonts w:ascii="Calibri" w:cs="Calibri" w:eastAsia="Calibri" w:hAnsi="Calibri"/>
          <w:color w:val="333333"/>
          <w:sz w:val="22"/>
          <w:szCs w:val="22"/>
        </w:rPr>
        <w:t xml:space="preserve">Circular Transaction Detection: System detects and blocks potential wash trading (e.g., agent depositing to a customer and the same customer immediately cashing out at the same agent within 24 hours)</w:t>
      </w:r>
    </w:p>
    <w:p>
      <w:pPr>
        <w:pStyle w:val="ListParagraph"/>
        <w:numPr>
          <w:ilvl w:val="0"/>
          <w:numId w:val="1"/>
        </w:numPr>
        <w:spacing w:after="60"/>
      </w:pPr>
      <w:r>
        <w:rPr>
          <w:rFonts w:ascii="Calibri" w:cs="Calibri" w:eastAsia="Calibri" w:hAnsi="Calibri"/>
          <w:color w:val="333333"/>
          <w:sz w:val="22"/>
          <w:szCs w:val="22"/>
        </w:rPr>
        <w:t xml:space="preserve">Duplicate Transaction Prevention: Same-amount transactions to the same recipient within a short timeframe trigger additional verification</w:t>
      </w:r>
    </w:p>
    <w:p>
      <w:pPr>
        <w:pStyle w:val="ListParagraph"/>
        <w:numPr>
          <w:ilvl w:val="0"/>
          <w:numId w:val="1"/>
        </w:numPr>
        <w:spacing w:after="60"/>
      </w:pPr>
      <w:r>
        <w:rPr>
          <w:rFonts w:ascii="Calibri" w:cs="Calibri" w:eastAsia="Calibri" w:hAnsi="Calibri"/>
          <w:color w:val="333333"/>
          <w:sz w:val="22"/>
          <w:szCs w:val="22"/>
        </w:rPr>
        <w:t xml:space="preserve">Frozen Account Controls: Accounts flagged for suspicious activity are immediately frozen, preventing all financial transactions pending investigation</w:t>
      </w:r>
    </w:p>
    <w:p>
      <w:pPr>
        <w:pStyle w:val="ListParagraph"/>
        <w:numPr>
          <w:ilvl w:val="0"/>
          <w:numId w:val="1"/>
        </w:numPr>
        <w:spacing w:after="60"/>
      </w:pPr>
      <w:r>
        <w:rPr>
          <w:rFonts w:ascii="Calibri" w:cs="Calibri" w:eastAsia="Calibri" w:hAnsi="Calibri"/>
          <w:color w:val="333333"/>
          <w:sz w:val="22"/>
          <w:szCs w:val="22"/>
        </w:rPr>
        <w:t xml:space="preserve">Agent Activity Monitoring: Agents are subject to additional controls including daily deposit limits per customer (maximum 3 deposits per customer per agent per day) and daily transfer caps</w:t>
      </w:r>
    </w:p>
    <w:p>
      <w:pPr>
        <w:pStyle w:val="Heading2"/>
        <w:spacing w:after="120" w:before="300"/>
      </w:pPr>
      <w:r>
        <w:rPr>
          <w:rFonts w:ascii="Calibri" w:cs="Calibri" w:eastAsia="Calibri" w:hAnsi="Calibri"/>
          <w:b/>
          <w:bCs/>
          <w:color w:val="0A6E3C"/>
          <w:sz w:val="26"/>
          <w:szCs w:val="26"/>
        </w:rPr>
        <w:t xml:space="preserve">3.3 Record Keeping</w:t>
      </w:r>
    </w:p>
    <w:p>
      <w:pPr>
        <w:spacing w:after="120" w:before="0"/>
        <w:jc w:val="both"/>
      </w:pPr>
      <w:r>
        <w:rPr>
          <w:rFonts w:ascii="Calibri" w:cs="Calibri" w:eastAsia="Calibri" w:hAnsi="Calibri"/>
          <w:b w:val="false"/>
          <w:bCs w:val="false"/>
          <w:i w:val="false"/>
          <w:iCs w:val="false"/>
          <w:color w:val="333333"/>
          <w:sz w:val="22"/>
          <w:szCs w:val="22"/>
        </w:rPr>
        <w:t xml:space="preserve">Monde maintains comprehensive records of all customer information and transactions in compliance with regulatory requirements:</w:t>
      </w:r>
    </w:p>
    <w:p>
      <w:pPr>
        <w:pStyle w:val="ListParagraph"/>
        <w:numPr>
          <w:ilvl w:val="0"/>
          <w:numId w:val="1"/>
        </w:numPr>
        <w:spacing w:after="60"/>
      </w:pPr>
      <w:r>
        <w:rPr>
          <w:rFonts w:ascii="Calibri" w:cs="Calibri" w:eastAsia="Calibri" w:hAnsi="Calibri"/>
          <w:color w:val="333333"/>
          <w:sz w:val="22"/>
          <w:szCs w:val="22"/>
        </w:rPr>
        <w:t xml:space="preserve">Customer identification records: Retained for the duration of the account plus 7 years after account closure</w:t>
      </w:r>
    </w:p>
    <w:p>
      <w:pPr>
        <w:pStyle w:val="ListParagraph"/>
        <w:numPr>
          <w:ilvl w:val="0"/>
          <w:numId w:val="1"/>
        </w:numPr>
        <w:spacing w:after="60"/>
      </w:pPr>
      <w:r>
        <w:rPr>
          <w:rFonts w:ascii="Calibri" w:cs="Calibri" w:eastAsia="Calibri" w:hAnsi="Calibri"/>
          <w:color w:val="333333"/>
          <w:sz w:val="22"/>
          <w:szCs w:val="22"/>
        </w:rPr>
        <w:t xml:space="preserve">Transaction records: Retained for a minimum of 10 years</w:t>
      </w:r>
    </w:p>
    <w:p>
      <w:pPr>
        <w:pStyle w:val="ListParagraph"/>
        <w:numPr>
          <w:ilvl w:val="0"/>
          <w:numId w:val="1"/>
        </w:numPr>
        <w:spacing w:after="60"/>
      </w:pPr>
      <w:r>
        <w:rPr>
          <w:rFonts w:ascii="Calibri" w:cs="Calibri" w:eastAsia="Calibri" w:hAnsi="Calibri"/>
          <w:color w:val="333333"/>
          <w:sz w:val="22"/>
          <w:szCs w:val="22"/>
        </w:rPr>
        <w:t xml:space="preserve">Suspicious activity reports: Retained indefinitely</w:t>
      </w:r>
    </w:p>
    <w:p>
      <w:pPr>
        <w:pStyle w:val="ListParagraph"/>
        <w:numPr>
          <w:ilvl w:val="0"/>
          <w:numId w:val="1"/>
        </w:numPr>
        <w:spacing w:after="60"/>
      </w:pPr>
      <w:r>
        <w:rPr>
          <w:rFonts w:ascii="Calibri" w:cs="Calibri" w:eastAsia="Calibri" w:hAnsi="Calibri"/>
          <w:color w:val="333333"/>
          <w:sz w:val="22"/>
          <w:szCs w:val="22"/>
        </w:rPr>
        <w:t xml:space="preserve">All records are stored in encrypted form in the PostgreSQL database with automated backups</w:t>
      </w:r>
    </w:p>
    <w:p>
      <w:pPr>
        <w:pStyle w:val="Heading2"/>
        <w:spacing w:after="120" w:before="300"/>
      </w:pPr>
      <w:r>
        <w:rPr>
          <w:rFonts w:ascii="Calibri" w:cs="Calibri" w:eastAsia="Calibri" w:hAnsi="Calibri"/>
          <w:b/>
          <w:bCs/>
          <w:color w:val="0A6E3C"/>
          <w:sz w:val="26"/>
          <w:szCs w:val="26"/>
        </w:rPr>
        <w:t xml:space="preserve">3.4 Reporting Obligations</w:t>
      </w:r>
    </w:p>
    <w:p>
      <w:pPr>
        <w:spacing w:after="120" w:before="0"/>
        <w:jc w:val="both"/>
      </w:pPr>
      <w:r>
        <w:rPr>
          <w:rFonts w:ascii="Calibri" w:cs="Calibri" w:eastAsia="Calibri" w:hAnsi="Calibri"/>
          <w:b w:val="false"/>
          <w:bCs w:val="false"/>
          <w:i w:val="false"/>
          <w:iCs w:val="false"/>
          <w:color w:val="333333"/>
          <w:sz w:val="22"/>
          <w:szCs w:val="22"/>
        </w:rPr>
        <w:t xml:space="preserve">Monde will fulfil all reporting obligations as required by the Financial Intelligence Centre Act:</w:t>
      </w:r>
    </w:p>
    <w:p>
      <w:pPr>
        <w:pStyle w:val="ListParagraph"/>
        <w:numPr>
          <w:ilvl w:val="0"/>
          <w:numId w:val="1"/>
        </w:numPr>
        <w:spacing w:after="60"/>
      </w:pPr>
      <w:r>
        <w:rPr>
          <w:rFonts w:ascii="Calibri" w:cs="Calibri" w:eastAsia="Calibri" w:hAnsi="Calibri"/>
          <w:color w:val="333333"/>
          <w:sz w:val="22"/>
          <w:szCs w:val="22"/>
        </w:rPr>
        <w:t xml:space="preserve">Suspicious Transaction Reports (STRs): Filed with the Financial Intelligence Centre (FIC) when suspicious activity is detected</w:t>
      </w:r>
    </w:p>
    <w:p>
      <w:pPr>
        <w:pStyle w:val="ListParagraph"/>
        <w:numPr>
          <w:ilvl w:val="0"/>
          <w:numId w:val="1"/>
        </w:numPr>
        <w:spacing w:after="60"/>
      </w:pPr>
      <w:r>
        <w:rPr>
          <w:rFonts w:ascii="Calibri" w:cs="Calibri" w:eastAsia="Calibri" w:hAnsi="Calibri"/>
          <w:color w:val="333333"/>
          <w:sz w:val="22"/>
          <w:szCs w:val="22"/>
        </w:rPr>
        <w:t xml:space="preserve">Large Transaction Reports: Filed for transactions exceeding prescribed thresholds</w:t>
      </w:r>
    </w:p>
    <w:p>
      <w:pPr>
        <w:pStyle w:val="ListParagraph"/>
        <w:numPr>
          <w:ilvl w:val="0"/>
          <w:numId w:val="1"/>
        </w:numPr>
        <w:spacing w:after="60"/>
      </w:pPr>
      <w:r>
        <w:rPr>
          <w:rFonts w:ascii="Calibri" w:cs="Calibri" w:eastAsia="Calibri" w:hAnsi="Calibri"/>
          <w:color w:val="333333"/>
          <w:sz w:val="22"/>
          <w:szCs w:val="22"/>
        </w:rPr>
        <w:t xml:space="preserve">Cash Transaction Reports: Filed for cash-in/cash-out transactions through agents exceeding prescribed thresholds</w:t>
      </w:r>
    </w:p>
    <w:p>
      <w:pPr>
        <w:pStyle w:val="ListParagraph"/>
        <w:numPr>
          <w:ilvl w:val="0"/>
          <w:numId w:val="1"/>
        </w:numPr>
        <w:spacing w:after="60"/>
      </w:pPr>
      <w:r>
        <w:rPr>
          <w:rFonts w:ascii="Calibri" w:cs="Calibri" w:eastAsia="Calibri" w:hAnsi="Calibri"/>
          <w:color w:val="333333"/>
          <w:sz w:val="22"/>
          <w:szCs w:val="22"/>
        </w:rPr>
        <w:t xml:space="preserve">Periodic reports to the Bank of Zambia as required</w:t>
      </w:r>
    </w:p>
    <w:p>
      <w:pPr>
        <w:pStyle w:val="Heading1"/>
        <w:spacing w:after="120" w:before="300"/>
      </w:pPr>
      <w:r>
        <w:rPr>
          <w:rFonts w:ascii="Calibri" w:cs="Calibri" w:eastAsia="Calibri" w:hAnsi="Calibri"/>
          <w:b/>
          <w:bCs/>
          <w:color w:val="0A6E3C"/>
          <w:sz w:val="32"/>
          <w:szCs w:val="32"/>
        </w:rPr>
        <w:t xml:space="preserve">4. AGENT ONBOARDING</w:t>
      </w:r>
    </w:p>
    <w:p>
      <w:pPr>
        <w:pStyle w:val="Heading2"/>
        <w:spacing w:after="120" w:before="300"/>
      </w:pPr>
      <w:r>
        <w:rPr>
          <w:rFonts w:ascii="Calibri" w:cs="Calibri" w:eastAsia="Calibri" w:hAnsi="Calibri"/>
          <w:b/>
          <w:bCs/>
          <w:color w:val="0A6E3C"/>
          <w:sz w:val="26"/>
          <w:szCs w:val="26"/>
        </w:rPr>
        <w:t xml:space="preserve">4.1 Agent Due Diligence</w:t>
      </w:r>
    </w:p>
    <w:p>
      <w:pPr>
        <w:spacing w:after="120" w:before="0"/>
        <w:jc w:val="both"/>
      </w:pPr>
      <w:r>
        <w:rPr>
          <w:rFonts w:ascii="Calibri" w:cs="Calibri" w:eastAsia="Calibri" w:hAnsi="Calibri"/>
          <w:b w:val="false"/>
          <w:bCs w:val="false"/>
          <w:i w:val="false"/>
          <w:iCs w:val="false"/>
          <w:color w:val="333333"/>
          <w:sz w:val="22"/>
          <w:szCs w:val="22"/>
        </w:rPr>
        <w:t xml:space="preserve">Monde agents undergo a rigorous onboarding process that includes:</w:t>
      </w:r>
    </w:p>
    <w:p>
      <w:pPr>
        <w:pStyle w:val="ListParagraph"/>
        <w:numPr>
          <w:ilvl w:val="0"/>
          <w:numId w:val="1"/>
        </w:numPr>
        <w:spacing w:after="60"/>
      </w:pPr>
      <w:r>
        <w:rPr>
          <w:rFonts w:ascii="Calibri" w:cs="Calibri" w:eastAsia="Calibri" w:hAnsi="Calibri"/>
          <w:color w:val="333333"/>
          <w:sz w:val="22"/>
          <w:szCs w:val="22"/>
        </w:rPr>
        <w:t xml:space="preserve">Business registration verification (PACRA registration for businesses)</w:t>
      </w:r>
    </w:p>
    <w:p>
      <w:pPr>
        <w:pStyle w:val="ListParagraph"/>
        <w:numPr>
          <w:ilvl w:val="0"/>
          <w:numId w:val="1"/>
        </w:numPr>
        <w:spacing w:after="60"/>
      </w:pPr>
      <w:r>
        <w:rPr>
          <w:rFonts w:ascii="Calibri" w:cs="Calibri" w:eastAsia="Calibri" w:hAnsi="Calibri"/>
          <w:color w:val="333333"/>
          <w:sz w:val="22"/>
          <w:szCs w:val="22"/>
        </w:rPr>
        <w:t xml:space="preserve">National Registration Card or passport verification</w:t>
      </w:r>
    </w:p>
    <w:p>
      <w:pPr>
        <w:pStyle w:val="ListParagraph"/>
        <w:numPr>
          <w:ilvl w:val="0"/>
          <w:numId w:val="1"/>
        </w:numPr>
        <w:spacing w:after="60"/>
      </w:pPr>
      <w:r>
        <w:rPr>
          <w:rFonts w:ascii="Calibri" w:cs="Calibri" w:eastAsia="Calibri" w:hAnsi="Calibri"/>
          <w:color w:val="333333"/>
          <w:sz w:val="22"/>
          <w:szCs w:val="22"/>
        </w:rPr>
        <w:t xml:space="preserve">Physical location verification</w:t>
      </w:r>
    </w:p>
    <w:p>
      <w:pPr>
        <w:pStyle w:val="ListParagraph"/>
        <w:numPr>
          <w:ilvl w:val="0"/>
          <w:numId w:val="1"/>
        </w:numPr>
        <w:spacing w:after="60"/>
      </w:pPr>
      <w:r>
        <w:rPr>
          <w:rFonts w:ascii="Calibri" w:cs="Calibri" w:eastAsia="Calibri" w:hAnsi="Calibri"/>
          <w:color w:val="333333"/>
          <w:sz w:val="22"/>
          <w:szCs w:val="22"/>
        </w:rPr>
        <w:t xml:space="preserve">Background screening</w:t>
      </w:r>
    </w:p>
    <w:p>
      <w:pPr>
        <w:pStyle w:val="ListParagraph"/>
        <w:numPr>
          <w:ilvl w:val="0"/>
          <w:numId w:val="1"/>
        </w:numPr>
        <w:spacing w:after="60"/>
      </w:pPr>
      <w:r>
        <w:rPr>
          <w:rFonts w:ascii="Calibri" w:cs="Calibri" w:eastAsia="Calibri" w:hAnsi="Calibri"/>
          <w:color w:val="333333"/>
          <w:sz w:val="22"/>
          <w:szCs w:val="22"/>
        </w:rPr>
        <w:t xml:space="preserve">Agent agreement execution</w:t>
      </w:r>
    </w:p>
    <w:p>
      <w:pPr>
        <w:pStyle w:val="ListParagraph"/>
        <w:numPr>
          <w:ilvl w:val="0"/>
          <w:numId w:val="1"/>
        </w:numPr>
        <w:spacing w:after="60"/>
      </w:pPr>
      <w:r>
        <w:rPr>
          <w:rFonts w:ascii="Calibri" w:cs="Calibri" w:eastAsia="Calibri" w:hAnsi="Calibri"/>
          <w:color w:val="333333"/>
          <w:sz w:val="22"/>
          <w:szCs w:val="22"/>
        </w:rPr>
        <w:t xml:space="preserve">Training on AML/CFT procedures, platform usage, and customer service</w:t>
      </w:r>
    </w:p>
    <w:p>
      <w:pPr>
        <w:pStyle w:val="Heading2"/>
        <w:spacing w:after="120" w:before="300"/>
      </w:pPr>
      <w:r>
        <w:rPr>
          <w:rFonts w:ascii="Calibri" w:cs="Calibri" w:eastAsia="Calibri" w:hAnsi="Calibri"/>
          <w:b/>
          <w:bCs/>
          <w:color w:val="0A6E3C"/>
          <w:sz w:val="26"/>
          <w:szCs w:val="26"/>
        </w:rPr>
        <w:t xml:space="preserve">4.2 Agent Status Management</w:t>
      </w:r>
    </w:p>
    <w:p>
      <w:pPr>
        <w:spacing w:after="120" w:before="0"/>
        <w:jc w:val="both"/>
      </w:pPr>
      <w:r>
        <w:rPr>
          <w:rFonts w:ascii="Calibri" w:cs="Calibri" w:eastAsia="Calibri" w:hAnsi="Calibri"/>
          <w:b w:val="false"/>
          <w:bCs w:val="false"/>
          <w:i w:val="false"/>
          <w:iCs w:val="false"/>
          <w:color w:val="333333"/>
          <w:sz w:val="22"/>
          <w:szCs w:val="22"/>
        </w:rPr>
        <w:t xml:space="preserve">Agent status is managed exclusively by system administrators through the admin dashboard. Only administrators can:</w:t>
      </w:r>
    </w:p>
    <w:p>
      <w:pPr>
        <w:pStyle w:val="ListParagraph"/>
        <w:numPr>
          <w:ilvl w:val="0"/>
          <w:numId w:val="1"/>
        </w:numPr>
        <w:spacing w:after="60"/>
      </w:pPr>
      <w:r>
        <w:rPr>
          <w:rFonts w:ascii="Calibri" w:cs="Calibri" w:eastAsia="Calibri" w:hAnsi="Calibri"/>
          <w:color w:val="333333"/>
          <w:sz w:val="22"/>
          <w:szCs w:val="22"/>
        </w:rPr>
        <w:t xml:space="preserve">Grant agent status to a user account</w:t>
      </w:r>
    </w:p>
    <w:p>
      <w:pPr>
        <w:pStyle w:val="ListParagraph"/>
        <w:numPr>
          <w:ilvl w:val="0"/>
          <w:numId w:val="1"/>
        </w:numPr>
        <w:spacing w:after="60"/>
      </w:pPr>
      <w:r>
        <w:rPr>
          <w:rFonts w:ascii="Calibri" w:cs="Calibri" w:eastAsia="Calibri" w:hAnsi="Calibri"/>
          <w:color w:val="333333"/>
          <w:sz w:val="22"/>
          <w:szCs w:val="22"/>
        </w:rPr>
        <w:t xml:space="preserve">Revoke agent status</w:t>
      </w:r>
    </w:p>
    <w:p>
      <w:pPr>
        <w:pStyle w:val="ListParagraph"/>
        <w:numPr>
          <w:ilvl w:val="0"/>
          <w:numId w:val="1"/>
        </w:numPr>
        <w:spacing w:after="60"/>
      </w:pPr>
      <w:r>
        <w:rPr>
          <w:rFonts w:ascii="Calibri" w:cs="Calibri" w:eastAsia="Calibri" w:hAnsi="Calibri"/>
          <w:color w:val="333333"/>
          <w:sz w:val="22"/>
          <w:szCs w:val="22"/>
        </w:rPr>
        <w:t xml:space="preserve">Override agent-specific limits</w:t>
      </w:r>
    </w:p>
    <w:p>
      <w:pPr>
        <w:pStyle w:val="ListParagraph"/>
        <w:numPr>
          <w:ilvl w:val="0"/>
          <w:numId w:val="1"/>
        </w:numPr>
        <w:spacing w:after="60"/>
      </w:pPr>
      <w:r>
        <w:rPr>
          <w:rFonts w:ascii="Calibri" w:cs="Calibri" w:eastAsia="Calibri" w:hAnsi="Calibri"/>
          <w:color w:val="333333"/>
          <w:sz w:val="22"/>
          <w:szCs w:val="22"/>
        </w:rPr>
        <w:t xml:space="preserve">Review agent activity and commissions</w:t>
      </w:r>
    </w:p>
    <w:p>
      <w:pPr>
        <w:spacing w:after="120" w:before="0"/>
        <w:jc w:val="both"/>
      </w:pPr>
      <w:r>
        <w:rPr>
          <w:rFonts w:ascii="Calibri" w:cs="Calibri" w:eastAsia="Calibri" w:hAnsi="Calibri"/>
          <w:b w:val="false"/>
          <w:bCs w:val="false"/>
          <w:i w:val="false"/>
          <w:iCs w:val="false"/>
          <w:color w:val="333333"/>
          <w:sz w:val="22"/>
          <w:szCs w:val="22"/>
        </w:rPr>
        <w:t xml:space="preserve">This ensures that agent designation follows proper approval workflows and cannot be self-assigned.</w:t>
      </w:r>
    </w:p>
    <w:p>
      <w:pPr>
        <w:pStyle w:val="Heading1"/>
        <w:spacing w:after="120" w:before="300"/>
      </w:pPr>
      <w:r>
        <w:rPr>
          <w:rFonts w:ascii="Calibri" w:cs="Calibri" w:eastAsia="Calibri" w:hAnsi="Calibri"/>
          <w:b/>
          <w:bCs/>
          <w:color w:val="0A6E3C"/>
          <w:sz w:val="32"/>
          <w:szCs w:val="32"/>
        </w:rPr>
        <w:t xml:space="preserve">5. ACCOUNT MANAGEMENT</w:t>
      </w:r>
    </w:p>
    <w:p>
      <w:pPr>
        <w:pStyle w:val="Heading2"/>
        <w:spacing w:after="120" w:before="300"/>
      </w:pPr>
      <w:r>
        <w:rPr>
          <w:rFonts w:ascii="Calibri" w:cs="Calibri" w:eastAsia="Calibri" w:hAnsi="Calibri"/>
          <w:b/>
          <w:bCs/>
          <w:color w:val="0A6E3C"/>
          <w:sz w:val="26"/>
          <w:szCs w:val="26"/>
        </w:rPr>
        <w:t xml:space="preserve">5.1 Account Freezing</w:t>
      </w:r>
    </w:p>
    <w:p>
      <w:pPr>
        <w:spacing w:after="120" w:before="0"/>
        <w:jc w:val="both"/>
      </w:pPr>
      <w:r>
        <w:rPr>
          <w:rFonts w:ascii="Calibri" w:cs="Calibri" w:eastAsia="Calibri" w:hAnsi="Calibri"/>
          <w:b w:val="false"/>
          <w:bCs w:val="false"/>
          <w:i w:val="false"/>
          <w:iCs w:val="false"/>
          <w:color w:val="333333"/>
          <w:sz w:val="22"/>
          <w:szCs w:val="22"/>
        </w:rPr>
        <w:t xml:space="preserve">Monde can freeze customer accounts in the following circumstances:</w:t>
      </w:r>
    </w:p>
    <w:p>
      <w:pPr>
        <w:pStyle w:val="ListParagraph"/>
        <w:numPr>
          <w:ilvl w:val="0"/>
          <w:numId w:val="1"/>
        </w:numPr>
        <w:spacing w:after="60"/>
      </w:pPr>
      <w:r>
        <w:rPr>
          <w:rFonts w:ascii="Calibri" w:cs="Calibri" w:eastAsia="Calibri" w:hAnsi="Calibri"/>
          <w:color w:val="333333"/>
          <w:sz w:val="22"/>
          <w:szCs w:val="22"/>
        </w:rPr>
        <w:t xml:space="preserve">Suspicious activity detected by automated monitoring systems</w:t>
      </w:r>
    </w:p>
    <w:p>
      <w:pPr>
        <w:pStyle w:val="ListParagraph"/>
        <w:numPr>
          <w:ilvl w:val="0"/>
          <w:numId w:val="1"/>
        </w:numPr>
        <w:spacing w:after="60"/>
      </w:pPr>
      <w:r>
        <w:rPr>
          <w:rFonts w:ascii="Calibri" w:cs="Calibri" w:eastAsia="Calibri" w:hAnsi="Calibri"/>
          <w:color w:val="333333"/>
          <w:sz w:val="22"/>
          <w:szCs w:val="22"/>
        </w:rPr>
        <w:t xml:space="preserve">Request from the customer (lost/stolen phone)</w:t>
      </w:r>
    </w:p>
    <w:p>
      <w:pPr>
        <w:pStyle w:val="ListParagraph"/>
        <w:numPr>
          <w:ilvl w:val="0"/>
          <w:numId w:val="1"/>
        </w:numPr>
        <w:spacing w:after="60"/>
      </w:pPr>
      <w:r>
        <w:rPr>
          <w:rFonts w:ascii="Calibri" w:cs="Calibri" w:eastAsia="Calibri" w:hAnsi="Calibri"/>
          <w:color w:val="333333"/>
          <w:sz w:val="22"/>
          <w:szCs w:val="22"/>
        </w:rPr>
        <w:t xml:space="preserve">Direction from the Bank of Zambia or Financial Intelligence Centre</w:t>
      </w:r>
    </w:p>
    <w:p>
      <w:pPr>
        <w:pStyle w:val="ListParagraph"/>
        <w:numPr>
          <w:ilvl w:val="0"/>
          <w:numId w:val="1"/>
        </w:numPr>
        <w:spacing w:after="60"/>
      </w:pPr>
      <w:r>
        <w:rPr>
          <w:rFonts w:ascii="Calibri" w:cs="Calibri" w:eastAsia="Calibri" w:hAnsi="Calibri"/>
          <w:color w:val="333333"/>
          <w:sz w:val="22"/>
          <w:szCs w:val="22"/>
        </w:rPr>
        <w:t xml:space="preserve">Court order</w:t>
      </w:r>
    </w:p>
    <w:p>
      <w:pPr>
        <w:pStyle w:val="ListParagraph"/>
        <w:numPr>
          <w:ilvl w:val="0"/>
          <w:numId w:val="1"/>
        </w:numPr>
        <w:spacing w:after="60"/>
      </w:pPr>
      <w:r>
        <w:rPr>
          <w:rFonts w:ascii="Calibri" w:cs="Calibri" w:eastAsia="Calibri" w:hAnsi="Calibri"/>
          <w:color w:val="333333"/>
          <w:sz w:val="22"/>
          <w:szCs w:val="22"/>
        </w:rPr>
        <w:t xml:space="preserve">Violation of Monde terms of service</w:t>
      </w:r>
    </w:p>
    <w:p>
      <w:pPr>
        <w:spacing w:after="120" w:before="0"/>
        <w:jc w:val="both"/>
      </w:pPr>
      <w:r>
        <w:rPr>
          <w:rFonts w:ascii="Calibri" w:cs="Calibri" w:eastAsia="Calibri" w:hAnsi="Calibri"/>
          <w:b w:val="false"/>
          <w:bCs w:val="false"/>
          <w:i w:val="false"/>
          <w:iCs w:val="false"/>
          <w:color w:val="333333"/>
          <w:sz w:val="22"/>
          <w:szCs w:val="22"/>
        </w:rPr>
        <w:t xml:space="preserve">Frozen accounts cannot perform any financial transactions (send, receive, top-up, withdraw, cash-in, or cash-out) until the freeze is lifted by an administrator.</w:t>
      </w:r>
    </w:p>
    <w:p>
      <w:pPr>
        <w:pStyle w:val="Heading2"/>
        <w:spacing w:after="120" w:before="300"/>
      </w:pPr>
      <w:r>
        <w:rPr>
          <w:rFonts w:ascii="Calibri" w:cs="Calibri" w:eastAsia="Calibri" w:hAnsi="Calibri"/>
          <w:b/>
          <w:bCs/>
          <w:color w:val="0A6E3C"/>
          <w:sz w:val="26"/>
          <w:szCs w:val="26"/>
        </w:rPr>
        <w:t xml:space="preserve">5.2 PIN Recovery</w:t>
      </w:r>
    </w:p>
    <w:p>
      <w:pPr>
        <w:spacing w:after="120" w:before="0"/>
        <w:jc w:val="both"/>
      </w:pPr>
      <w:r>
        <w:rPr>
          <w:rFonts w:ascii="Calibri" w:cs="Calibri" w:eastAsia="Calibri" w:hAnsi="Calibri"/>
          <w:b w:val="false"/>
          <w:bCs w:val="false"/>
          <w:i w:val="false"/>
          <w:iCs w:val="false"/>
          <w:color w:val="333333"/>
          <w:sz w:val="22"/>
          <w:szCs w:val="22"/>
        </w:rPr>
        <w:t xml:space="preserve">Customers who forget their PIN can recover access through the following process:</w:t>
      </w:r>
    </w:p>
    <w:p>
      <w:pPr>
        <w:pStyle w:val="ListParagraph"/>
        <w:numPr>
          <w:ilvl w:val="0"/>
          <w:numId w:val="1"/>
        </w:numPr>
        <w:spacing w:after="60"/>
      </w:pPr>
      <w:r>
        <w:rPr>
          <w:rFonts w:ascii="Calibri" w:cs="Calibri" w:eastAsia="Calibri" w:hAnsi="Calibri"/>
          <w:color w:val="333333"/>
          <w:sz w:val="22"/>
          <w:szCs w:val="22"/>
        </w:rPr>
        <w:t xml:space="preserve">Step 1: Customer selects "Forgot PIN" on the login screen</w:t>
      </w:r>
    </w:p>
    <w:p>
      <w:pPr>
        <w:pStyle w:val="ListParagraph"/>
        <w:numPr>
          <w:ilvl w:val="0"/>
          <w:numId w:val="1"/>
        </w:numPr>
        <w:spacing w:after="60"/>
      </w:pPr>
      <w:r>
        <w:rPr>
          <w:rFonts w:ascii="Calibri" w:cs="Calibri" w:eastAsia="Calibri" w:hAnsi="Calibri"/>
          <w:color w:val="333333"/>
          <w:sz w:val="22"/>
          <w:szCs w:val="22"/>
        </w:rPr>
        <w:t xml:space="preserve">Step 2: Customer enters their registered phone number</w:t>
      </w:r>
    </w:p>
    <w:p>
      <w:pPr>
        <w:pStyle w:val="ListParagraph"/>
        <w:numPr>
          <w:ilvl w:val="0"/>
          <w:numId w:val="1"/>
        </w:numPr>
        <w:spacing w:after="60"/>
      </w:pPr>
      <w:r>
        <w:rPr>
          <w:rFonts w:ascii="Calibri" w:cs="Calibri" w:eastAsia="Calibri" w:hAnsi="Calibri"/>
          <w:color w:val="333333"/>
          <w:sz w:val="22"/>
          <w:szCs w:val="22"/>
        </w:rPr>
        <w:t xml:space="preserve">Step 3: OTP is sent to the registered phone number for identity verification</w:t>
      </w:r>
    </w:p>
    <w:p>
      <w:pPr>
        <w:pStyle w:val="ListParagraph"/>
        <w:numPr>
          <w:ilvl w:val="0"/>
          <w:numId w:val="1"/>
        </w:numPr>
        <w:spacing w:after="60"/>
      </w:pPr>
      <w:r>
        <w:rPr>
          <w:rFonts w:ascii="Calibri" w:cs="Calibri" w:eastAsia="Calibri" w:hAnsi="Calibri"/>
          <w:color w:val="333333"/>
          <w:sz w:val="22"/>
          <w:szCs w:val="22"/>
        </w:rPr>
        <w:t xml:space="preserve">Step 4: Upon successful OTP verification, customer creates a new PIN</w:t>
      </w:r>
    </w:p>
    <w:p>
      <w:pPr>
        <w:pStyle w:val="ListParagraph"/>
        <w:numPr>
          <w:ilvl w:val="0"/>
          <w:numId w:val="1"/>
        </w:numPr>
        <w:spacing w:after="60"/>
      </w:pPr>
      <w:r>
        <w:rPr>
          <w:rFonts w:ascii="Calibri" w:cs="Calibri" w:eastAsia="Calibri" w:hAnsi="Calibri"/>
          <w:color w:val="333333"/>
          <w:sz w:val="22"/>
          <w:szCs w:val="22"/>
        </w:rPr>
        <w:t xml:space="preserve">Step 5: Account access is restored with the new PIN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2026-03-20T08:47:06.880Z</dcterms:created>
  <dcterms:modified xsi:type="dcterms:W3CDTF">2026-03-20T08:47:06.881Z</dcterms:modified>
</cp:coreProperties>
</file>

<file path=docProps/custom.xml><?xml version="1.0" encoding="utf-8"?>
<Properties xmlns="http://schemas.openxmlformats.org/officeDocument/2006/custom-properties" xmlns:vt="http://schemas.openxmlformats.org/officeDocument/2006/docPropsVTypes"/>
</file>