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Settlement Process</w:t>
      </w:r>
    </w:p>
    <w:p>
      <w:pPr>
        <w:spacing w:after="200" w:before="0"/>
        <w:jc w:val="center"/>
      </w:pPr>
      <w:r>
        <w:rPr>
          <w:rFonts w:ascii="Calibri" w:cs="Calibri" w:eastAsia="Calibri" w:hAnsi="Calibri"/>
          <w:b/>
          <w:bCs/>
          <w:color w:val="666666"/>
          <w:sz w:val="28"/>
          <w:szCs w:val="28"/>
        </w:rPr>
        <w:t xml:space="preserve">Transaction Settlement Flows
and Reconciliation Procedures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describes the settlement processes employed by the Monde digital payment system. Settlement refers to the final transfer of value between parties in a transaction. Monde operates both internal (on-ledger) settlement for peer-to-peer transactions and external settlement through payment gateway partners for mobile money and bank card transactions.</w:t>
      </w:r>
    </w:p>
    <w:p>
      <w:pPr>
        <w:spacing w:after="120" w:before="0"/>
        <w:jc w:val="both"/>
      </w:pPr>
      <w:r>
        <w:rPr>
          <w:rFonts w:ascii="Calibri" w:cs="Calibri" w:eastAsia="Calibri" w:hAnsi="Calibri"/>
          <w:b w:val="false"/>
          <w:bCs w:val="false"/>
          <w:i w:val="false"/>
          <w:iCs w:val="false"/>
          <w:color w:val="333333"/>
          <w:sz w:val="22"/>
          <w:szCs w:val="22"/>
        </w:rPr>
        <w:t xml:space="preserve">All settlement within the Monde system is denominated in Zambian Kwacha (ZMW). The system is designed to achieve real-time or near-real-time settlement for all transaction types.</w:t>
      </w:r>
    </w:p>
    <w:p>
      <w:pPr>
        <w:pStyle w:val="Heading1"/>
        <w:spacing w:after="120" w:before="300"/>
      </w:pPr>
      <w:r>
        <w:rPr>
          <w:rFonts w:ascii="Calibri" w:cs="Calibri" w:eastAsia="Calibri" w:hAnsi="Calibri"/>
          <w:b/>
          <w:bCs/>
          <w:color w:val="0A6E3C"/>
          <w:sz w:val="32"/>
          <w:szCs w:val="32"/>
        </w:rPr>
        <w:t xml:space="preserve">2. SETTLEMENT ARCHITECTURE</w:t>
      </w:r>
    </w:p>
    <w:p>
      <w:pPr>
        <w:pStyle w:val="Heading2"/>
        <w:spacing w:after="120" w:before="300"/>
      </w:pPr>
      <w:r>
        <w:rPr>
          <w:rFonts w:ascii="Calibri" w:cs="Calibri" w:eastAsia="Calibri" w:hAnsi="Calibri"/>
          <w:b/>
          <w:bCs/>
          <w:color w:val="0A6E3C"/>
          <w:sz w:val="26"/>
          <w:szCs w:val="26"/>
        </w:rPr>
        <w:t xml:space="preserve">2.1 Internal Ledger</w:t>
      </w:r>
    </w:p>
    <w:p>
      <w:pPr>
        <w:spacing w:after="120" w:before="0"/>
        <w:jc w:val="both"/>
      </w:pPr>
      <w:r>
        <w:rPr>
          <w:rFonts w:ascii="Calibri" w:cs="Calibri" w:eastAsia="Calibri" w:hAnsi="Calibri"/>
          <w:b w:val="false"/>
          <w:bCs w:val="false"/>
          <w:i w:val="false"/>
          <w:iCs w:val="false"/>
          <w:color w:val="333333"/>
          <w:sz w:val="22"/>
          <w:szCs w:val="22"/>
        </w:rPr>
        <w:t xml:space="preserve">Monde maintains an internal digital ledger implemented as a PostgreSQL database. Each user has a wallet balance that is updated atomically during transaction processing. Internal transactions (P2P payments, agent cash-in, agent cash-out) are settled instantly on the internal ledger through database transactions that ensure ACID (Atomicity, Consistency, Isolation, Durability) compliance.</w:t>
      </w:r>
    </w:p>
    <w:p>
      <w:pPr>
        <w:spacing w:after="120" w:before="0"/>
        <w:jc w:val="both"/>
      </w:pPr>
      <w:r>
        <w:rPr>
          <w:rFonts w:ascii="Calibri" w:cs="Calibri" w:eastAsia="Calibri" w:hAnsi="Calibri"/>
          <w:b w:val="false"/>
          <w:bCs w:val="false"/>
          <w:i w:val="false"/>
          <w:iCs w:val="false"/>
          <w:color w:val="333333"/>
          <w:sz w:val="22"/>
          <w:szCs w:val="22"/>
        </w:rPr>
        <w:t xml:space="preserve">Key characteristics of the internal ledger:</w:t>
      </w:r>
    </w:p>
    <w:p>
      <w:pPr>
        <w:pStyle w:val="ListParagraph"/>
        <w:numPr>
          <w:ilvl w:val="0"/>
          <w:numId w:val="1"/>
        </w:numPr>
        <w:spacing w:after="60"/>
      </w:pPr>
      <w:r>
        <w:rPr>
          <w:rFonts w:ascii="Calibri" w:cs="Calibri" w:eastAsia="Calibri" w:hAnsi="Calibri"/>
          <w:color w:val="333333"/>
          <w:sz w:val="22"/>
          <w:szCs w:val="22"/>
        </w:rPr>
        <w:t xml:space="preserve">Atomic transactions: All balance updates within a single transaction are executed as an indivisible unit. Either all updates succeed, or none are applied.</w:t>
      </w:r>
    </w:p>
    <w:p>
      <w:pPr>
        <w:pStyle w:val="ListParagraph"/>
        <w:numPr>
          <w:ilvl w:val="0"/>
          <w:numId w:val="1"/>
        </w:numPr>
        <w:spacing w:after="60"/>
      </w:pPr>
      <w:r>
        <w:rPr>
          <w:rFonts w:ascii="Calibri" w:cs="Calibri" w:eastAsia="Calibri" w:hAnsi="Calibri"/>
          <w:color w:val="333333"/>
          <w:sz w:val="22"/>
          <w:szCs w:val="22"/>
        </w:rPr>
        <w:t xml:space="preserve">Consistency: Database constraints ensure that no account balance can go below zero, and all debits equal credits within any transaction.</w:t>
      </w:r>
    </w:p>
    <w:p>
      <w:pPr>
        <w:pStyle w:val="ListParagraph"/>
        <w:numPr>
          <w:ilvl w:val="0"/>
          <w:numId w:val="1"/>
        </w:numPr>
        <w:spacing w:after="60"/>
      </w:pPr>
      <w:r>
        <w:rPr>
          <w:rFonts w:ascii="Calibri" w:cs="Calibri" w:eastAsia="Calibri" w:hAnsi="Calibri"/>
          <w:color w:val="333333"/>
          <w:sz w:val="22"/>
          <w:szCs w:val="22"/>
        </w:rPr>
        <w:t xml:space="preserve">Isolation: Concurrent transactions are handled through PostgreSQL row-level locking, preventing double-spending and race conditions.</w:t>
      </w:r>
    </w:p>
    <w:p>
      <w:pPr>
        <w:pStyle w:val="ListParagraph"/>
        <w:numPr>
          <w:ilvl w:val="0"/>
          <w:numId w:val="1"/>
        </w:numPr>
        <w:spacing w:after="60"/>
      </w:pPr>
      <w:r>
        <w:rPr>
          <w:rFonts w:ascii="Calibri" w:cs="Calibri" w:eastAsia="Calibri" w:hAnsi="Calibri"/>
          <w:color w:val="333333"/>
          <w:sz w:val="22"/>
          <w:szCs w:val="22"/>
        </w:rPr>
        <w:t xml:space="preserve">Durability: All committed transactions are persisted to disk with write-ahead logging (WAL) and are backed up automatically.</w:t>
      </w:r>
    </w:p>
    <w:p>
      <w:pPr>
        <w:pStyle w:val="Heading2"/>
        <w:spacing w:after="120" w:before="300"/>
      </w:pPr>
      <w:r>
        <w:rPr>
          <w:rFonts w:ascii="Calibri" w:cs="Calibri" w:eastAsia="Calibri" w:hAnsi="Calibri"/>
          <w:b/>
          <w:bCs/>
          <w:color w:val="0A6E3C"/>
          <w:sz w:val="26"/>
          <w:szCs w:val="26"/>
        </w:rPr>
        <w:t xml:space="preserve">2.2 External Settlement</w:t>
      </w:r>
    </w:p>
    <w:p>
      <w:pPr>
        <w:spacing w:after="120" w:before="0"/>
        <w:jc w:val="both"/>
      </w:pPr>
      <w:r>
        <w:rPr>
          <w:rFonts w:ascii="Calibri" w:cs="Calibri" w:eastAsia="Calibri" w:hAnsi="Calibri"/>
          <w:b w:val="false"/>
          <w:bCs w:val="false"/>
          <w:i w:val="false"/>
          <w:iCs w:val="false"/>
          <w:color w:val="333333"/>
          <w:sz w:val="22"/>
          <w:szCs w:val="22"/>
        </w:rPr>
        <w:t xml:space="preserve">External settlement occurs when funds enter or leave the Monde system through mobile money operators or bank transfers. External settlement is facilitated through the Lipila Payment Gateway, which acts as the intermediary between Monde and the financial service providers.</w:t>
      </w:r>
    </w:p>
    <w:p>
      <w:pPr>
        <w:pStyle w:val="Heading2"/>
        <w:spacing w:after="120" w:before="300"/>
      </w:pPr>
      <w:r>
        <w:rPr>
          <w:rFonts w:ascii="Calibri" w:cs="Calibri" w:eastAsia="Calibri" w:hAnsi="Calibri"/>
          <w:b/>
          <w:bCs/>
          <w:color w:val="0A6E3C"/>
          <w:sz w:val="26"/>
          <w:szCs w:val="26"/>
        </w:rPr>
        <w:t xml:space="preserve">2.3 Fee Ledger</w:t>
      </w:r>
    </w:p>
    <w:p>
      <w:pPr>
        <w:spacing w:after="120" w:before="0"/>
        <w:jc w:val="both"/>
      </w:pPr>
      <w:r>
        <w:rPr>
          <w:rFonts w:ascii="Calibri" w:cs="Calibri" w:eastAsia="Calibri" w:hAnsi="Calibri"/>
          <w:b w:val="false"/>
          <w:bCs w:val="false"/>
          <w:i w:val="false"/>
          <w:iCs w:val="false"/>
          <w:color w:val="333333"/>
          <w:sz w:val="22"/>
          <w:szCs w:val="22"/>
        </w:rPr>
        <w:t xml:space="preserve">Monde maintains a dedicated fee ledger account (system account) that collects all transaction fees. This account is separate from customer funds and is used exclusively for fee collection and revenue management. The fee ledger:</w:t>
      </w:r>
    </w:p>
    <w:p>
      <w:pPr>
        <w:pStyle w:val="ListParagraph"/>
        <w:numPr>
          <w:ilvl w:val="0"/>
          <w:numId w:val="1"/>
        </w:numPr>
        <w:spacing w:after="60"/>
      </w:pPr>
      <w:r>
        <w:rPr>
          <w:rFonts w:ascii="Calibri" w:cs="Calibri" w:eastAsia="Calibri" w:hAnsi="Calibri"/>
          <w:color w:val="333333"/>
          <w:sz w:val="22"/>
          <w:szCs w:val="22"/>
        </w:rPr>
        <w:t xml:space="preserve">Receives P2P transaction fees (0.5% on amounts above K500)</w:t>
      </w:r>
    </w:p>
    <w:p>
      <w:pPr>
        <w:pStyle w:val="ListParagraph"/>
        <w:numPr>
          <w:ilvl w:val="0"/>
          <w:numId w:val="1"/>
        </w:numPr>
        <w:spacing w:after="60"/>
      </w:pPr>
      <w:r>
        <w:rPr>
          <w:rFonts w:ascii="Calibri" w:cs="Calibri" w:eastAsia="Calibri" w:hAnsi="Calibri"/>
          <w:color w:val="333333"/>
          <w:sz w:val="22"/>
          <w:szCs w:val="22"/>
        </w:rPr>
        <w:t xml:space="preserve">Receives the Monde portion of top-up fees (3% of top-up amount, net of Lipila charges)</w:t>
      </w:r>
    </w:p>
    <w:p>
      <w:pPr>
        <w:pStyle w:val="ListParagraph"/>
        <w:numPr>
          <w:ilvl w:val="0"/>
          <w:numId w:val="1"/>
        </w:numPr>
        <w:spacing w:after="60"/>
      </w:pPr>
      <w:r>
        <w:rPr>
          <w:rFonts w:ascii="Calibri" w:cs="Calibri" w:eastAsia="Calibri" w:hAnsi="Calibri"/>
          <w:color w:val="333333"/>
          <w:sz w:val="22"/>
          <w:szCs w:val="22"/>
        </w:rPr>
        <w:t xml:space="preserve">Receives the Monde portion of withdrawal fees (3% of withdrawal amount, net of Lipila charges)</w:t>
      </w:r>
    </w:p>
    <w:p>
      <w:pPr>
        <w:pStyle w:val="ListParagraph"/>
        <w:numPr>
          <w:ilvl w:val="0"/>
          <w:numId w:val="1"/>
        </w:numPr>
        <w:spacing w:after="60"/>
      </w:pPr>
      <w:r>
        <w:rPr>
          <w:rFonts w:ascii="Calibri" w:cs="Calibri" w:eastAsia="Calibri" w:hAnsi="Calibri"/>
          <w:color w:val="333333"/>
          <w:sz w:val="22"/>
          <w:szCs w:val="22"/>
        </w:rPr>
        <w:t xml:space="preserve">Receives the Monde portion of cash-out fees (30% of tiered fee)</w:t>
      </w:r>
    </w:p>
    <w:p>
      <w:pPr>
        <w:pStyle w:val="ListParagraph"/>
        <w:numPr>
          <w:ilvl w:val="0"/>
          <w:numId w:val="1"/>
        </w:numPr>
        <w:spacing w:after="60"/>
      </w:pPr>
      <w:r>
        <w:rPr>
          <w:rFonts w:ascii="Calibri" w:cs="Calibri" w:eastAsia="Calibri" w:hAnsi="Calibri"/>
          <w:color w:val="333333"/>
          <w:sz w:val="22"/>
          <w:szCs w:val="22"/>
        </w:rPr>
        <w:t xml:space="preserve">Disburses agent cash-in commissions (0.5% of deposit amount)</w:t>
      </w:r>
    </w:p>
    <w:p>
      <w:pPr>
        <w:pStyle w:val="ListParagraph"/>
        <w:numPr>
          <w:ilvl w:val="0"/>
          <w:numId w:val="1"/>
        </w:numPr>
        <w:spacing w:after="60"/>
      </w:pPr>
      <w:r>
        <w:rPr>
          <w:rFonts w:ascii="Calibri" w:cs="Calibri" w:eastAsia="Calibri" w:hAnsi="Calibri"/>
          <w:color w:val="333333"/>
          <w:sz w:val="22"/>
          <w:szCs w:val="22"/>
        </w:rPr>
        <w:t xml:space="preserve">Is reconciled daily by the finance team</w:t>
      </w:r>
    </w:p>
    <w:p>
      <w:r>
        <w:br w:type="page"/>
      </w:r>
    </w:p>
    <w:p>
      <w:pPr>
        <w:pStyle w:val="Heading1"/>
        <w:spacing w:after="120" w:before="300"/>
      </w:pPr>
      <w:r>
        <w:rPr>
          <w:rFonts w:ascii="Calibri" w:cs="Calibri" w:eastAsia="Calibri" w:hAnsi="Calibri"/>
          <w:b/>
          <w:bCs/>
          <w:color w:val="0A6E3C"/>
          <w:sz w:val="32"/>
          <w:szCs w:val="32"/>
        </w:rPr>
        <w:t xml:space="preserve">3. SETTLEMENT FLOWS BY TRANSACTION TYPE</w:t>
      </w:r>
    </w:p>
    <w:p>
      <w:pPr>
        <w:pStyle w:val="Heading2"/>
        <w:spacing w:after="120" w:before="300"/>
      </w:pPr>
      <w:r>
        <w:rPr>
          <w:rFonts w:ascii="Calibri" w:cs="Calibri" w:eastAsia="Calibri" w:hAnsi="Calibri"/>
          <w:b/>
          <w:bCs/>
          <w:color w:val="0A6E3C"/>
          <w:sz w:val="26"/>
          <w:szCs w:val="26"/>
        </w:rPr>
        <w:t xml:space="preserve">3.1 Person-to-Person (P2P) Payment Settlement</w:t>
      </w:r>
    </w:p>
    <w:p>
      <w:pPr>
        <w:spacing w:after="120" w:before="0"/>
        <w:jc w:val="both"/>
      </w:pPr>
      <w:r>
        <w:rPr>
          <w:rFonts w:ascii="Calibri" w:cs="Calibri" w:eastAsia="Calibri" w:hAnsi="Calibri"/>
          <w:b/>
          <w:bCs/>
          <w:i w:val="false"/>
          <w:iCs w:val="false"/>
          <w:color w:val="333333"/>
          <w:sz w:val="22"/>
          <w:szCs w:val="22"/>
        </w:rPr>
        <w:t xml:space="preserve">Settlement Type: Instant, Internal Ledger</w:t>
      </w:r>
    </w:p>
    <w:p>
      <w:pPr>
        <w:spacing w:after="120" w:before="0"/>
        <w:jc w:val="both"/>
      </w:pPr>
      <w:r>
        <w:rPr>
          <w:rFonts w:ascii="Calibri" w:cs="Calibri" w:eastAsia="Calibri" w:hAnsi="Calibri"/>
          <w:b/>
          <w:bCs/>
          <w:i w:val="false"/>
          <w:iCs w:val="false"/>
          <w:color w:val="333333"/>
          <w:sz w:val="22"/>
          <w:szCs w:val="22"/>
        </w:rPr>
        <w:t xml:space="preserve">Settlement Time: Real-time (T+0)</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Process Flow:</w:t>
      </w:r>
    </w:p>
    <w:p>
      <w:pPr>
        <w:pStyle w:val="ListParagraph"/>
        <w:numPr>
          <w:ilvl w:val="0"/>
          <w:numId w:val="1"/>
        </w:numPr>
        <w:spacing w:after="60"/>
      </w:pPr>
      <w:r>
        <w:rPr>
          <w:rFonts w:ascii="Calibri" w:cs="Calibri" w:eastAsia="Calibri" w:hAnsi="Calibri"/>
          <w:color w:val="333333"/>
          <w:sz w:val="22"/>
          <w:szCs w:val="22"/>
        </w:rPr>
        <w:t xml:space="preserve">1. Sender initiates payment through the Monde app (enters recipient, amount, confirms with PIN)</w:t>
      </w:r>
    </w:p>
    <w:p>
      <w:pPr>
        <w:pStyle w:val="ListParagraph"/>
        <w:numPr>
          <w:ilvl w:val="0"/>
          <w:numId w:val="1"/>
        </w:numPr>
        <w:spacing w:after="60"/>
      </w:pPr>
      <w:r>
        <w:rPr>
          <w:rFonts w:ascii="Calibri" w:cs="Calibri" w:eastAsia="Calibri" w:hAnsi="Calibri"/>
          <w:color w:val="333333"/>
          <w:sz w:val="22"/>
          <w:szCs w:val="22"/>
        </w:rPr>
        <w:t xml:space="preserve">2. System validates: sender balance sufficiency, account status (not frozen), daily limit compliance, tier limit compliance, recipient existence</w:t>
      </w:r>
    </w:p>
    <w:p>
      <w:pPr>
        <w:pStyle w:val="ListParagraph"/>
        <w:numPr>
          <w:ilvl w:val="0"/>
          <w:numId w:val="1"/>
        </w:numPr>
        <w:spacing w:after="60"/>
      </w:pPr>
      <w:r>
        <w:rPr>
          <w:rFonts w:ascii="Calibri" w:cs="Calibri" w:eastAsia="Calibri" w:hAnsi="Calibri"/>
          <w:color w:val="333333"/>
          <w:sz w:val="22"/>
          <w:szCs w:val="22"/>
        </w:rPr>
        <w:t xml:space="preserve">3. System calculates applicable fee (0% for amounts up to K500; 0.5% for amounts above K500)</w:t>
      </w:r>
    </w:p>
    <w:p>
      <w:pPr>
        <w:pStyle w:val="ListParagraph"/>
        <w:numPr>
          <w:ilvl w:val="0"/>
          <w:numId w:val="1"/>
        </w:numPr>
        <w:spacing w:after="60"/>
      </w:pPr>
      <w:r>
        <w:rPr>
          <w:rFonts w:ascii="Calibri" w:cs="Calibri" w:eastAsia="Calibri" w:hAnsi="Calibri"/>
          <w:color w:val="333333"/>
          <w:sz w:val="22"/>
          <w:szCs w:val="22"/>
        </w:rPr>
        <w:t xml:space="preserve">4. Database transaction executes atomically:</w:t>
      </w:r>
    </w:p>
    <w:p>
      <w:pPr>
        <w:pStyle w:val="ListParagraph"/>
        <w:numPr>
          <w:ilvl w:val="1"/>
          <w:numId w:val="1"/>
        </w:numPr>
        <w:spacing w:after="60"/>
      </w:pPr>
      <w:r>
        <w:rPr>
          <w:rFonts w:ascii="Calibri" w:cs="Calibri" w:eastAsia="Calibri" w:hAnsi="Calibri"/>
          <w:color w:val="333333"/>
          <w:sz w:val="22"/>
          <w:szCs w:val="22"/>
        </w:rPr>
        <w:t xml:space="preserve">   a. Debit sender wallet: payment amount + fee</w:t>
      </w:r>
    </w:p>
    <w:p>
      <w:pPr>
        <w:pStyle w:val="ListParagraph"/>
        <w:numPr>
          <w:ilvl w:val="1"/>
          <w:numId w:val="1"/>
        </w:numPr>
        <w:spacing w:after="60"/>
      </w:pPr>
      <w:r>
        <w:rPr>
          <w:rFonts w:ascii="Calibri" w:cs="Calibri" w:eastAsia="Calibri" w:hAnsi="Calibri"/>
          <w:color w:val="333333"/>
          <w:sz w:val="22"/>
          <w:szCs w:val="22"/>
        </w:rPr>
        <w:t xml:space="preserve">   b. Credit recipient wallet: payment amount</w:t>
      </w:r>
    </w:p>
    <w:p>
      <w:pPr>
        <w:pStyle w:val="ListParagraph"/>
        <w:numPr>
          <w:ilvl w:val="1"/>
          <w:numId w:val="1"/>
        </w:numPr>
        <w:spacing w:after="60"/>
      </w:pPr>
      <w:r>
        <w:rPr>
          <w:rFonts w:ascii="Calibri" w:cs="Calibri" w:eastAsia="Calibri" w:hAnsi="Calibri"/>
          <w:color w:val="333333"/>
          <w:sz w:val="22"/>
          <w:szCs w:val="22"/>
        </w:rPr>
        <w:t xml:space="preserve">   c. Credit fee ledger: fee amount</w:t>
      </w:r>
    </w:p>
    <w:p>
      <w:pPr>
        <w:pStyle w:val="ListParagraph"/>
        <w:numPr>
          <w:ilvl w:val="1"/>
          <w:numId w:val="1"/>
        </w:numPr>
        <w:spacing w:after="60"/>
      </w:pPr>
      <w:r>
        <w:rPr>
          <w:rFonts w:ascii="Calibri" w:cs="Calibri" w:eastAsia="Calibri" w:hAnsi="Calibri"/>
          <w:color w:val="333333"/>
          <w:sz w:val="22"/>
          <w:szCs w:val="22"/>
        </w:rPr>
        <w:t xml:space="preserve">   d. Create transaction record for sender (type: send)</w:t>
      </w:r>
    </w:p>
    <w:p>
      <w:pPr>
        <w:pStyle w:val="ListParagraph"/>
        <w:numPr>
          <w:ilvl w:val="1"/>
          <w:numId w:val="1"/>
        </w:numPr>
        <w:spacing w:after="60"/>
      </w:pPr>
      <w:r>
        <w:rPr>
          <w:rFonts w:ascii="Calibri" w:cs="Calibri" w:eastAsia="Calibri" w:hAnsi="Calibri"/>
          <w:color w:val="333333"/>
          <w:sz w:val="22"/>
          <w:szCs w:val="22"/>
        </w:rPr>
        <w:t xml:space="preserve">   e. Create transaction record for recipient (type: receive)</w:t>
      </w:r>
    </w:p>
    <w:p>
      <w:pPr>
        <w:pStyle w:val="ListParagraph"/>
        <w:numPr>
          <w:ilvl w:val="1"/>
          <w:numId w:val="1"/>
        </w:numPr>
        <w:spacing w:after="60"/>
      </w:pPr>
      <w:r>
        <w:rPr>
          <w:rFonts w:ascii="Calibri" w:cs="Calibri" w:eastAsia="Calibri" w:hAnsi="Calibri"/>
          <w:color w:val="333333"/>
          <w:sz w:val="22"/>
          <w:szCs w:val="22"/>
        </w:rPr>
        <w:t xml:space="preserve">   f. Create fee record in monde_fees table</w:t>
      </w:r>
    </w:p>
    <w:p>
      <w:pPr>
        <w:pStyle w:val="ListParagraph"/>
        <w:numPr>
          <w:ilvl w:val="0"/>
          <w:numId w:val="1"/>
        </w:numPr>
        <w:spacing w:after="60"/>
      </w:pPr>
      <w:r>
        <w:rPr>
          <w:rFonts w:ascii="Calibri" w:cs="Calibri" w:eastAsia="Calibri" w:hAnsi="Calibri"/>
          <w:color w:val="333333"/>
          <w:sz w:val="22"/>
          <w:szCs w:val="22"/>
        </w:rPr>
        <w:t xml:space="preserve">5. Realtime notification sent to both sender and recipient</w:t>
      </w:r>
    </w:p>
    <w:p>
      <w:pPr>
        <w:pStyle w:val="ListParagraph"/>
        <w:numPr>
          <w:ilvl w:val="0"/>
          <w:numId w:val="1"/>
        </w:numPr>
        <w:spacing w:after="60"/>
      </w:pPr>
      <w:r>
        <w:rPr>
          <w:rFonts w:ascii="Calibri" w:cs="Calibri" w:eastAsia="Calibri" w:hAnsi="Calibri"/>
          <w:color w:val="333333"/>
          <w:sz w:val="22"/>
          <w:szCs w:val="22"/>
        </w:rPr>
        <w:t xml:space="preserve">6. Settlement is final and irrevocable</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Settlement Diagram:</w:t>
      </w:r>
    </w:p>
    <w:p>
      <w:pPr>
        <w:spacing w:after="120" w:before="0"/>
        <w:jc w:val="both"/>
      </w:pPr>
      <w:r>
        <w:rPr>
          <w:rFonts w:ascii="Calibri" w:cs="Calibri" w:eastAsia="Calibri" w:hAnsi="Calibri"/>
          <w:b w:val="false"/>
          <w:bCs w:val="false"/>
          <w:i w:val="false"/>
          <w:iCs w:val="false"/>
          <w:color w:val="333333"/>
          <w:sz w:val="22"/>
          <w:szCs w:val="22"/>
        </w:rPr>
        <w:t xml:space="preserve">Sender Wallet --[Amount + Fee]--&gt; System</w:t>
      </w:r>
    </w:p>
    <w:p>
      <w:pPr>
        <w:spacing w:after="120" w:before="0"/>
        <w:jc w:val="both"/>
      </w:pPr>
      <w:r>
        <w:rPr>
          <w:rFonts w:ascii="Calibri" w:cs="Calibri" w:eastAsia="Calibri" w:hAnsi="Calibri"/>
          <w:b w:val="false"/>
          <w:bCs w:val="false"/>
          <w:i w:val="false"/>
          <w:iCs w:val="false"/>
          <w:color w:val="333333"/>
          <w:sz w:val="22"/>
          <w:szCs w:val="22"/>
        </w:rPr>
        <w:t xml:space="preserve">System --[Amount]--&gt; Recipient Wallet</w:t>
      </w:r>
    </w:p>
    <w:p>
      <w:pPr>
        <w:spacing w:after="120" w:before="0"/>
        <w:jc w:val="both"/>
      </w:pPr>
      <w:r>
        <w:rPr>
          <w:rFonts w:ascii="Calibri" w:cs="Calibri" w:eastAsia="Calibri" w:hAnsi="Calibri"/>
          <w:b w:val="false"/>
          <w:bCs w:val="false"/>
          <w:i w:val="false"/>
          <w:iCs w:val="false"/>
          <w:color w:val="333333"/>
          <w:sz w:val="22"/>
          <w:szCs w:val="22"/>
        </w:rPr>
        <w:t xml:space="preserve">System --[Fee]--&gt; Fee Ledger</w:t>
      </w:r>
    </w:p>
    <w:p>
      <w:r>
        <w:br w:type="page"/>
      </w:r>
    </w:p>
    <w:p>
      <w:pPr>
        <w:pStyle w:val="Heading2"/>
        <w:spacing w:after="120" w:before="300"/>
      </w:pPr>
      <w:r>
        <w:rPr>
          <w:rFonts w:ascii="Calibri" w:cs="Calibri" w:eastAsia="Calibri" w:hAnsi="Calibri"/>
          <w:b/>
          <w:bCs/>
          <w:color w:val="0A6E3C"/>
          <w:sz w:val="26"/>
          <w:szCs w:val="26"/>
        </w:rPr>
        <w:t xml:space="preserve">3.2 Wallet Top-Up Settlement</w:t>
      </w:r>
    </w:p>
    <w:p>
      <w:pPr>
        <w:spacing w:after="120" w:before="0"/>
        <w:jc w:val="both"/>
      </w:pPr>
      <w:r>
        <w:rPr>
          <w:rFonts w:ascii="Calibri" w:cs="Calibri" w:eastAsia="Calibri" w:hAnsi="Calibri"/>
          <w:b/>
          <w:bCs/>
          <w:i w:val="false"/>
          <w:iCs w:val="false"/>
          <w:color w:val="333333"/>
          <w:sz w:val="22"/>
          <w:szCs w:val="22"/>
        </w:rPr>
        <w:t xml:space="preserve">Settlement Type: External (Lipila Gateway) + Internal Ledger</w:t>
      </w:r>
    </w:p>
    <w:p>
      <w:pPr>
        <w:spacing w:after="120" w:before="0"/>
        <w:jc w:val="both"/>
      </w:pPr>
      <w:r>
        <w:rPr>
          <w:rFonts w:ascii="Calibri" w:cs="Calibri" w:eastAsia="Calibri" w:hAnsi="Calibri"/>
          <w:b/>
          <w:bCs/>
          <w:i w:val="false"/>
          <w:iCs w:val="false"/>
          <w:color w:val="333333"/>
          <w:sz w:val="22"/>
          <w:szCs w:val="22"/>
        </w:rPr>
        <w:t xml:space="preserve">Settlement Time: T+0 (typically 30 seconds to 2 minutes)</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Process Flow:</w:t>
      </w:r>
    </w:p>
    <w:p>
      <w:pPr>
        <w:pStyle w:val="ListParagraph"/>
        <w:numPr>
          <w:ilvl w:val="0"/>
          <w:numId w:val="1"/>
        </w:numPr>
        <w:spacing w:after="60"/>
      </w:pPr>
      <w:r>
        <w:rPr>
          <w:rFonts w:ascii="Calibri" w:cs="Calibri" w:eastAsia="Calibri" w:hAnsi="Calibri"/>
          <w:color w:val="333333"/>
          <w:sz w:val="22"/>
          <w:szCs w:val="22"/>
        </w:rPr>
        <w:t xml:space="preserve">1. User initiates top-up (selects amount and funding source)</w:t>
      </w:r>
    </w:p>
    <w:p>
      <w:pPr>
        <w:pStyle w:val="ListParagraph"/>
        <w:numPr>
          <w:ilvl w:val="0"/>
          <w:numId w:val="1"/>
        </w:numPr>
        <w:spacing w:after="60"/>
      </w:pPr>
      <w:r>
        <w:rPr>
          <w:rFonts w:ascii="Calibri" w:cs="Calibri" w:eastAsia="Calibri" w:hAnsi="Calibri"/>
          <w:color w:val="333333"/>
          <w:sz w:val="22"/>
          <w:szCs w:val="22"/>
        </w:rPr>
        <w:t xml:space="preserve">2. System creates a pending top-up transaction in the database</w:t>
      </w:r>
    </w:p>
    <w:p>
      <w:pPr>
        <w:pStyle w:val="ListParagraph"/>
        <w:numPr>
          <w:ilvl w:val="0"/>
          <w:numId w:val="1"/>
        </w:numPr>
        <w:spacing w:after="60"/>
      </w:pPr>
      <w:r>
        <w:rPr>
          <w:rFonts w:ascii="Calibri" w:cs="Calibri" w:eastAsia="Calibri" w:hAnsi="Calibri"/>
          <w:color w:val="333333"/>
          <w:sz w:val="22"/>
          <w:szCs w:val="22"/>
        </w:rPr>
        <w:t xml:space="preserve">3. Monde Edge Function sends collection request to Lipila API:</w:t>
      </w:r>
    </w:p>
    <w:p>
      <w:pPr>
        <w:pStyle w:val="ListParagraph"/>
        <w:numPr>
          <w:ilvl w:val="1"/>
          <w:numId w:val="1"/>
        </w:numPr>
        <w:spacing w:after="60"/>
      </w:pPr>
      <w:r>
        <w:rPr>
          <w:rFonts w:ascii="Calibri" w:cs="Calibri" w:eastAsia="Calibri" w:hAnsi="Calibri"/>
          <w:color w:val="333333"/>
          <w:sz w:val="22"/>
          <w:szCs w:val="22"/>
        </w:rPr>
        <w:t xml:space="preserve">   - For mobile money: Lipila initiates USSD push to user phone</w:t>
      </w:r>
    </w:p>
    <w:p>
      <w:pPr>
        <w:pStyle w:val="ListParagraph"/>
        <w:numPr>
          <w:ilvl w:val="1"/>
          <w:numId w:val="1"/>
        </w:numPr>
        <w:spacing w:after="60"/>
      </w:pPr>
      <w:r>
        <w:rPr>
          <w:rFonts w:ascii="Calibri" w:cs="Calibri" w:eastAsia="Calibri" w:hAnsi="Calibri"/>
          <w:color w:val="333333"/>
          <w:sz w:val="22"/>
          <w:szCs w:val="22"/>
        </w:rPr>
        <w:t xml:space="preserve">   - For card: Lipila initiates card authorization</w:t>
      </w:r>
    </w:p>
    <w:p>
      <w:pPr>
        <w:pStyle w:val="ListParagraph"/>
        <w:numPr>
          <w:ilvl w:val="0"/>
          <w:numId w:val="1"/>
        </w:numPr>
        <w:spacing w:after="60"/>
      </w:pPr>
      <w:r>
        <w:rPr>
          <w:rFonts w:ascii="Calibri" w:cs="Calibri" w:eastAsia="Calibri" w:hAnsi="Calibri"/>
          <w:color w:val="333333"/>
          <w:sz w:val="22"/>
          <w:szCs w:val="22"/>
        </w:rPr>
        <w:t xml:space="preserve">4. User approves the payment on their mobile money provider or card</w:t>
      </w:r>
    </w:p>
    <w:p>
      <w:pPr>
        <w:pStyle w:val="ListParagraph"/>
        <w:numPr>
          <w:ilvl w:val="0"/>
          <w:numId w:val="1"/>
        </w:numPr>
        <w:spacing w:after="60"/>
      </w:pPr>
      <w:r>
        <w:rPr>
          <w:rFonts w:ascii="Calibri" w:cs="Calibri" w:eastAsia="Calibri" w:hAnsi="Calibri"/>
          <w:color w:val="333333"/>
          <w:sz w:val="22"/>
          <w:szCs w:val="22"/>
        </w:rPr>
        <w:t xml:space="preserve">5. Lipila processes the collection and sends callback to Monde:</w:t>
      </w:r>
    </w:p>
    <w:p>
      <w:pPr>
        <w:pStyle w:val="ListParagraph"/>
        <w:numPr>
          <w:ilvl w:val="1"/>
          <w:numId w:val="1"/>
        </w:numPr>
        <w:spacing w:after="60"/>
      </w:pPr>
      <w:r>
        <w:rPr>
          <w:rFonts w:ascii="Calibri" w:cs="Calibri" w:eastAsia="Calibri" w:hAnsi="Calibri"/>
          <w:color w:val="333333"/>
          <w:sz w:val="22"/>
          <w:szCs w:val="22"/>
        </w:rPr>
        <w:t xml:space="preserve">   - Callback URL: Monde lipila-callback Edge Function</w:t>
      </w:r>
    </w:p>
    <w:p>
      <w:pPr>
        <w:pStyle w:val="ListParagraph"/>
        <w:numPr>
          <w:ilvl w:val="1"/>
          <w:numId w:val="1"/>
        </w:numPr>
        <w:spacing w:after="60"/>
      </w:pPr>
      <w:r>
        <w:rPr>
          <w:rFonts w:ascii="Calibri" w:cs="Calibri" w:eastAsia="Calibri" w:hAnsi="Calibri"/>
          <w:color w:val="333333"/>
          <w:sz w:val="22"/>
          <w:szCs w:val="22"/>
        </w:rPr>
        <w:t xml:space="preserve">   - Callback contains: referenceId, status (Successful/Failed), amount, accountNumber</w:t>
      </w:r>
    </w:p>
    <w:p>
      <w:pPr>
        <w:pStyle w:val="ListParagraph"/>
        <w:numPr>
          <w:ilvl w:val="0"/>
          <w:numId w:val="1"/>
        </w:numPr>
        <w:spacing w:after="60"/>
      </w:pPr>
      <w:r>
        <w:rPr>
          <w:rFonts w:ascii="Calibri" w:cs="Calibri" w:eastAsia="Calibri" w:hAnsi="Calibri"/>
          <w:color w:val="333333"/>
          <w:sz w:val="22"/>
          <w:szCs w:val="22"/>
        </w:rPr>
        <w:t xml:space="preserve">6. On successful callback:</w:t>
      </w:r>
    </w:p>
    <w:p>
      <w:pPr>
        <w:pStyle w:val="ListParagraph"/>
        <w:numPr>
          <w:ilvl w:val="1"/>
          <w:numId w:val="1"/>
        </w:numPr>
        <w:spacing w:after="60"/>
      </w:pPr>
      <w:r>
        <w:rPr>
          <w:rFonts w:ascii="Calibri" w:cs="Calibri" w:eastAsia="Calibri" w:hAnsi="Calibri"/>
          <w:color w:val="333333"/>
          <w:sz w:val="22"/>
          <w:szCs w:val="22"/>
        </w:rPr>
        <w:t xml:space="preserve">   a. Pending transaction is updated to confirmed status</w:t>
      </w:r>
    </w:p>
    <w:p>
      <w:pPr>
        <w:pStyle w:val="ListParagraph"/>
        <w:numPr>
          <w:ilvl w:val="1"/>
          <w:numId w:val="1"/>
        </w:numPr>
        <w:spacing w:after="60"/>
      </w:pPr>
      <w:r>
        <w:rPr>
          <w:rFonts w:ascii="Calibri" w:cs="Calibri" w:eastAsia="Calibri" w:hAnsi="Calibri"/>
          <w:color w:val="333333"/>
          <w:sz w:val="22"/>
          <w:szCs w:val="22"/>
        </w:rPr>
        <w:t xml:space="preserve">   b. User wallet is credited with: amount minus Monde fee (3% for mobile money; 4% for card)</w:t>
      </w:r>
    </w:p>
    <w:p>
      <w:pPr>
        <w:pStyle w:val="ListParagraph"/>
        <w:numPr>
          <w:ilvl w:val="1"/>
          <w:numId w:val="1"/>
        </w:numPr>
        <w:spacing w:after="60"/>
      </w:pPr>
      <w:r>
        <w:rPr>
          <w:rFonts w:ascii="Calibri" w:cs="Calibri" w:eastAsia="Calibri" w:hAnsi="Calibri"/>
          <w:color w:val="333333"/>
          <w:sz w:val="22"/>
          <w:szCs w:val="22"/>
        </w:rPr>
        <w:t xml:space="preserve">   c. Fee ledger is credited with: Monde fee portion</w:t>
      </w:r>
    </w:p>
    <w:p>
      <w:pPr>
        <w:pStyle w:val="ListParagraph"/>
        <w:numPr>
          <w:ilvl w:val="0"/>
          <w:numId w:val="1"/>
        </w:numPr>
        <w:spacing w:after="60"/>
      </w:pPr>
      <w:r>
        <w:rPr>
          <w:rFonts w:ascii="Calibri" w:cs="Calibri" w:eastAsia="Calibri" w:hAnsi="Calibri"/>
          <w:color w:val="333333"/>
          <w:sz w:val="22"/>
          <w:szCs w:val="22"/>
        </w:rPr>
        <w:t xml:space="preserve">7. On failed callback:</w:t>
      </w:r>
    </w:p>
    <w:p>
      <w:pPr>
        <w:pStyle w:val="ListParagraph"/>
        <w:numPr>
          <w:ilvl w:val="1"/>
          <w:numId w:val="1"/>
        </w:numPr>
        <w:spacing w:after="60"/>
      </w:pPr>
      <w:r>
        <w:rPr>
          <w:rFonts w:ascii="Calibri" w:cs="Calibri" w:eastAsia="Calibri" w:hAnsi="Calibri"/>
          <w:color w:val="333333"/>
          <w:sz w:val="22"/>
          <w:szCs w:val="22"/>
        </w:rPr>
        <w:t xml:space="preserve">   a. Pending transaction is marked as failed</w:t>
      </w:r>
    </w:p>
    <w:p>
      <w:pPr>
        <w:pStyle w:val="ListParagraph"/>
        <w:numPr>
          <w:ilvl w:val="1"/>
          <w:numId w:val="1"/>
        </w:numPr>
        <w:spacing w:after="60"/>
      </w:pPr>
      <w:r>
        <w:rPr>
          <w:rFonts w:ascii="Calibri" w:cs="Calibri" w:eastAsia="Calibri" w:hAnsi="Calibri"/>
          <w:color w:val="333333"/>
          <w:sz w:val="22"/>
          <w:szCs w:val="22"/>
        </w:rPr>
        <w:t xml:space="preserve">   b. No balance changes occur</w:t>
      </w:r>
    </w:p>
    <w:p>
      <w:pPr>
        <w:pStyle w:val="ListParagraph"/>
        <w:numPr>
          <w:ilvl w:val="1"/>
          <w:numId w:val="1"/>
        </w:numPr>
        <w:spacing w:after="60"/>
      </w:pPr>
      <w:r>
        <w:rPr>
          <w:rFonts w:ascii="Calibri" w:cs="Calibri" w:eastAsia="Calibri" w:hAnsi="Calibri"/>
          <w:color w:val="333333"/>
          <w:sz w:val="22"/>
          <w:szCs w:val="22"/>
        </w:rPr>
        <w:t xml:space="preserve">   c. User is notified of the failure</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Settlement Diagram:</w:t>
      </w:r>
    </w:p>
    <w:p>
      <w:pPr>
        <w:spacing w:after="120" w:before="0"/>
        <w:jc w:val="both"/>
      </w:pPr>
      <w:r>
        <w:rPr>
          <w:rFonts w:ascii="Calibri" w:cs="Calibri" w:eastAsia="Calibri" w:hAnsi="Calibri"/>
          <w:b w:val="false"/>
          <w:bCs w:val="false"/>
          <w:i w:val="false"/>
          <w:iCs w:val="false"/>
          <w:color w:val="333333"/>
          <w:sz w:val="22"/>
          <w:szCs w:val="22"/>
        </w:rPr>
        <w:t xml:space="preserve">User Mobile Money/Bank --[Amount]--&gt; Lipila Gateway</w:t>
      </w:r>
    </w:p>
    <w:p>
      <w:pPr>
        <w:spacing w:after="120" w:before="0"/>
        <w:jc w:val="both"/>
      </w:pPr>
      <w:r>
        <w:rPr>
          <w:rFonts w:ascii="Calibri" w:cs="Calibri" w:eastAsia="Calibri" w:hAnsi="Calibri"/>
          <w:b w:val="false"/>
          <w:bCs w:val="false"/>
          <w:i w:val="false"/>
          <w:iCs w:val="false"/>
          <w:color w:val="333333"/>
          <w:sz w:val="22"/>
          <w:szCs w:val="22"/>
        </w:rPr>
        <w:t xml:space="preserve">Lipila Gateway --[Amount - Lipila Fee]--&gt; Monde Settlement Account</w:t>
      </w:r>
    </w:p>
    <w:p>
      <w:pPr>
        <w:spacing w:after="120" w:before="0"/>
        <w:jc w:val="both"/>
      </w:pPr>
      <w:r>
        <w:rPr>
          <w:rFonts w:ascii="Calibri" w:cs="Calibri" w:eastAsia="Calibri" w:hAnsi="Calibri"/>
          <w:b w:val="false"/>
          <w:bCs w:val="false"/>
          <w:i w:val="false"/>
          <w:iCs w:val="false"/>
          <w:color w:val="333333"/>
          <w:sz w:val="22"/>
          <w:szCs w:val="22"/>
        </w:rPr>
        <w:t xml:space="preserve">Monde System --[Amount - Monde Fee]--&gt; User Wallet</w:t>
      </w:r>
    </w:p>
    <w:p>
      <w:pPr>
        <w:spacing w:after="120" w:before="0"/>
        <w:jc w:val="both"/>
      </w:pPr>
      <w:r>
        <w:rPr>
          <w:rFonts w:ascii="Calibri" w:cs="Calibri" w:eastAsia="Calibri" w:hAnsi="Calibri"/>
          <w:b w:val="false"/>
          <w:bCs w:val="false"/>
          <w:i w:val="false"/>
          <w:iCs w:val="false"/>
          <w:color w:val="333333"/>
          <w:sz w:val="22"/>
          <w:szCs w:val="22"/>
        </w:rPr>
        <w:t xml:space="preserve">Monde System --[Monde Fee - Lipila Fee]--&gt; Fee Ledger</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External Settlement: Lipila settles collected funds to Monde designated bank account on a T+1 basis. Lipila deducts its processing fee (2.5% for mobile money, 4% for card) before settlement.</w:t>
      </w:r>
    </w:p>
    <w:p>
      <w:pPr>
        <w:pStyle w:val="Heading2"/>
        <w:spacing w:after="120" w:before="300"/>
      </w:pPr>
      <w:r>
        <w:rPr>
          <w:rFonts w:ascii="Calibri" w:cs="Calibri" w:eastAsia="Calibri" w:hAnsi="Calibri"/>
          <w:b/>
          <w:bCs/>
          <w:color w:val="0A6E3C"/>
          <w:sz w:val="26"/>
          <w:szCs w:val="26"/>
        </w:rPr>
        <w:t xml:space="preserve">3.3 Wallet Withdrawal Settlement</w:t>
      </w:r>
    </w:p>
    <w:p>
      <w:pPr>
        <w:spacing w:after="120" w:before="0"/>
        <w:jc w:val="both"/>
      </w:pPr>
      <w:r>
        <w:rPr>
          <w:rFonts w:ascii="Calibri" w:cs="Calibri" w:eastAsia="Calibri" w:hAnsi="Calibri"/>
          <w:b/>
          <w:bCs/>
          <w:i w:val="false"/>
          <w:iCs w:val="false"/>
          <w:color w:val="333333"/>
          <w:sz w:val="22"/>
          <w:szCs w:val="22"/>
        </w:rPr>
        <w:t xml:space="preserve">Settlement Type: Internal Ledger + External (Lipila Gateway)</w:t>
      </w:r>
    </w:p>
    <w:p>
      <w:pPr>
        <w:spacing w:after="120" w:before="0"/>
        <w:jc w:val="both"/>
      </w:pPr>
      <w:r>
        <w:rPr>
          <w:rFonts w:ascii="Calibri" w:cs="Calibri" w:eastAsia="Calibri" w:hAnsi="Calibri"/>
          <w:b/>
          <w:bCs/>
          <w:i w:val="false"/>
          <w:iCs w:val="false"/>
          <w:color w:val="333333"/>
          <w:sz w:val="22"/>
          <w:szCs w:val="22"/>
        </w:rPr>
        <w:t xml:space="preserve">Settlement Time: T+0 (typically 30 seconds to 5 minutes)</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Process Flow:</w:t>
      </w:r>
    </w:p>
    <w:p>
      <w:pPr>
        <w:pStyle w:val="ListParagraph"/>
        <w:numPr>
          <w:ilvl w:val="0"/>
          <w:numId w:val="1"/>
        </w:numPr>
        <w:spacing w:after="60"/>
      </w:pPr>
      <w:r>
        <w:rPr>
          <w:rFonts w:ascii="Calibri" w:cs="Calibri" w:eastAsia="Calibri" w:hAnsi="Calibri"/>
          <w:color w:val="333333"/>
          <w:sz w:val="22"/>
          <w:szCs w:val="22"/>
        </w:rPr>
        <w:t xml:space="preserve">1. User initiates withdrawal (selects amount and destination)</w:t>
      </w:r>
    </w:p>
    <w:p>
      <w:pPr>
        <w:pStyle w:val="ListParagraph"/>
        <w:numPr>
          <w:ilvl w:val="0"/>
          <w:numId w:val="1"/>
        </w:numPr>
        <w:spacing w:after="60"/>
      </w:pPr>
      <w:r>
        <w:rPr>
          <w:rFonts w:ascii="Calibri" w:cs="Calibri" w:eastAsia="Calibri" w:hAnsi="Calibri"/>
          <w:color w:val="333333"/>
          <w:sz w:val="22"/>
          <w:szCs w:val="22"/>
        </w:rPr>
        <w:t xml:space="preserve">2. System validates: balance sufficiency, account status, daily limits, tier limits</w:t>
      </w:r>
    </w:p>
    <w:p>
      <w:pPr>
        <w:pStyle w:val="ListParagraph"/>
        <w:numPr>
          <w:ilvl w:val="0"/>
          <w:numId w:val="1"/>
        </w:numPr>
        <w:spacing w:after="60"/>
      </w:pPr>
      <w:r>
        <w:rPr>
          <w:rFonts w:ascii="Calibri" w:cs="Calibri" w:eastAsia="Calibri" w:hAnsi="Calibri"/>
          <w:color w:val="333333"/>
          <w:sz w:val="22"/>
          <w:szCs w:val="22"/>
        </w:rPr>
        <w:t xml:space="preserve">3. System calculates fee (3% of withdrawal amount)</w:t>
      </w:r>
    </w:p>
    <w:p>
      <w:pPr>
        <w:pStyle w:val="ListParagraph"/>
        <w:numPr>
          <w:ilvl w:val="0"/>
          <w:numId w:val="1"/>
        </w:numPr>
        <w:spacing w:after="60"/>
      </w:pPr>
      <w:r>
        <w:rPr>
          <w:rFonts w:ascii="Calibri" w:cs="Calibri" w:eastAsia="Calibri" w:hAnsi="Calibri"/>
          <w:color w:val="333333"/>
          <w:sz w:val="22"/>
          <w:szCs w:val="22"/>
        </w:rPr>
        <w:t xml:space="preserve">4. Database transaction executes atomically:</w:t>
      </w:r>
    </w:p>
    <w:p>
      <w:pPr>
        <w:pStyle w:val="ListParagraph"/>
        <w:numPr>
          <w:ilvl w:val="1"/>
          <w:numId w:val="1"/>
        </w:numPr>
        <w:spacing w:after="60"/>
      </w:pPr>
      <w:r>
        <w:rPr>
          <w:rFonts w:ascii="Calibri" w:cs="Calibri" w:eastAsia="Calibri" w:hAnsi="Calibri"/>
          <w:color w:val="333333"/>
          <w:sz w:val="22"/>
          <w:szCs w:val="22"/>
        </w:rPr>
        <w:t xml:space="preserve">   a. Debit user wallet: withdrawal amount + fee</w:t>
      </w:r>
    </w:p>
    <w:p>
      <w:pPr>
        <w:pStyle w:val="ListParagraph"/>
        <w:numPr>
          <w:ilvl w:val="1"/>
          <w:numId w:val="1"/>
        </w:numPr>
        <w:spacing w:after="60"/>
      </w:pPr>
      <w:r>
        <w:rPr>
          <w:rFonts w:ascii="Calibri" w:cs="Calibri" w:eastAsia="Calibri" w:hAnsi="Calibri"/>
          <w:color w:val="333333"/>
          <w:sz w:val="22"/>
          <w:szCs w:val="22"/>
        </w:rPr>
        <w:t xml:space="preserve">   b. Credit fee ledger: Monde fee portion</w:t>
      </w:r>
    </w:p>
    <w:p>
      <w:pPr>
        <w:pStyle w:val="ListParagraph"/>
        <w:numPr>
          <w:ilvl w:val="1"/>
          <w:numId w:val="1"/>
        </w:numPr>
        <w:spacing w:after="60"/>
      </w:pPr>
      <w:r>
        <w:rPr>
          <w:rFonts w:ascii="Calibri" w:cs="Calibri" w:eastAsia="Calibri" w:hAnsi="Calibri"/>
          <w:color w:val="333333"/>
          <w:sz w:val="22"/>
          <w:szCs w:val="22"/>
        </w:rPr>
        <w:t xml:space="preserve">   c. Create withdrawal transaction record</w:t>
      </w:r>
    </w:p>
    <w:p>
      <w:pPr>
        <w:pStyle w:val="ListParagraph"/>
        <w:numPr>
          <w:ilvl w:val="0"/>
          <w:numId w:val="1"/>
        </w:numPr>
        <w:spacing w:after="60"/>
      </w:pPr>
      <w:r>
        <w:rPr>
          <w:rFonts w:ascii="Calibri" w:cs="Calibri" w:eastAsia="Calibri" w:hAnsi="Calibri"/>
          <w:color w:val="333333"/>
          <w:sz w:val="22"/>
          <w:szCs w:val="22"/>
        </w:rPr>
        <w:t xml:space="preserve">5. Monde Edge Function sends disbursement request to Lipila API</w:t>
      </w:r>
    </w:p>
    <w:p>
      <w:pPr>
        <w:pStyle w:val="ListParagraph"/>
        <w:numPr>
          <w:ilvl w:val="0"/>
          <w:numId w:val="1"/>
        </w:numPr>
        <w:spacing w:after="60"/>
      </w:pPr>
      <w:r>
        <w:rPr>
          <w:rFonts w:ascii="Calibri" w:cs="Calibri" w:eastAsia="Calibri" w:hAnsi="Calibri"/>
          <w:color w:val="333333"/>
          <w:sz w:val="22"/>
          <w:szCs w:val="22"/>
        </w:rPr>
        <w:t xml:space="preserve">6. Lipila processes disbursement to user mobile money or bank account</w:t>
      </w:r>
    </w:p>
    <w:p>
      <w:pPr>
        <w:pStyle w:val="ListParagraph"/>
        <w:numPr>
          <w:ilvl w:val="0"/>
          <w:numId w:val="1"/>
        </w:numPr>
        <w:spacing w:after="60"/>
      </w:pPr>
      <w:r>
        <w:rPr>
          <w:rFonts w:ascii="Calibri" w:cs="Calibri" w:eastAsia="Calibri" w:hAnsi="Calibri"/>
          <w:color w:val="333333"/>
          <w:sz w:val="22"/>
          <w:szCs w:val="22"/>
        </w:rPr>
        <w:t xml:space="preserve">7. On successful Lipila callback: transaction confirmed</w:t>
      </w:r>
    </w:p>
    <w:p>
      <w:pPr>
        <w:pStyle w:val="ListParagraph"/>
        <w:numPr>
          <w:ilvl w:val="0"/>
          <w:numId w:val="1"/>
        </w:numPr>
        <w:spacing w:after="60"/>
      </w:pPr>
      <w:r>
        <w:rPr>
          <w:rFonts w:ascii="Calibri" w:cs="Calibri" w:eastAsia="Calibri" w:hAnsi="Calibri"/>
          <w:color w:val="333333"/>
          <w:sz w:val="22"/>
          <w:szCs w:val="22"/>
        </w:rPr>
        <w:t xml:space="preserve">8. On failed Lipila callback: funds reversed to user wallet</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Settlement Diagram:</w:t>
      </w:r>
    </w:p>
    <w:p>
      <w:pPr>
        <w:spacing w:after="120" w:before="0"/>
        <w:jc w:val="both"/>
      </w:pPr>
      <w:r>
        <w:rPr>
          <w:rFonts w:ascii="Calibri" w:cs="Calibri" w:eastAsia="Calibri" w:hAnsi="Calibri"/>
          <w:b w:val="false"/>
          <w:bCs w:val="false"/>
          <w:i w:val="false"/>
          <w:iCs w:val="false"/>
          <w:color w:val="333333"/>
          <w:sz w:val="22"/>
          <w:szCs w:val="22"/>
        </w:rPr>
        <w:t xml:space="preserve">User Wallet --[Amount + Fee]--&gt; System</w:t>
      </w:r>
    </w:p>
    <w:p>
      <w:pPr>
        <w:spacing w:after="120" w:before="0"/>
        <w:jc w:val="both"/>
      </w:pPr>
      <w:r>
        <w:rPr>
          <w:rFonts w:ascii="Calibri" w:cs="Calibri" w:eastAsia="Calibri" w:hAnsi="Calibri"/>
          <w:b w:val="false"/>
          <w:bCs w:val="false"/>
          <w:i w:val="false"/>
          <w:iCs w:val="false"/>
          <w:color w:val="333333"/>
          <w:sz w:val="22"/>
          <w:szCs w:val="22"/>
        </w:rPr>
        <w:t xml:space="preserve">System --[Fee]--&gt; Fee Ledger</w:t>
      </w:r>
    </w:p>
    <w:p>
      <w:pPr>
        <w:spacing w:after="120" w:before="0"/>
        <w:jc w:val="both"/>
      </w:pPr>
      <w:r>
        <w:rPr>
          <w:rFonts w:ascii="Calibri" w:cs="Calibri" w:eastAsia="Calibri" w:hAnsi="Calibri"/>
          <w:b w:val="false"/>
          <w:bCs w:val="false"/>
          <w:i w:val="false"/>
          <w:iCs w:val="false"/>
          <w:color w:val="333333"/>
          <w:sz w:val="22"/>
          <w:szCs w:val="22"/>
        </w:rPr>
        <w:t xml:space="preserve">Monde Settlement Account --[Amount]--&gt; Lipila Gateway</w:t>
      </w:r>
    </w:p>
    <w:p>
      <w:pPr>
        <w:spacing w:after="120" w:before="0"/>
        <w:jc w:val="both"/>
      </w:pPr>
      <w:r>
        <w:rPr>
          <w:rFonts w:ascii="Calibri" w:cs="Calibri" w:eastAsia="Calibri" w:hAnsi="Calibri"/>
          <w:b w:val="false"/>
          <w:bCs w:val="false"/>
          <w:i w:val="false"/>
          <w:iCs w:val="false"/>
          <w:color w:val="333333"/>
          <w:sz w:val="22"/>
          <w:szCs w:val="22"/>
        </w:rPr>
        <w:t xml:space="preserve">Lipila Gateway --[Amount - Lipila Fee]--&gt; User Mobile Money/Bank</w:t>
      </w:r>
    </w:p>
    <w:p>
      <w:r>
        <w:br w:type="page"/>
      </w:r>
    </w:p>
    <w:p>
      <w:pPr>
        <w:pStyle w:val="Heading2"/>
        <w:spacing w:after="120" w:before="300"/>
      </w:pPr>
      <w:r>
        <w:rPr>
          <w:rFonts w:ascii="Calibri" w:cs="Calibri" w:eastAsia="Calibri" w:hAnsi="Calibri"/>
          <w:b/>
          <w:bCs/>
          <w:color w:val="0A6E3C"/>
          <w:sz w:val="26"/>
          <w:szCs w:val="26"/>
        </w:rPr>
        <w:t xml:space="preserve">3.4 Agent Cash-In (Deposit) Settlement</w:t>
      </w:r>
    </w:p>
    <w:p>
      <w:pPr>
        <w:spacing w:after="120" w:before="0"/>
        <w:jc w:val="both"/>
      </w:pPr>
      <w:r>
        <w:rPr>
          <w:rFonts w:ascii="Calibri" w:cs="Calibri" w:eastAsia="Calibri" w:hAnsi="Calibri"/>
          <w:b/>
          <w:bCs/>
          <w:i w:val="false"/>
          <w:iCs w:val="false"/>
          <w:color w:val="333333"/>
          <w:sz w:val="22"/>
          <w:szCs w:val="22"/>
        </w:rPr>
        <w:t xml:space="preserve">Settlement Type: Instant, Internal Ledger</w:t>
      </w:r>
    </w:p>
    <w:p>
      <w:pPr>
        <w:spacing w:after="120" w:before="0"/>
        <w:jc w:val="both"/>
      </w:pPr>
      <w:r>
        <w:rPr>
          <w:rFonts w:ascii="Calibri" w:cs="Calibri" w:eastAsia="Calibri" w:hAnsi="Calibri"/>
          <w:b/>
          <w:bCs/>
          <w:i w:val="false"/>
          <w:iCs w:val="false"/>
          <w:color w:val="333333"/>
          <w:sz w:val="22"/>
          <w:szCs w:val="22"/>
        </w:rPr>
        <w:t xml:space="preserve">Settlement Time: Real-time (T+0)</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Process Flow:</w:t>
      </w:r>
    </w:p>
    <w:p>
      <w:pPr>
        <w:pStyle w:val="ListParagraph"/>
        <w:numPr>
          <w:ilvl w:val="0"/>
          <w:numId w:val="1"/>
        </w:numPr>
        <w:spacing w:after="60"/>
      </w:pPr>
      <w:r>
        <w:rPr>
          <w:rFonts w:ascii="Calibri" w:cs="Calibri" w:eastAsia="Calibri" w:hAnsi="Calibri"/>
          <w:color w:val="333333"/>
          <w:sz w:val="22"/>
          <w:szCs w:val="22"/>
        </w:rPr>
        <w:t xml:space="preserve">1. Customer presents cash to agent and provides their phone number</w:t>
      </w:r>
    </w:p>
    <w:p>
      <w:pPr>
        <w:pStyle w:val="ListParagraph"/>
        <w:numPr>
          <w:ilvl w:val="0"/>
          <w:numId w:val="1"/>
        </w:numPr>
        <w:spacing w:after="60"/>
      </w:pPr>
      <w:r>
        <w:rPr>
          <w:rFonts w:ascii="Calibri" w:cs="Calibri" w:eastAsia="Calibri" w:hAnsi="Calibri"/>
          <w:color w:val="333333"/>
          <w:sz w:val="22"/>
          <w:szCs w:val="22"/>
        </w:rPr>
        <w:t xml:space="preserve">2. Agent initiates cash-in through the Monde app (enters customer phone, amount)</w:t>
      </w:r>
    </w:p>
    <w:p>
      <w:pPr>
        <w:pStyle w:val="ListParagraph"/>
        <w:numPr>
          <w:ilvl w:val="0"/>
          <w:numId w:val="1"/>
        </w:numPr>
        <w:spacing w:after="60"/>
      </w:pPr>
      <w:r>
        <w:rPr>
          <w:rFonts w:ascii="Calibri" w:cs="Calibri" w:eastAsia="Calibri" w:hAnsi="Calibri"/>
          <w:color w:val="333333"/>
          <w:sz w:val="22"/>
          <w:szCs w:val="22"/>
        </w:rPr>
        <w:t xml:space="preserve">3. System validates: agent status, agent float balance, customer existence, customer not frozen, daily deposit limits (max 3 per customer per agent per day)</w:t>
      </w:r>
    </w:p>
    <w:p>
      <w:pPr>
        <w:pStyle w:val="ListParagraph"/>
        <w:numPr>
          <w:ilvl w:val="0"/>
          <w:numId w:val="1"/>
        </w:numPr>
        <w:spacing w:after="60"/>
      </w:pPr>
      <w:r>
        <w:rPr>
          <w:rFonts w:ascii="Calibri" w:cs="Calibri" w:eastAsia="Calibri" w:hAnsi="Calibri"/>
          <w:color w:val="333333"/>
          <w:sz w:val="22"/>
          <w:szCs w:val="22"/>
        </w:rPr>
        <w:t xml:space="preserve">4. Database transaction executes atomically:</w:t>
      </w:r>
    </w:p>
    <w:p>
      <w:pPr>
        <w:pStyle w:val="ListParagraph"/>
        <w:numPr>
          <w:ilvl w:val="1"/>
          <w:numId w:val="1"/>
        </w:numPr>
        <w:spacing w:after="60"/>
      </w:pPr>
      <w:r>
        <w:rPr>
          <w:rFonts w:ascii="Calibri" w:cs="Calibri" w:eastAsia="Calibri" w:hAnsi="Calibri"/>
          <w:color w:val="333333"/>
          <w:sz w:val="22"/>
          <w:szCs w:val="22"/>
        </w:rPr>
        <w:t xml:space="preserve">   a. Debit agent wallet: deposit amount</w:t>
      </w:r>
    </w:p>
    <w:p>
      <w:pPr>
        <w:pStyle w:val="ListParagraph"/>
        <w:numPr>
          <w:ilvl w:val="1"/>
          <w:numId w:val="1"/>
        </w:numPr>
        <w:spacing w:after="60"/>
      </w:pPr>
      <w:r>
        <w:rPr>
          <w:rFonts w:ascii="Calibri" w:cs="Calibri" w:eastAsia="Calibri" w:hAnsi="Calibri"/>
          <w:color w:val="333333"/>
          <w:sz w:val="22"/>
          <w:szCs w:val="22"/>
        </w:rPr>
        <w:t xml:space="preserve">   b. Credit customer wallet: deposit amount</w:t>
      </w:r>
    </w:p>
    <w:p>
      <w:pPr>
        <w:pStyle w:val="ListParagraph"/>
        <w:numPr>
          <w:ilvl w:val="1"/>
          <w:numId w:val="1"/>
        </w:numPr>
        <w:spacing w:after="60"/>
      </w:pPr>
      <w:r>
        <w:rPr>
          <w:rFonts w:ascii="Calibri" w:cs="Calibri" w:eastAsia="Calibri" w:hAnsi="Calibri"/>
          <w:color w:val="333333"/>
          <w:sz w:val="22"/>
          <w:szCs w:val="22"/>
        </w:rPr>
        <w:t xml:space="preserve">   c. Debit fee ledger: agent commission (0.5% of amount) — Monde pays the agent</w:t>
      </w:r>
    </w:p>
    <w:p>
      <w:pPr>
        <w:pStyle w:val="ListParagraph"/>
        <w:numPr>
          <w:ilvl w:val="1"/>
          <w:numId w:val="1"/>
        </w:numPr>
        <w:spacing w:after="60"/>
      </w:pPr>
      <w:r>
        <w:rPr>
          <w:rFonts w:ascii="Calibri" w:cs="Calibri" w:eastAsia="Calibri" w:hAnsi="Calibri"/>
          <w:color w:val="333333"/>
          <w:sz w:val="22"/>
          <w:szCs w:val="22"/>
        </w:rPr>
        <w:t xml:space="preserve">   d. Credit agent wallet: agent commission (0.5%)</w:t>
      </w:r>
    </w:p>
    <w:p>
      <w:pPr>
        <w:pStyle w:val="ListParagraph"/>
        <w:numPr>
          <w:ilvl w:val="1"/>
          <w:numId w:val="1"/>
        </w:numPr>
        <w:spacing w:after="60"/>
      </w:pPr>
      <w:r>
        <w:rPr>
          <w:rFonts w:ascii="Calibri" w:cs="Calibri" w:eastAsia="Calibri" w:hAnsi="Calibri"/>
          <w:color w:val="333333"/>
          <w:sz w:val="22"/>
          <w:szCs w:val="22"/>
        </w:rPr>
        <w:t xml:space="preserve">   e. Create transaction records for both agent and customer</w:t>
      </w:r>
    </w:p>
    <w:p>
      <w:pPr>
        <w:pStyle w:val="ListParagraph"/>
        <w:numPr>
          <w:ilvl w:val="1"/>
          <w:numId w:val="1"/>
        </w:numPr>
        <w:spacing w:after="60"/>
      </w:pPr>
      <w:r>
        <w:rPr>
          <w:rFonts w:ascii="Calibri" w:cs="Calibri" w:eastAsia="Calibri" w:hAnsi="Calibri"/>
          <w:color w:val="333333"/>
          <w:sz w:val="22"/>
          <w:szCs w:val="22"/>
        </w:rPr>
        <w:t xml:space="preserve">   f. Create fee record (fee_type: cashin_fee)</w:t>
      </w:r>
    </w:p>
    <w:p>
      <w:pPr>
        <w:pStyle w:val="ListParagraph"/>
        <w:numPr>
          <w:ilvl w:val="0"/>
          <w:numId w:val="1"/>
        </w:numPr>
        <w:spacing w:after="60"/>
      </w:pPr>
      <w:r>
        <w:rPr>
          <w:rFonts w:ascii="Calibri" w:cs="Calibri" w:eastAsia="Calibri" w:hAnsi="Calibri"/>
          <w:color w:val="333333"/>
          <w:sz w:val="22"/>
          <w:szCs w:val="22"/>
        </w:rPr>
        <w:t xml:space="preserve">5. Both agent and customer receive realtime balance updates</w:t>
      </w:r>
    </w:p>
    <w:p>
      <w:pPr>
        <w:spacing w:after="120" w:before="0"/>
        <w:jc w:val="both"/>
      </w:pPr>
      <w:r>
        <w:rPr>
          <w:rFonts w:ascii="Calibri" w:cs="Calibri" w:eastAsia="Calibri" w:hAnsi="Calibri"/>
          <w:b w:val="false"/>
          <w:bCs w:val="false"/>
          <w:i w:val="false"/>
          <w:iCs w:val="false"/>
          <w:color w:val="333333"/>
          <w:sz w:val="22"/>
          <w:szCs w:val="22"/>
        </w:rPr>
        <w:t xml:space="preserve">Note: The customer pays no fee for cash-in deposits. The 0.5% agent commission is paid by Monde from the fee ledger as an incentive for agents to facilitate deposits.</w:t>
      </w:r>
    </w:p>
    <w:p>
      <w:pPr>
        <w:pStyle w:val="Heading2"/>
        <w:spacing w:after="120" w:before="300"/>
      </w:pPr>
      <w:r>
        <w:rPr>
          <w:rFonts w:ascii="Calibri" w:cs="Calibri" w:eastAsia="Calibri" w:hAnsi="Calibri"/>
          <w:b/>
          <w:bCs/>
          <w:color w:val="0A6E3C"/>
          <w:sz w:val="26"/>
          <w:szCs w:val="26"/>
        </w:rPr>
        <w:t xml:space="preserve">3.5 Agent Cash-Out Settlement</w:t>
      </w:r>
    </w:p>
    <w:p>
      <w:pPr>
        <w:spacing w:after="120" w:before="0"/>
        <w:jc w:val="both"/>
      </w:pPr>
      <w:r>
        <w:rPr>
          <w:rFonts w:ascii="Calibri" w:cs="Calibri" w:eastAsia="Calibri" w:hAnsi="Calibri"/>
          <w:b/>
          <w:bCs/>
          <w:i w:val="false"/>
          <w:iCs w:val="false"/>
          <w:color w:val="333333"/>
          <w:sz w:val="22"/>
          <w:szCs w:val="22"/>
        </w:rPr>
        <w:t xml:space="preserve">Settlement Type: Instant, Internal Ledger</w:t>
      </w:r>
    </w:p>
    <w:p>
      <w:pPr>
        <w:spacing w:after="120" w:before="0"/>
        <w:jc w:val="both"/>
      </w:pPr>
      <w:r>
        <w:rPr>
          <w:rFonts w:ascii="Calibri" w:cs="Calibri" w:eastAsia="Calibri" w:hAnsi="Calibri"/>
          <w:b/>
          <w:bCs/>
          <w:i w:val="false"/>
          <w:iCs w:val="false"/>
          <w:color w:val="333333"/>
          <w:sz w:val="22"/>
          <w:szCs w:val="22"/>
        </w:rPr>
        <w:t xml:space="preserve">Settlement Time: Real-time (T+0)</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Process Flow:</w:t>
      </w:r>
    </w:p>
    <w:p>
      <w:pPr>
        <w:pStyle w:val="ListParagraph"/>
        <w:numPr>
          <w:ilvl w:val="0"/>
          <w:numId w:val="1"/>
        </w:numPr>
        <w:spacing w:after="60"/>
      </w:pPr>
      <w:r>
        <w:rPr>
          <w:rFonts w:ascii="Calibri" w:cs="Calibri" w:eastAsia="Calibri" w:hAnsi="Calibri"/>
          <w:color w:val="333333"/>
          <w:sz w:val="22"/>
          <w:szCs w:val="22"/>
        </w:rPr>
        <w:t xml:space="preserve">1. Customer initiates a cash-out request through the Monde app</w:t>
      </w:r>
    </w:p>
    <w:p>
      <w:pPr>
        <w:pStyle w:val="ListParagraph"/>
        <w:numPr>
          <w:ilvl w:val="0"/>
          <w:numId w:val="1"/>
        </w:numPr>
        <w:spacing w:after="60"/>
      </w:pPr>
      <w:r>
        <w:rPr>
          <w:rFonts w:ascii="Calibri" w:cs="Calibri" w:eastAsia="Calibri" w:hAnsi="Calibri"/>
          <w:color w:val="333333"/>
          <w:sz w:val="22"/>
          <w:szCs w:val="22"/>
        </w:rPr>
        <w:t xml:space="preserve">2. System validates: customer balance, account status, daily limits</w:t>
      </w:r>
    </w:p>
    <w:p>
      <w:pPr>
        <w:pStyle w:val="ListParagraph"/>
        <w:numPr>
          <w:ilvl w:val="0"/>
          <w:numId w:val="1"/>
        </w:numPr>
        <w:spacing w:after="60"/>
      </w:pPr>
      <w:r>
        <w:rPr>
          <w:rFonts w:ascii="Calibri" w:cs="Calibri" w:eastAsia="Calibri" w:hAnsi="Calibri"/>
          <w:color w:val="333333"/>
          <w:sz w:val="22"/>
          <w:szCs w:val="22"/>
        </w:rPr>
        <w:t xml:space="preserve">3. Agent confirms the cash-out and disburses physical cash</w:t>
      </w:r>
    </w:p>
    <w:p>
      <w:pPr>
        <w:pStyle w:val="ListParagraph"/>
        <w:numPr>
          <w:ilvl w:val="0"/>
          <w:numId w:val="1"/>
        </w:numPr>
        <w:spacing w:after="60"/>
      </w:pPr>
      <w:r>
        <w:rPr>
          <w:rFonts w:ascii="Calibri" w:cs="Calibri" w:eastAsia="Calibri" w:hAnsi="Calibri"/>
          <w:color w:val="333333"/>
          <w:sz w:val="22"/>
          <w:szCs w:val="22"/>
        </w:rPr>
        <w:t xml:space="preserve">4. Database transaction executes atomically:</w:t>
      </w:r>
    </w:p>
    <w:p>
      <w:pPr>
        <w:pStyle w:val="ListParagraph"/>
        <w:numPr>
          <w:ilvl w:val="1"/>
          <w:numId w:val="1"/>
        </w:numPr>
        <w:spacing w:after="60"/>
      </w:pPr>
      <w:r>
        <w:rPr>
          <w:rFonts w:ascii="Calibri" w:cs="Calibri" w:eastAsia="Calibri" w:hAnsi="Calibri"/>
          <w:color w:val="333333"/>
          <w:sz w:val="22"/>
          <w:szCs w:val="22"/>
        </w:rPr>
        <w:t xml:space="preserve">   a. Debit customer wallet: cash-out amount + tiered fee</w:t>
      </w:r>
    </w:p>
    <w:p>
      <w:pPr>
        <w:pStyle w:val="ListParagraph"/>
        <w:numPr>
          <w:ilvl w:val="1"/>
          <w:numId w:val="1"/>
        </w:numPr>
        <w:spacing w:after="60"/>
      </w:pPr>
      <w:r>
        <w:rPr>
          <w:rFonts w:ascii="Calibri" w:cs="Calibri" w:eastAsia="Calibri" w:hAnsi="Calibri"/>
          <w:color w:val="333333"/>
          <w:sz w:val="22"/>
          <w:szCs w:val="22"/>
        </w:rPr>
        <w:t xml:space="preserve">   b. Credit agent wallet: cash-out amount</w:t>
      </w:r>
    </w:p>
    <w:p>
      <w:pPr>
        <w:pStyle w:val="ListParagraph"/>
        <w:numPr>
          <w:ilvl w:val="1"/>
          <w:numId w:val="1"/>
        </w:numPr>
        <w:spacing w:after="60"/>
      </w:pPr>
      <w:r>
        <w:rPr>
          <w:rFonts w:ascii="Calibri" w:cs="Calibri" w:eastAsia="Calibri" w:hAnsi="Calibri"/>
          <w:color w:val="333333"/>
          <w:sz w:val="22"/>
          <w:szCs w:val="22"/>
        </w:rPr>
        <w:t xml:space="preserve">   c. Credit agent wallet: 70% of tiered fee (agent commission)</w:t>
      </w:r>
    </w:p>
    <w:p>
      <w:pPr>
        <w:pStyle w:val="ListParagraph"/>
        <w:numPr>
          <w:ilvl w:val="1"/>
          <w:numId w:val="1"/>
        </w:numPr>
        <w:spacing w:after="60"/>
      </w:pPr>
      <w:r>
        <w:rPr>
          <w:rFonts w:ascii="Calibri" w:cs="Calibri" w:eastAsia="Calibri" w:hAnsi="Calibri"/>
          <w:color w:val="333333"/>
          <w:sz w:val="22"/>
          <w:szCs w:val="22"/>
        </w:rPr>
        <w:t xml:space="preserve">   d. Credit fee ledger: 30% of tiered fee (Monde revenue)</w:t>
      </w:r>
    </w:p>
    <w:p>
      <w:pPr>
        <w:pStyle w:val="ListParagraph"/>
        <w:numPr>
          <w:ilvl w:val="1"/>
          <w:numId w:val="1"/>
        </w:numPr>
        <w:spacing w:after="60"/>
      </w:pPr>
      <w:r>
        <w:rPr>
          <w:rFonts w:ascii="Calibri" w:cs="Calibri" w:eastAsia="Calibri" w:hAnsi="Calibri"/>
          <w:color w:val="333333"/>
          <w:sz w:val="22"/>
          <w:szCs w:val="22"/>
        </w:rPr>
        <w:t xml:space="preserve">   e. Create transaction records for both parties</w:t>
      </w:r>
    </w:p>
    <w:p>
      <w:pPr>
        <w:pStyle w:val="ListParagraph"/>
        <w:numPr>
          <w:ilvl w:val="1"/>
          <w:numId w:val="1"/>
        </w:numPr>
        <w:spacing w:after="60"/>
      </w:pPr>
      <w:r>
        <w:rPr>
          <w:rFonts w:ascii="Calibri" w:cs="Calibri" w:eastAsia="Calibri" w:hAnsi="Calibri"/>
          <w:color w:val="333333"/>
          <w:sz w:val="22"/>
          <w:szCs w:val="22"/>
        </w:rPr>
        <w:t xml:space="preserve">   f. Create fee record (fee_type: cashout_fee)</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Cash-Out Fee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Transaction Amount</w:t>
            </w:r>
          </w:p>
        </w:tc>
        <w:tc>
          <w:tcPr>
            <w:tcW w:type="pct" w:w="25%"/>
            <w:shd w:color="0A6E3C" w:val="solid"/>
          </w:tcPr>
          <w:p>
            <w:pPr>
              <w:jc w:val="center"/>
            </w:pPr>
            <w:r>
              <w:rPr>
                <w:rFonts w:ascii="Calibri" w:cs="Calibri" w:eastAsia="Calibri" w:hAnsi="Calibri"/>
                <w:b/>
                <w:bCs/>
                <w:color w:val="FFFFFF"/>
                <w:sz w:val="20"/>
                <w:szCs w:val="20"/>
              </w:rPr>
              <w:t xml:space="preserve">Fee (ZMW)</w:t>
            </w:r>
          </w:p>
        </w:tc>
        <w:tc>
          <w:tcPr>
            <w:tcW w:type="pct" w:w="25%"/>
            <w:shd w:color="0A6E3C" w:val="solid"/>
          </w:tcPr>
          <w:p>
            <w:pPr>
              <w:jc w:val="center"/>
            </w:pPr>
            <w:r>
              <w:rPr>
                <w:rFonts w:ascii="Calibri" w:cs="Calibri" w:eastAsia="Calibri" w:hAnsi="Calibri"/>
                <w:b/>
                <w:bCs/>
                <w:color w:val="FFFFFF"/>
                <w:sz w:val="20"/>
                <w:szCs w:val="20"/>
              </w:rPr>
              <w:t xml:space="preserve">Agent Share (70%)</w:t>
            </w:r>
          </w:p>
        </w:tc>
        <w:tc>
          <w:tcPr>
            <w:tcW w:type="pct" w:w="25%"/>
            <w:shd w:color="0A6E3C" w:val="solid"/>
          </w:tcPr>
          <w:p>
            <w:pPr>
              <w:jc w:val="center"/>
            </w:pPr>
            <w:r>
              <w:rPr>
                <w:rFonts w:ascii="Calibri" w:cs="Calibri" w:eastAsia="Calibri" w:hAnsi="Calibri"/>
                <w:b/>
                <w:bCs/>
                <w:color w:val="FFFFFF"/>
                <w:sz w:val="20"/>
                <w:szCs w:val="20"/>
              </w:rPr>
              <w:t xml:space="preserve">Monde Share (30%)</w:t>
            </w:r>
          </w:p>
        </w:tc>
      </w:tr>
      <w:tr>
        <w:tc>
          <w:tcPr>
            <w:tcW w:type="pct" w:w="25%"/>
          </w:tcPr>
          <w:p>
            <w:r>
              <w:rPr>
                <w:rFonts w:ascii="Calibri" w:cs="Calibri" w:eastAsia="Calibri" w:hAnsi="Calibri"/>
                <w:color w:val="333333"/>
                <w:sz w:val="20"/>
                <w:szCs w:val="20"/>
              </w:rPr>
              <w:t xml:space="preserve">K1 - K50</w:t>
            </w:r>
          </w:p>
        </w:tc>
        <w:tc>
          <w:tcPr>
            <w:tcW w:type="pct" w:w="25%"/>
          </w:tcPr>
          <w:p>
            <w:r>
              <w:rPr>
                <w:rFonts w:ascii="Calibri" w:cs="Calibri" w:eastAsia="Calibri" w:hAnsi="Calibri"/>
                <w:color w:val="333333"/>
                <w:sz w:val="20"/>
                <w:szCs w:val="20"/>
              </w:rPr>
              <w:t xml:space="preserve">K2.50</w:t>
            </w:r>
          </w:p>
        </w:tc>
        <w:tc>
          <w:tcPr>
            <w:tcW w:type="pct" w:w="25%"/>
          </w:tcPr>
          <w:p>
            <w:r>
              <w:rPr>
                <w:rFonts w:ascii="Calibri" w:cs="Calibri" w:eastAsia="Calibri" w:hAnsi="Calibri"/>
                <w:color w:val="333333"/>
                <w:sz w:val="20"/>
                <w:szCs w:val="20"/>
              </w:rPr>
              <w:t xml:space="preserve">K1.75</w:t>
            </w:r>
          </w:p>
        </w:tc>
        <w:tc>
          <w:tcPr>
            <w:tcW w:type="pct" w:w="25%"/>
          </w:tcPr>
          <w:p>
            <w:r>
              <w:rPr>
                <w:rFonts w:ascii="Calibri" w:cs="Calibri" w:eastAsia="Calibri" w:hAnsi="Calibri"/>
                <w:color w:val="333333"/>
                <w:sz w:val="20"/>
                <w:szCs w:val="20"/>
              </w:rPr>
              <w:t xml:space="preserve">K0.75</w:t>
            </w:r>
          </w:p>
        </w:tc>
      </w:tr>
      <w:tr>
        <w:tc>
          <w:tcPr>
            <w:tcW w:type="pct" w:w="25%"/>
          </w:tcPr>
          <w:p>
            <w:r>
              <w:rPr>
                <w:rFonts w:ascii="Calibri" w:cs="Calibri" w:eastAsia="Calibri" w:hAnsi="Calibri"/>
                <w:color w:val="333333"/>
                <w:sz w:val="20"/>
                <w:szCs w:val="20"/>
              </w:rPr>
              <w:t xml:space="preserve">K51 - K100</w:t>
            </w:r>
          </w:p>
        </w:tc>
        <w:tc>
          <w:tcPr>
            <w:tcW w:type="pct" w:w="25%"/>
          </w:tcPr>
          <w:p>
            <w:r>
              <w:rPr>
                <w:rFonts w:ascii="Calibri" w:cs="Calibri" w:eastAsia="Calibri" w:hAnsi="Calibri"/>
                <w:color w:val="333333"/>
                <w:sz w:val="20"/>
                <w:szCs w:val="20"/>
              </w:rPr>
              <w:t xml:space="preserve">K5.00</w:t>
            </w:r>
          </w:p>
        </w:tc>
        <w:tc>
          <w:tcPr>
            <w:tcW w:type="pct" w:w="25%"/>
          </w:tcPr>
          <w:p>
            <w:r>
              <w:rPr>
                <w:rFonts w:ascii="Calibri" w:cs="Calibri" w:eastAsia="Calibri" w:hAnsi="Calibri"/>
                <w:color w:val="333333"/>
                <w:sz w:val="20"/>
                <w:szCs w:val="20"/>
              </w:rPr>
              <w:t xml:space="preserve">K3.50</w:t>
            </w:r>
          </w:p>
        </w:tc>
        <w:tc>
          <w:tcPr>
            <w:tcW w:type="pct" w:w="25%"/>
          </w:tcPr>
          <w:p>
            <w:r>
              <w:rPr>
                <w:rFonts w:ascii="Calibri" w:cs="Calibri" w:eastAsia="Calibri" w:hAnsi="Calibri"/>
                <w:color w:val="333333"/>
                <w:sz w:val="20"/>
                <w:szCs w:val="20"/>
              </w:rPr>
              <w:t xml:space="preserve">K1.50</w:t>
            </w:r>
          </w:p>
        </w:tc>
      </w:tr>
      <w:tr>
        <w:tc>
          <w:tcPr>
            <w:tcW w:type="pct" w:w="25%"/>
          </w:tcPr>
          <w:p>
            <w:r>
              <w:rPr>
                <w:rFonts w:ascii="Calibri" w:cs="Calibri" w:eastAsia="Calibri" w:hAnsi="Calibri"/>
                <w:color w:val="333333"/>
                <w:sz w:val="20"/>
                <w:szCs w:val="20"/>
              </w:rPr>
              <w:t xml:space="preserve">K101 - K500</w:t>
            </w:r>
          </w:p>
        </w:tc>
        <w:tc>
          <w:tcPr>
            <w:tcW w:type="pct" w:w="25%"/>
          </w:tcPr>
          <w:p>
            <w:r>
              <w:rPr>
                <w:rFonts w:ascii="Calibri" w:cs="Calibri" w:eastAsia="Calibri" w:hAnsi="Calibri"/>
                <w:color w:val="333333"/>
                <w:sz w:val="20"/>
                <w:szCs w:val="20"/>
              </w:rPr>
              <w:t xml:space="preserve">K10.00</w:t>
            </w:r>
          </w:p>
        </w:tc>
        <w:tc>
          <w:tcPr>
            <w:tcW w:type="pct" w:w="25%"/>
          </w:tcPr>
          <w:p>
            <w:r>
              <w:rPr>
                <w:rFonts w:ascii="Calibri" w:cs="Calibri" w:eastAsia="Calibri" w:hAnsi="Calibri"/>
                <w:color w:val="333333"/>
                <w:sz w:val="20"/>
                <w:szCs w:val="20"/>
              </w:rPr>
              <w:t xml:space="preserve">K7.00</w:t>
            </w:r>
          </w:p>
        </w:tc>
        <w:tc>
          <w:tcPr>
            <w:tcW w:type="pct" w:w="25%"/>
          </w:tcPr>
          <w:p>
            <w:r>
              <w:rPr>
                <w:rFonts w:ascii="Calibri" w:cs="Calibri" w:eastAsia="Calibri" w:hAnsi="Calibri"/>
                <w:color w:val="333333"/>
                <w:sz w:val="20"/>
                <w:szCs w:val="20"/>
              </w:rPr>
              <w:t xml:space="preserve">K3.00</w:t>
            </w:r>
          </w:p>
        </w:tc>
      </w:tr>
      <w:tr>
        <w:tc>
          <w:tcPr>
            <w:tcW w:type="pct" w:w="25%"/>
          </w:tcPr>
          <w:p>
            <w:r>
              <w:rPr>
                <w:rFonts w:ascii="Calibri" w:cs="Calibri" w:eastAsia="Calibri" w:hAnsi="Calibri"/>
                <w:color w:val="333333"/>
                <w:sz w:val="20"/>
                <w:szCs w:val="20"/>
              </w:rPr>
              <w:t xml:space="preserve">K501 - K1,000</w:t>
            </w:r>
          </w:p>
        </w:tc>
        <w:tc>
          <w:tcPr>
            <w:tcW w:type="pct" w:w="25%"/>
          </w:tcPr>
          <w:p>
            <w:r>
              <w:rPr>
                <w:rFonts w:ascii="Calibri" w:cs="Calibri" w:eastAsia="Calibri" w:hAnsi="Calibri"/>
                <w:color w:val="333333"/>
                <w:sz w:val="20"/>
                <w:szCs w:val="20"/>
              </w:rPr>
              <w:t xml:space="preserve">K15.00</w:t>
            </w:r>
          </w:p>
        </w:tc>
        <w:tc>
          <w:tcPr>
            <w:tcW w:type="pct" w:w="25%"/>
          </w:tcPr>
          <w:p>
            <w:r>
              <w:rPr>
                <w:rFonts w:ascii="Calibri" w:cs="Calibri" w:eastAsia="Calibri" w:hAnsi="Calibri"/>
                <w:color w:val="333333"/>
                <w:sz w:val="20"/>
                <w:szCs w:val="20"/>
              </w:rPr>
              <w:t xml:space="preserve">K10.50</w:t>
            </w:r>
          </w:p>
        </w:tc>
        <w:tc>
          <w:tcPr>
            <w:tcW w:type="pct" w:w="25%"/>
          </w:tcPr>
          <w:p>
            <w:r>
              <w:rPr>
                <w:rFonts w:ascii="Calibri" w:cs="Calibri" w:eastAsia="Calibri" w:hAnsi="Calibri"/>
                <w:color w:val="333333"/>
                <w:sz w:val="20"/>
                <w:szCs w:val="20"/>
              </w:rPr>
              <w:t xml:space="preserve">K4.50</w:t>
            </w:r>
          </w:p>
        </w:tc>
      </w:tr>
      <w:tr>
        <w:tc>
          <w:tcPr>
            <w:tcW w:type="pct" w:w="25%"/>
          </w:tcPr>
          <w:p>
            <w:r>
              <w:rPr>
                <w:rFonts w:ascii="Calibri" w:cs="Calibri" w:eastAsia="Calibri" w:hAnsi="Calibri"/>
                <w:color w:val="333333"/>
                <w:sz w:val="20"/>
                <w:szCs w:val="20"/>
              </w:rPr>
              <w:t xml:space="preserve">K1,001 - K2,500</w:t>
            </w:r>
          </w:p>
        </w:tc>
        <w:tc>
          <w:tcPr>
            <w:tcW w:type="pct" w:w="25%"/>
          </w:tcPr>
          <w:p>
            <w:r>
              <w:rPr>
                <w:rFonts w:ascii="Calibri" w:cs="Calibri" w:eastAsia="Calibri" w:hAnsi="Calibri"/>
                <w:color w:val="333333"/>
                <w:sz w:val="20"/>
                <w:szCs w:val="20"/>
              </w:rPr>
              <w:t xml:space="preserve">K20.00</w:t>
            </w:r>
          </w:p>
        </w:tc>
        <w:tc>
          <w:tcPr>
            <w:tcW w:type="pct" w:w="25%"/>
          </w:tcPr>
          <w:p>
            <w:r>
              <w:rPr>
                <w:rFonts w:ascii="Calibri" w:cs="Calibri" w:eastAsia="Calibri" w:hAnsi="Calibri"/>
                <w:color w:val="333333"/>
                <w:sz w:val="20"/>
                <w:szCs w:val="20"/>
              </w:rPr>
              <w:t xml:space="preserve">K14.00</w:t>
            </w:r>
          </w:p>
        </w:tc>
        <w:tc>
          <w:tcPr>
            <w:tcW w:type="pct" w:w="25%"/>
          </w:tcPr>
          <w:p>
            <w:r>
              <w:rPr>
                <w:rFonts w:ascii="Calibri" w:cs="Calibri" w:eastAsia="Calibri" w:hAnsi="Calibri"/>
                <w:color w:val="333333"/>
                <w:sz w:val="20"/>
                <w:szCs w:val="20"/>
              </w:rPr>
              <w:t xml:space="preserve">K6.00</w:t>
            </w:r>
          </w:p>
        </w:tc>
      </w:tr>
      <w:tr>
        <w:tc>
          <w:tcPr>
            <w:tcW w:type="pct" w:w="25%"/>
          </w:tcPr>
          <w:p>
            <w:r>
              <w:rPr>
                <w:rFonts w:ascii="Calibri" w:cs="Calibri" w:eastAsia="Calibri" w:hAnsi="Calibri"/>
                <w:color w:val="333333"/>
                <w:sz w:val="20"/>
                <w:szCs w:val="20"/>
              </w:rPr>
              <w:t xml:space="preserve">K2,501 - K5,000</w:t>
            </w:r>
          </w:p>
        </w:tc>
        <w:tc>
          <w:tcPr>
            <w:tcW w:type="pct" w:w="25%"/>
          </w:tcPr>
          <w:p>
            <w:r>
              <w:rPr>
                <w:rFonts w:ascii="Calibri" w:cs="Calibri" w:eastAsia="Calibri" w:hAnsi="Calibri"/>
                <w:color w:val="333333"/>
                <w:sz w:val="20"/>
                <w:szCs w:val="20"/>
              </w:rPr>
              <w:t xml:space="preserve">K30.00</w:t>
            </w:r>
          </w:p>
        </w:tc>
        <w:tc>
          <w:tcPr>
            <w:tcW w:type="pct" w:w="25%"/>
          </w:tcPr>
          <w:p>
            <w:r>
              <w:rPr>
                <w:rFonts w:ascii="Calibri" w:cs="Calibri" w:eastAsia="Calibri" w:hAnsi="Calibri"/>
                <w:color w:val="333333"/>
                <w:sz w:val="20"/>
                <w:szCs w:val="20"/>
              </w:rPr>
              <w:t xml:space="preserve">K21.00</w:t>
            </w:r>
          </w:p>
        </w:tc>
        <w:tc>
          <w:tcPr>
            <w:tcW w:type="pct" w:w="25%"/>
          </w:tcPr>
          <w:p>
            <w:r>
              <w:rPr>
                <w:rFonts w:ascii="Calibri" w:cs="Calibri" w:eastAsia="Calibri" w:hAnsi="Calibri"/>
                <w:color w:val="333333"/>
                <w:sz w:val="20"/>
                <w:szCs w:val="20"/>
              </w:rPr>
              <w:t xml:space="preserve">K9.00</w:t>
            </w:r>
          </w:p>
        </w:tc>
      </w:tr>
      <w:tr>
        <w:tc>
          <w:tcPr>
            <w:tcW w:type="pct" w:w="25%"/>
          </w:tcPr>
          <w:p>
            <w:r>
              <w:rPr>
                <w:rFonts w:ascii="Calibri" w:cs="Calibri" w:eastAsia="Calibri" w:hAnsi="Calibri"/>
                <w:color w:val="333333"/>
                <w:sz w:val="20"/>
                <w:szCs w:val="20"/>
              </w:rPr>
              <w:t xml:space="preserve">K5,001 - K10,000</w:t>
            </w:r>
          </w:p>
        </w:tc>
        <w:tc>
          <w:tcPr>
            <w:tcW w:type="pct" w:w="25%"/>
          </w:tcPr>
          <w:p>
            <w:r>
              <w:rPr>
                <w:rFonts w:ascii="Calibri" w:cs="Calibri" w:eastAsia="Calibri" w:hAnsi="Calibri"/>
                <w:color w:val="333333"/>
                <w:sz w:val="20"/>
                <w:szCs w:val="20"/>
              </w:rPr>
              <w:t xml:space="preserve">K40.00</w:t>
            </w:r>
          </w:p>
        </w:tc>
        <w:tc>
          <w:tcPr>
            <w:tcW w:type="pct" w:w="25%"/>
          </w:tcPr>
          <w:p>
            <w:r>
              <w:rPr>
                <w:rFonts w:ascii="Calibri" w:cs="Calibri" w:eastAsia="Calibri" w:hAnsi="Calibri"/>
                <w:color w:val="333333"/>
                <w:sz w:val="20"/>
                <w:szCs w:val="20"/>
              </w:rPr>
              <w:t xml:space="preserve">K28.00</w:t>
            </w:r>
          </w:p>
        </w:tc>
        <w:tc>
          <w:tcPr>
            <w:tcW w:type="pct" w:w="25%"/>
          </w:tcPr>
          <w:p>
            <w:r>
              <w:rPr>
                <w:rFonts w:ascii="Calibri" w:cs="Calibri" w:eastAsia="Calibri" w:hAnsi="Calibri"/>
                <w:color w:val="333333"/>
                <w:sz w:val="20"/>
                <w:szCs w:val="20"/>
              </w:rPr>
              <w:t xml:space="preserve">K12.00</w:t>
            </w:r>
          </w:p>
        </w:tc>
      </w:tr>
      <w:tr>
        <w:tc>
          <w:tcPr>
            <w:tcW w:type="pct" w:w="25%"/>
          </w:tcPr>
          <w:p>
            <w:r>
              <w:rPr>
                <w:rFonts w:ascii="Calibri" w:cs="Calibri" w:eastAsia="Calibri" w:hAnsi="Calibri"/>
                <w:color w:val="333333"/>
                <w:sz w:val="20"/>
                <w:szCs w:val="20"/>
              </w:rPr>
              <w:t xml:space="preserve">K10,001+</w:t>
            </w:r>
          </w:p>
        </w:tc>
        <w:tc>
          <w:tcPr>
            <w:tcW w:type="pct" w:w="25%"/>
          </w:tcPr>
          <w:p>
            <w:r>
              <w:rPr>
                <w:rFonts w:ascii="Calibri" w:cs="Calibri" w:eastAsia="Calibri" w:hAnsi="Calibri"/>
                <w:color w:val="333333"/>
                <w:sz w:val="20"/>
                <w:szCs w:val="20"/>
              </w:rPr>
              <w:t xml:space="preserve">K50.00</w:t>
            </w:r>
          </w:p>
        </w:tc>
        <w:tc>
          <w:tcPr>
            <w:tcW w:type="pct" w:w="25%"/>
          </w:tcPr>
          <w:p>
            <w:r>
              <w:rPr>
                <w:rFonts w:ascii="Calibri" w:cs="Calibri" w:eastAsia="Calibri" w:hAnsi="Calibri"/>
                <w:color w:val="333333"/>
                <w:sz w:val="20"/>
                <w:szCs w:val="20"/>
              </w:rPr>
              <w:t xml:space="preserve">K35.00</w:t>
            </w:r>
          </w:p>
        </w:tc>
        <w:tc>
          <w:tcPr>
            <w:tcW w:type="pct" w:w="25%"/>
          </w:tcPr>
          <w:p>
            <w:r>
              <w:rPr>
                <w:rFonts w:ascii="Calibri" w:cs="Calibri" w:eastAsia="Calibri" w:hAnsi="Calibri"/>
                <w:color w:val="333333"/>
                <w:sz w:val="20"/>
                <w:szCs w:val="20"/>
              </w:rPr>
              <w:t xml:space="preserve">K15.00</w:t>
            </w:r>
          </w:p>
        </w:tc>
      </w:tr>
    </w:tbl>
    <w:p>
      <w:pPr>
        <w:spacing w:after="200"/>
      </w:pPr>
    </w:p>
    <w:p>
      <w:r>
        <w:br w:type="page"/>
      </w:r>
    </w:p>
    <w:p>
      <w:pPr>
        <w:pStyle w:val="Heading1"/>
        <w:spacing w:after="120" w:before="300"/>
      </w:pPr>
      <w:r>
        <w:rPr>
          <w:rFonts w:ascii="Calibri" w:cs="Calibri" w:eastAsia="Calibri" w:hAnsi="Calibri"/>
          <w:b/>
          <w:bCs/>
          <w:color w:val="0A6E3C"/>
          <w:sz w:val="32"/>
          <w:szCs w:val="32"/>
        </w:rPr>
        <w:t xml:space="preserve">4. RECONCILIATION PROCEDURES</w:t>
      </w:r>
    </w:p>
    <w:p>
      <w:pPr>
        <w:pStyle w:val="Heading2"/>
        <w:spacing w:after="120" w:before="300"/>
      </w:pPr>
      <w:r>
        <w:rPr>
          <w:rFonts w:ascii="Calibri" w:cs="Calibri" w:eastAsia="Calibri" w:hAnsi="Calibri"/>
          <w:b/>
          <w:bCs/>
          <w:color w:val="0A6E3C"/>
          <w:sz w:val="26"/>
          <w:szCs w:val="26"/>
        </w:rPr>
        <w:t xml:space="preserve">4.1 Internal Reconciliation</w:t>
      </w:r>
    </w:p>
    <w:p>
      <w:pPr>
        <w:spacing w:after="120" w:before="0"/>
        <w:jc w:val="both"/>
      </w:pPr>
      <w:r>
        <w:rPr>
          <w:rFonts w:ascii="Calibri" w:cs="Calibri" w:eastAsia="Calibri" w:hAnsi="Calibri"/>
          <w:b w:val="false"/>
          <w:bCs w:val="false"/>
          <w:i w:val="false"/>
          <w:iCs w:val="false"/>
          <w:color w:val="333333"/>
          <w:sz w:val="22"/>
          <w:szCs w:val="22"/>
        </w:rPr>
        <w:t xml:space="preserve">Monde performs the following reconciliation procedures:</w:t>
      </w:r>
    </w:p>
    <w:p>
      <w:pPr>
        <w:pStyle w:val="ListParagraph"/>
        <w:numPr>
          <w:ilvl w:val="0"/>
          <w:numId w:val="1"/>
        </w:numPr>
        <w:spacing w:after="60"/>
      </w:pPr>
      <w:r>
        <w:rPr>
          <w:rFonts w:ascii="Calibri" w:cs="Calibri" w:eastAsia="Calibri" w:hAnsi="Calibri"/>
          <w:color w:val="333333"/>
          <w:sz w:val="22"/>
          <w:szCs w:val="22"/>
        </w:rPr>
        <w:t xml:space="preserve">Real-time Balance Verification: The sum of all user wallet balances plus the fee ledger balance equals the total system float at all times. This is enforced by the atomic transaction model.</w:t>
      </w:r>
    </w:p>
    <w:p>
      <w:pPr>
        <w:pStyle w:val="ListParagraph"/>
        <w:numPr>
          <w:ilvl w:val="0"/>
          <w:numId w:val="1"/>
        </w:numPr>
        <w:spacing w:after="60"/>
      </w:pPr>
      <w:r>
        <w:rPr>
          <w:rFonts w:ascii="Calibri" w:cs="Calibri" w:eastAsia="Calibri" w:hAnsi="Calibri"/>
          <w:color w:val="333333"/>
          <w:sz w:val="22"/>
          <w:szCs w:val="22"/>
        </w:rPr>
        <w:t xml:space="preserve">Daily Reconciliation: An automated process verifies that all transaction records balance (total debits equal total credits for each transaction).</w:t>
      </w:r>
    </w:p>
    <w:p>
      <w:pPr>
        <w:pStyle w:val="ListParagraph"/>
        <w:numPr>
          <w:ilvl w:val="0"/>
          <w:numId w:val="1"/>
        </w:numPr>
        <w:spacing w:after="60"/>
      </w:pPr>
      <w:r>
        <w:rPr>
          <w:rFonts w:ascii="Calibri" w:cs="Calibri" w:eastAsia="Calibri" w:hAnsi="Calibri"/>
          <w:color w:val="333333"/>
          <w:sz w:val="22"/>
          <w:szCs w:val="22"/>
        </w:rPr>
        <w:t xml:space="preserve">Fee Reconciliation: Daily verification that all fees collected match the expected fee calculations based on transaction amounts and types.</w:t>
      </w:r>
    </w:p>
    <w:p>
      <w:pPr>
        <w:pStyle w:val="Heading2"/>
        <w:spacing w:after="120" w:before="300"/>
      </w:pPr>
      <w:r>
        <w:rPr>
          <w:rFonts w:ascii="Calibri" w:cs="Calibri" w:eastAsia="Calibri" w:hAnsi="Calibri"/>
          <w:b/>
          <w:bCs/>
          <w:color w:val="0A6E3C"/>
          <w:sz w:val="26"/>
          <w:szCs w:val="26"/>
        </w:rPr>
        <w:t xml:space="preserve">4.2 External Reconciliation</w:t>
      </w:r>
    </w:p>
    <w:p>
      <w:pPr>
        <w:spacing w:after="120" w:before="0"/>
        <w:jc w:val="both"/>
      </w:pPr>
      <w:r>
        <w:rPr>
          <w:rFonts w:ascii="Calibri" w:cs="Calibri" w:eastAsia="Calibri" w:hAnsi="Calibri"/>
          <w:b w:val="false"/>
          <w:bCs w:val="false"/>
          <w:i w:val="false"/>
          <w:iCs w:val="false"/>
          <w:color w:val="333333"/>
          <w:sz w:val="22"/>
          <w:szCs w:val="22"/>
        </w:rPr>
        <w:t xml:space="preserve">External reconciliation with the Lipila payment gateway:</w:t>
      </w:r>
    </w:p>
    <w:p>
      <w:pPr>
        <w:pStyle w:val="ListParagraph"/>
        <w:numPr>
          <w:ilvl w:val="0"/>
          <w:numId w:val="1"/>
        </w:numPr>
        <w:spacing w:after="60"/>
      </w:pPr>
      <w:r>
        <w:rPr>
          <w:rFonts w:ascii="Calibri" w:cs="Calibri" w:eastAsia="Calibri" w:hAnsi="Calibri"/>
          <w:color w:val="333333"/>
          <w:sz w:val="22"/>
          <w:szCs w:val="22"/>
        </w:rPr>
        <w:t xml:space="preserve">Daily Settlement Report: Lipila provides a daily settlement report listing all collections and disbursements processed.</w:t>
      </w:r>
    </w:p>
    <w:p>
      <w:pPr>
        <w:pStyle w:val="ListParagraph"/>
        <w:numPr>
          <w:ilvl w:val="0"/>
          <w:numId w:val="1"/>
        </w:numPr>
        <w:spacing w:after="60"/>
      </w:pPr>
      <w:r>
        <w:rPr>
          <w:rFonts w:ascii="Calibri" w:cs="Calibri" w:eastAsia="Calibri" w:hAnsi="Calibri"/>
          <w:color w:val="333333"/>
          <w:sz w:val="22"/>
          <w:szCs w:val="22"/>
        </w:rPr>
        <w:t xml:space="preserve">Callback Verification: All pending transactions are checked against received callbacks to identify any missing or delayed callbacks.</w:t>
      </w:r>
    </w:p>
    <w:p>
      <w:pPr>
        <w:pStyle w:val="ListParagraph"/>
        <w:numPr>
          <w:ilvl w:val="0"/>
          <w:numId w:val="1"/>
        </w:numPr>
        <w:spacing w:after="60"/>
      </w:pPr>
      <w:r>
        <w:rPr>
          <w:rFonts w:ascii="Calibri" w:cs="Calibri" w:eastAsia="Calibri" w:hAnsi="Calibri"/>
          <w:color w:val="333333"/>
          <w:sz w:val="22"/>
          <w:szCs w:val="22"/>
        </w:rPr>
        <w:t xml:space="preserve">Bank Statement Reconciliation: Monde bank account statements are reconciled against Lipila settlement reports on a daily basis.</w:t>
      </w:r>
    </w:p>
    <w:p>
      <w:pPr>
        <w:pStyle w:val="ListParagraph"/>
        <w:numPr>
          <w:ilvl w:val="0"/>
          <w:numId w:val="1"/>
        </w:numPr>
        <w:spacing w:after="60"/>
      </w:pPr>
      <w:r>
        <w:rPr>
          <w:rFonts w:ascii="Calibri" w:cs="Calibri" w:eastAsia="Calibri" w:hAnsi="Calibri"/>
          <w:color w:val="333333"/>
          <w:sz w:val="22"/>
          <w:szCs w:val="22"/>
        </w:rPr>
        <w:t xml:space="preserve">Discrepancy Resolution: Any discrepancies are flagged for investigation and resolved within 24 hours.</w:t>
      </w:r>
    </w:p>
    <w:p>
      <w:pPr>
        <w:pStyle w:val="Heading2"/>
        <w:spacing w:after="120" w:before="300"/>
      </w:pPr>
      <w:r>
        <w:rPr>
          <w:rFonts w:ascii="Calibri" w:cs="Calibri" w:eastAsia="Calibri" w:hAnsi="Calibri"/>
          <w:b/>
          <w:bCs/>
          <w:color w:val="0A6E3C"/>
          <w:sz w:val="26"/>
          <w:szCs w:val="26"/>
        </w:rPr>
        <w:t xml:space="preserve">4.3 Failure-to-Settle Arrangements</w:t>
      </w:r>
    </w:p>
    <w:p>
      <w:pPr>
        <w:spacing w:after="120" w:before="0"/>
        <w:jc w:val="both"/>
      </w:pPr>
      <w:r>
        <w:rPr>
          <w:rFonts w:ascii="Calibri" w:cs="Calibri" w:eastAsia="Calibri" w:hAnsi="Calibri"/>
          <w:b w:val="false"/>
          <w:bCs w:val="false"/>
          <w:i w:val="false"/>
          <w:iCs w:val="false"/>
          <w:color w:val="333333"/>
          <w:sz w:val="22"/>
          <w:szCs w:val="22"/>
        </w:rPr>
        <w:t xml:space="preserve">In the event of settlement failure:</w:t>
      </w:r>
    </w:p>
    <w:p>
      <w:pPr>
        <w:pStyle w:val="ListParagraph"/>
        <w:numPr>
          <w:ilvl w:val="0"/>
          <w:numId w:val="1"/>
        </w:numPr>
        <w:spacing w:after="60"/>
      </w:pPr>
      <w:r>
        <w:rPr>
          <w:rFonts w:ascii="Calibri" w:cs="Calibri" w:eastAsia="Calibri" w:hAnsi="Calibri"/>
          <w:color w:val="333333"/>
          <w:sz w:val="22"/>
          <w:szCs w:val="22"/>
        </w:rPr>
        <w:t xml:space="preserve">Pending Top-Ups: If a collection callback is not received within 30 minutes, the pending transaction is marked as expired. If the collection was successful but the callback failed, reconciliation identifies the discrepancy and the user is credited manually.</w:t>
      </w:r>
    </w:p>
    <w:p>
      <w:pPr>
        <w:pStyle w:val="ListParagraph"/>
        <w:numPr>
          <w:ilvl w:val="0"/>
          <w:numId w:val="1"/>
        </w:numPr>
        <w:spacing w:after="60"/>
      </w:pPr>
      <w:r>
        <w:rPr>
          <w:rFonts w:ascii="Calibri" w:cs="Calibri" w:eastAsia="Calibri" w:hAnsi="Calibri"/>
          <w:color w:val="333333"/>
          <w:sz w:val="22"/>
          <w:szCs w:val="22"/>
        </w:rPr>
        <w:t xml:space="preserve">Failed Withdrawals: If a disbursement fails, the Lipila callback triggers an automatic reversal, crediting the user wallet with the debited amount (including fee).</w:t>
      </w:r>
    </w:p>
    <w:p>
      <w:pPr>
        <w:pStyle w:val="ListParagraph"/>
        <w:numPr>
          <w:ilvl w:val="0"/>
          <w:numId w:val="1"/>
        </w:numPr>
        <w:spacing w:after="60"/>
      </w:pPr>
      <w:r>
        <w:rPr>
          <w:rFonts w:ascii="Calibri" w:cs="Calibri" w:eastAsia="Calibri" w:hAnsi="Calibri"/>
          <w:color w:val="333333"/>
          <w:sz w:val="22"/>
          <w:szCs w:val="22"/>
        </w:rPr>
        <w:t xml:space="preserve">Gateway Downtime: If the Lipila gateway is unavailable, top-up and withdrawal services are temporarily suspended with a user-facing message. P2P payments and agent transactions continue to function as they rely only on the internal ledger.</w:t>
      </w:r>
    </w:p>
    <w:p>
      <w:pPr>
        <w:pStyle w:val="Heading1"/>
        <w:spacing w:after="120" w:before="300"/>
      </w:pPr>
      <w:r>
        <w:rPr>
          <w:rFonts w:ascii="Calibri" w:cs="Calibri" w:eastAsia="Calibri" w:hAnsi="Calibri"/>
          <w:b/>
          <w:bCs/>
          <w:color w:val="0A6E3C"/>
          <w:sz w:val="32"/>
          <w:szCs w:val="32"/>
        </w:rPr>
        <w:t xml:space="preserve">5. FUND SEGREGATION</w:t>
      </w:r>
    </w:p>
    <w:p>
      <w:pPr>
        <w:spacing w:after="120" w:before="0"/>
        <w:jc w:val="both"/>
      </w:pPr>
      <w:r>
        <w:rPr>
          <w:rFonts w:ascii="Calibri" w:cs="Calibri" w:eastAsia="Calibri" w:hAnsi="Calibri"/>
          <w:b w:val="false"/>
          <w:bCs w:val="false"/>
          <w:i w:val="false"/>
          <w:iCs w:val="false"/>
          <w:color w:val="333333"/>
          <w:sz w:val="22"/>
          <w:szCs w:val="22"/>
        </w:rPr>
        <w:t xml:space="preserve">Customer funds are held in a designated trust account separate from Monde operational funds. This ensures:</w:t>
      </w:r>
    </w:p>
    <w:p>
      <w:pPr>
        <w:pStyle w:val="ListParagraph"/>
        <w:numPr>
          <w:ilvl w:val="0"/>
          <w:numId w:val="1"/>
        </w:numPr>
        <w:spacing w:after="60"/>
      </w:pPr>
      <w:r>
        <w:rPr>
          <w:rFonts w:ascii="Calibri" w:cs="Calibri" w:eastAsia="Calibri" w:hAnsi="Calibri"/>
          <w:color w:val="333333"/>
          <w:sz w:val="22"/>
          <w:szCs w:val="22"/>
        </w:rPr>
        <w:t xml:space="preserve">Customer funds are always available for withdrawal</w:t>
      </w:r>
    </w:p>
    <w:p>
      <w:pPr>
        <w:pStyle w:val="ListParagraph"/>
        <w:numPr>
          <w:ilvl w:val="0"/>
          <w:numId w:val="1"/>
        </w:numPr>
        <w:spacing w:after="60"/>
      </w:pPr>
      <w:r>
        <w:rPr>
          <w:rFonts w:ascii="Calibri" w:cs="Calibri" w:eastAsia="Calibri" w:hAnsi="Calibri"/>
          <w:color w:val="333333"/>
          <w:sz w:val="22"/>
          <w:szCs w:val="22"/>
        </w:rPr>
        <w:t xml:space="preserve">Customer funds are not used for Monde operational expenses</w:t>
      </w:r>
    </w:p>
    <w:p>
      <w:pPr>
        <w:pStyle w:val="ListParagraph"/>
        <w:numPr>
          <w:ilvl w:val="0"/>
          <w:numId w:val="1"/>
        </w:numPr>
        <w:spacing w:after="60"/>
      </w:pPr>
      <w:r>
        <w:rPr>
          <w:rFonts w:ascii="Calibri" w:cs="Calibri" w:eastAsia="Calibri" w:hAnsi="Calibri"/>
          <w:color w:val="333333"/>
          <w:sz w:val="22"/>
          <w:szCs w:val="22"/>
        </w:rPr>
        <w:t xml:space="preserve">Customer funds are protected in the event of Monde insolvency</w:t>
      </w:r>
    </w:p>
    <w:p>
      <w:pPr>
        <w:pStyle w:val="ListParagraph"/>
        <w:numPr>
          <w:ilvl w:val="0"/>
          <w:numId w:val="1"/>
        </w:numPr>
        <w:spacing w:after="60"/>
      </w:pPr>
      <w:r>
        <w:rPr>
          <w:rFonts w:ascii="Calibri" w:cs="Calibri" w:eastAsia="Calibri" w:hAnsi="Calibri"/>
          <w:color w:val="333333"/>
          <w:sz w:val="22"/>
          <w:szCs w:val="22"/>
        </w:rPr>
        <w:t xml:space="preserve">The trust account balance always equals or exceeds the sum of all customer wallet balances</w:t>
      </w:r>
    </w:p>
    <w:p>
      <w:pPr>
        <w:spacing w:after="120" w:before="0"/>
        <w:jc w:val="both"/>
      </w:pPr>
      <w:r>
        <w:rPr>
          <w:rFonts w:ascii="Calibri" w:cs="Calibri" w:eastAsia="Calibri" w:hAnsi="Calibri"/>
          <w:b w:val="false"/>
          <w:bCs w:val="false"/>
          <w:i w:val="false"/>
          <w:iCs w:val="false"/>
          <w:color w:val="333333"/>
          <w:sz w:val="22"/>
          <w:szCs w:val="22"/>
        </w:rPr>
        <w:t xml:space="preserve">Details of fund safeguarding arrangements are provided in the separate document: "Customer Funds Safeguarding."</w:t>
      </w:r>
    </w:p>
    <w:p>
      <w:pPr>
        <w:pStyle w:val="Heading1"/>
        <w:spacing w:after="120" w:before="300"/>
      </w:pPr>
      <w:r>
        <w:rPr>
          <w:rFonts w:ascii="Calibri" w:cs="Calibri" w:eastAsia="Calibri" w:hAnsi="Calibri"/>
          <w:b/>
          <w:bCs/>
          <w:color w:val="0A6E3C"/>
          <w:sz w:val="32"/>
          <w:szCs w:val="32"/>
        </w:rPr>
        <w:t xml:space="preserve">6. SETTLEMENT TIMELINE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Transaction Type</w:t>
            </w:r>
          </w:p>
        </w:tc>
        <w:tc>
          <w:tcPr>
            <w:tcW w:type="pct" w:w="25%"/>
            <w:shd w:color="0A6E3C" w:val="solid"/>
          </w:tcPr>
          <w:p>
            <w:pPr>
              <w:jc w:val="center"/>
            </w:pPr>
            <w:r>
              <w:rPr>
                <w:rFonts w:ascii="Calibri" w:cs="Calibri" w:eastAsia="Calibri" w:hAnsi="Calibri"/>
                <w:b/>
                <w:bCs/>
                <w:color w:val="FFFFFF"/>
                <w:sz w:val="20"/>
                <w:szCs w:val="20"/>
              </w:rPr>
              <w:t xml:space="preserve">Internal Settlement</w:t>
            </w:r>
          </w:p>
        </w:tc>
        <w:tc>
          <w:tcPr>
            <w:tcW w:type="pct" w:w="25%"/>
            <w:shd w:color="0A6E3C" w:val="solid"/>
          </w:tcPr>
          <w:p>
            <w:pPr>
              <w:jc w:val="center"/>
            </w:pPr>
            <w:r>
              <w:rPr>
                <w:rFonts w:ascii="Calibri" w:cs="Calibri" w:eastAsia="Calibri" w:hAnsi="Calibri"/>
                <w:b/>
                <w:bCs/>
                <w:color w:val="FFFFFF"/>
                <w:sz w:val="20"/>
                <w:szCs w:val="20"/>
              </w:rPr>
              <w:t xml:space="preserve">External Settlement</w:t>
            </w:r>
          </w:p>
        </w:tc>
        <w:tc>
          <w:tcPr>
            <w:tcW w:type="pct" w:w="25%"/>
            <w:shd w:color="0A6E3C" w:val="solid"/>
          </w:tcPr>
          <w:p>
            <w:pPr>
              <w:jc w:val="center"/>
            </w:pPr>
            <w:r>
              <w:rPr>
                <w:rFonts w:ascii="Calibri" w:cs="Calibri" w:eastAsia="Calibri" w:hAnsi="Calibri"/>
                <w:b/>
                <w:bCs/>
                <w:color w:val="FFFFFF"/>
                <w:sz w:val="20"/>
                <w:szCs w:val="20"/>
              </w:rPr>
              <w:t xml:space="preserve">Total Time</w:t>
            </w:r>
          </w:p>
        </w:tc>
      </w:tr>
      <w:tr>
        <w:tc>
          <w:tcPr>
            <w:tcW w:type="pct" w:w="25%"/>
          </w:tcPr>
          <w:p>
            <w:r>
              <w:rPr>
                <w:rFonts w:ascii="Calibri" w:cs="Calibri" w:eastAsia="Calibri" w:hAnsi="Calibri"/>
                <w:color w:val="333333"/>
                <w:sz w:val="20"/>
                <w:szCs w:val="20"/>
              </w:rPr>
              <w:t xml:space="preserve">P2P Payment</w:t>
            </w:r>
          </w:p>
        </w:tc>
        <w:tc>
          <w:tcPr>
            <w:tcW w:type="pct" w:w="25%"/>
          </w:tcPr>
          <w:p>
            <w:r>
              <w:rPr>
                <w:rFonts w:ascii="Calibri" w:cs="Calibri" w:eastAsia="Calibri" w:hAnsi="Calibri"/>
                <w:color w:val="333333"/>
                <w:sz w:val="20"/>
                <w:szCs w:val="20"/>
              </w:rPr>
              <w:t xml:space="preserve">Instant (T+0)</w:t>
            </w:r>
          </w:p>
        </w:tc>
        <w:tc>
          <w:tcPr>
            <w:tcW w:type="pct" w:w="25%"/>
          </w:tcPr>
          <w:p>
            <w:r>
              <w:rPr>
                <w:rFonts w:ascii="Calibri" w:cs="Calibri" w:eastAsia="Calibri" w:hAnsi="Calibri"/>
                <w:color w:val="333333"/>
                <w:sz w:val="20"/>
                <w:szCs w:val="20"/>
              </w:rPr>
              <w:t xml:space="preserve">N/A (internal only)</w:t>
            </w:r>
          </w:p>
        </w:tc>
        <w:tc>
          <w:tcPr>
            <w:tcW w:type="pct" w:w="25%"/>
          </w:tcPr>
          <w:p>
            <w:r>
              <w:rPr>
                <w:rFonts w:ascii="Calibri" w:cs="Calibri" w:eastAsia="Calibri" w:hAnsi="Calibri"/>
                <w:color w:val="333333"/>
                <w:sz w:val="20"/>
                <w:szCs w:val="20"/>
              </w:rPr>
              <w:t xml:space="preserve">Instant</w:t>
            </w:r>
          </w:p>
        </w:tc>
      </w:tr>
      <w:tr>
        <w:tc>
          <w:tcPr>
            <w:tcW w:type="pct" w:w="25%"/>
          </w:tcPr>
          <w:p>
            <w:r>
              <w:rPr>
                <w:rFonts w:ascii="Calibri" w:cs="Calibri" w:eastAsia="Calibri" w:hAnsi="Calibri"/>
                <w:color w:val="333333"/>
                <w:sz w:val="20"/>
                <w:szCs w:val="20"/>
              </w:rPr>
              <w:t xml:space="preserve">Wallet Top-Up</w:t>
            </w:r>
          </w:p>
        </w:tc>
        <w:tc>
          <w:tcPr>
            <w:tcW w:type="pct" w:w="25%"/>
          </w:tcPr>
          <w:p>
            <w:r>
              <w:rPr>
                <w:rFonts w:ascii="Calibri" w:cs="Calibri" w:eastAsia="Calibri" w:hAnsi="Calibri"/>
                <w:color w:val="333333"/>
                <w:sz w:val="20"/>
                <w:szCs w:val="20"/>
              </w:rPr>
              <w:t xml:space="preserve">On callback receipt</w:t>
            </w:r>
          </w:p>
        </w:tc>
        <w:tc>
          <w:tcPr>
            <w:tcW w:type="pct" w:w="25%"/>
          </w:tcPr>
          <w:p>
            <w:r>
              <w:rPr>
                <w:rFonts w:ascii="Calibri" w:cs="Calibri" w:eastAsia="Calibri" w:hAnsi="Calibri"/>
                <w:color w:val="333333"/>
                <w:sz w:val="20"/>
                <w:szCs w:val="20"/>
              </w:rPr>
              <w:t xml:space="preserve">T+1 (Lipila to Monde bank)</w:t>
            </w:r>
          </w:p>
        </w:tc>
        <w:tc>
          <w:tcPr>
            <w:tcW w:type="pct" w:w="25%"/>
          </w:tcPr>
          <w:p>
            <w:r>
              <w:rPr>
                <w:rFonts w:ascii="Calibri" w:cs="Calibri" w:eastAsia="Calibri" w:hAnsi="Calibri"/>
                <w:color w:val="333333"/>
                <w:sz w:val="20"/>
                <w:szCs w:val="20"/>
              </w:rPr>
              <w:t xml:space="preserve">30s - 2min (user)</w:t>
            </w:r>
          </w:p>
        </w:tc>
      </w:tr>
      <w:tr>
        <w:tc>
          <w:tcPr>
            <w:tcW w:type="pct" w:w="25%"/>
          </w:tcPr>
          <w:p>
            <w:r>
              <w:rPr>
                <w:rFonts w:ascii="Calibri" w:cs="Calibri" w:eastAsia="Calibri" w:hAnsi="Calibri"/>
                <w:color w:val="333333"/>
                <w:sz w:val="20"/>
                <w:szCs w:val="20"/>
              </w:rPr>
              <w:t xml:space="preserve">Wallet Withdrawal</w:t>
            </w:r>
          </w:p>
        </w:tc>
        <w:tc>
          <w:tcPr>
            <w:tcW w:type="pct" w:w="25%"/>
          </w:tcPr>
          <w:p>
            <w:r>
              <w:rPr>
                <w:rFonts w:ascii="Calibri" w:cs="Calibri" w:eastAsia="Calibri" w:hAnsi="Calibri"/>
                <w:color w:val="333333"/>
                <w:sz w:val="20"/>
                <w:szCs w:val="20"/>
              </w:rPr>
              <w:t xml:space="preserve">Instant (T+0)</w:t>
            </w:r>
          </w:p>
        </w:tc>
        <w:tc>
          <w:tcPr>
            <w:tcW w:type="pct" w:w="25%"/>
          </w:tcPr>
          <w:p>
            <w:r>
              <w:rPr>
                <w:rFonts w:ascii="Calibri" w:cs="Calibri" w:eastAsia="Calibri" w:hAnsi="Calibri"/>
                <w:color w:val="333333"/>
                <w:sz w:val="20"/>
                <w:szCs w:val="20"/>
              </w:rPr>
              <w:t xml:space="preserve">T+0 (Lipila to user)</w:t>
            </w:r>
          </w:p>
        </w:tc>
        <w:tc>
          <w:tcPr>
            <w:tcW w:type="pct" w:w="25%"/>
          </w:tcPr>
          <w:p>
            <w:r>
              <w:rPr>
                <w:rFonts w:ascii="Calibri" w:cs="Calibri" w:eastAsia="Calibri" w:hAnsi="Calibri"/>
                <w:color w:val="333333"/>
                <w:sz w:val="20"/>
                <w:szCs w:val="20"/>
              </w:rPr>
              <w:t xml:space="preserve">30s - 5min (user)</w:t>
            </w:r>
          </w:p>
        </w:tc>
      </w:tr>
      <w:tr>
        <w:tc>
          <w:tcPr>
            <w:tcW w:type="pct" w:w="25%"/>
          </w:tcPr>
          <w:p>
            <w:r>
              <w:rPr>
                <w:rFonts w:ascii="Calibri" w:cs="Calibri" w:eastAsia="Calibri" w:hAnsi="Calibri"/>
                <w:color w:val="333333"/>
                <w:sz w:val="20"/>
                <w:szCs w:val="20"/>
              </w:rPr>
              <w:t xml:space="preserve">Agent Cash-In</w:t>
            </w:r>
          </w:p>
        </w:tc>
        <w:tc>
          <w:tcPr>
            <w:tcW w:type="pct" w:w="25%"/>
          </w:tcPr>
          <w:p>
            <w:r>
              <w:rPr>
                <w:rFonts w:ascii="Calibri" w:cs="Calibri" w:eastAsia="Calibri" w:hAnsi="Calibri"/>
                <w:color w:val="333333"/>
                <w:sz w:val="20"/>
                <w:szCs w:val="20"/>
              </w:rPr>
              <w:t xml:space="preserve">Instant (T+0)</w:t>
            </w:r>
          </w:p>
        </w:tc>
        <w:tc>
          <w:tcPr>
            <w:tcW w:type="pct" w:w="25%"/>
          </w:tcPr>
          <w:p>
            <w:r>
              <w:rPr>
                <w:rFonts w:ascii="Calibri" w:cs="Calibri" w:eastAsia="Calibri" w:hAnsi="Calibri"/>
                <w:color w:val="333333"/>
                <w:sz w:val="20"/>
                <w:szCs w:val="20"/>
              </w:rPr>
              <w:t xml:space="preserve">N/A (internal only)</w:t>
            </w:r>
          </w:p>
        </w:tc>
        <w:tc>
          <w:tcPr>
            <w:tcW w:type="pct" w:w="25%"/>
          </w:tcPr>
          <w:p>
            <w:r>
              <w:rPr>
                <w:rFonts w:ascii="Calibri" w:cs="Calibri" w:eastAsia="Calibri" w:hAnsi="Calibri"/>
                <w:color w:val="333333"/>
                <w:sz w:val="20"/>
                <w:szCs w:val="20"/>
              </w:rPr>
              <w:t xml:space="preserve">Instant</w:t>
            </w:r>
          </w:p>
        </w:tc>
      </w:tr>
      <w:tr>
        <w:tc>
          <w:tcPr>
            <w:tcW w:type="pct" w:w="25%"/>
          </w:tcPr>
          <w:p>
            <w:r>
              <w:rPr>
                <w:rFonts w:ascii="Calibri" w:cs="Calibri" w:eastAsia="Calibri" w:hAnsi="Calibri"/>
                <w:color w:val="333333"/>
                <w:sz w:val="20"/>
                <w:szCs w:val="20"/>
              </w:rPr>
              <w:t xml:space="preserve">Agent Cash-Out</w:t>
            </w:r>
          </w:p>
        </w:tc>
        <w:tc>
          <w:tcPr>
            <w:tcW w:type="pct" w:w="25%"/>
          </w:tcPr>
          <w:p>
            <w:r>
              <w:rPr>
                <w:rFonts w:ascii="Calibri" w:cs="Calibri" w:eastAsia="Calibri" w:hAnsi="Calibri"/>
                <w:color w:val="333333"/>
                <w:sz w:val="20"/>
                <w:szCs w:val="20"/>
              </w:rPr>
              <w:t xml:space="preserve">Instant (T+0)</w:t>
            </w:r>
          </w:p>
        </w:tc>
        <w:tc>
          <w:tcPr>
            <w:tcW w:type="pct" w:w="25%"/>
          </w:tcPr>
          <w:p>
            <w:r>
              <w:rPr>
                <w:rFonts w:ascii="Calibri" w:cs="Calibri" w:eastAsia="Calibri" w:hAnsi="Calibri"/>
                <w:color w:val="333333"/>
                <w:sz w:val="20"/>
                <w:szCs w:val="20"/>
              </w:rPr>
              <w:t xml:space="preserve">N/A (internal only)</w:t>
            </w:r>
          </w:p>
        </w:tc>
        <w:tc>
          <w:tcPr>
            <w:tcW w:type="pct" w:w="25%"/>
          </w:tcPr>
          <w:p>
            <w:r>
              <w:rPr>
                <w:rFonts w:ascii="Calibri" w:cs="Calibri" w:eastAsia="Calibri" w:hAnsi="Calibri"/>
                <w:color w:val="333333"/>
                <w:sz w:val="20"/>
                <w:szCs w:val="20"/>
              </w:rPr>
              <w:t xml:space="preserve">Instant</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2026-03-20T08:47:22.667Z</dcterms:created>
  <dcterms:modified xsi:type="dcterms:W3CDTF">2026-03-20T08:47:22.667Z</dcterms:modified>
</cp:coreProperties>
</file>

<file path=docProps/custom.xml><?xml version="1.0" encoding="utf-8"?>
<Properties xmlns="http://schemas.openxmlformats.org/officeDocument/2006/custom-properties" xmlns:vt="http://schemas.openxmlformats.org/officeDocument/2006/docPropsVTypes"/>
</file>