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Product Pricing &amp;
Fee Structure</w:t>
      </w:r>
    </w:p>
    <w:p>
      <w:pPr>
        <w:spacing w:after="200" w:before="0"/>
        <w:jc w:val="center"/>
      </w:pPr>
      <w:r>
        <w:rPr>
          <w:rFonts w:ascii="Calibri" w:cs="Calibri" w:eastAsia="Calibri" w:hAnsi="Calibri"/>
          <w:b/>
          <w:bCs/>
          <w:color w:val="666666"/>
          <w:sz w:val="28"/>
          <w:szCs w:val="28"/>
        </w:rPr>
        <w:t xml:space="preserve">Comprehensive Fee Schedule
for All Monde Services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provides a comprehensive description of the product pricing and fee structure for the Monde digital payment system. Monde is committed to transparent and competitive pricing that ensures affordability for customers while sustaining the business operations and incentivising the agent network.</w:t>
      </w:r>
    </w:p>
    <w:p>
      <w:pPr>
        <w:spacing w:after="120" w:before="0"/>
        <w:jc w:val="both"/>
      </w:pPr>
      <w:r>
        <w:rPr>
          <w:rFonts w:ascii="Calibri" w:cs="Calibri" w:eastAsia="Calibri" w:hAnsi="Calibri"/>
          <w:b w:val="false"/>
          <w:bCs w:val="false"/>
          <w:i w:val="false"/>
          <w:iCs w:val="false"/>
          <w:color w:val="333333"/>
          <w:sz w:val="22"/>
          <w:szCs w:val="22"/>
        </w:rPr>
        <w:t xml:space="preserve">All fees are denominated in Zambian Kwacha (ZMW). Fees are clearly displayed to customers before transaction confirmation, ensuring full transparency.</w:t>
      </w:r>
    </w:p>
    <w:p>
      <w:pPr>
        <w:pStyle w:val="Heading1"/>
        <w:spacing w:after="120" w:before="300"/>
      </w:pPr>
      <w:r>
        <w:rPr>
          <w:rFonts w:ascii="Calibri" w:cs="Calibri" w:eastAsia="Calibri" w:hAnsi="Calibri"/>
          <w:b/>
          <w:bCs/>
          <w:color w:val="0A6E3C"/>
          <w:sz w:val="32"/>
          <w:szCs w:val="32"/>
        </w:rPr>
        <w:t xml:space="preserve">2. PRICING PHILOSOPHY</w:t>
      </w:r>
    </w:p>
    <w:p>
      <w:pPr>
        <w:spacing w:after="120" w:before="0"/>
        <w:jc w:val="both"/>
      </w:pPr>
      <w:r>
        <w:rPr>
          <w:rFonts w:ascii="Calibri" w:cs="Calibri" w:eastAsia="Calibri" w:hAnsi="Calibri"/>
          <w:b w:val="false"/>
          <w:bCs w:val="false"/>
          <w:i w:val="false"/>
          <w:iCs w:val="false"/>
          <w:color w:val="333333"/>
          <w:sz w:val="22"/>
          <w:szCs w:val="22"/>
        </w:rPr>
        <w:t xml:space="preserve">Monde pricing is guided by the following principles:</w:t>
      </w:r>
    </w:p>
    <w:p>
      <w:pPr>
        <w:pStyle w:val="ListParagraph"/>
        <w:numPr>
          <w:ilvl w:val="0"/>
          <w:numId w:val="1"/>
        </w:numPr>
        <w:spacing w:after="60"/>
      </w:pPr>
      <w:r>
        <w:rPr>
          <w:rFonts w:ascii="Calibri" w:cs="Calibri" w:eastAsia="Calibri" w:hAnsi="Calibri"/>
          <w:color w:val="333333"/>
          <w:sz w:val="22"/>
          <w:szCs w:val="22"/>
        </w:rPr>
        <w:t xml:space="preserve">Transparency: All fees are disclosed to the user before transaction confirmation. No hidden charges.</w:t>
      </w:r>
    </w:p>
    <w:p>
      <w:pPr>
        <w:pStyle w:val="ListParagraph"/>
        <w:numPr>
          <w:ilvl w:val="0"/>
          <w:numId w:val="1"/>
        </w:numPr>
        <w:spacing w:after="60"/>
      </w:pPr>
      <w:r>
        <w:rPr>
          <w:rFonts w:ascii="Calibri" w:cs="Calibri" w:eastAsia="Calibri" w:hAnsi="Calibri"/>
          <w:color w:val="333333"/>
          <w:sz w:val="22"/>
          <w:szCs w:val="22"/>
        </w:rPr>
        <w:t xml:space="preserve">Competitiveness: Fees are set at or below market rates for comparable mobile money services in Zambia.</w:t>
      </w:r>
    </w:p>
    <w:p>
      <w:pPr>
        <w:pStyle w:val="ListParagraph"/>
        <w:numPr>
          <w:ilvl w:val="0"/>
          <w:numId w:val="1"/>
        </w:numPr>
        <w:spacing w:after="60"/>
      </w:pPr>
      <w:r>
        <w:rPr>
          <w:rFonts w:ascii="Calibri" w:cs="Calibri" w:eastAsia="Calibri" w:hAnsi="Calibri"/>
          <w:color w:val="333333"/>
          <w:sz w:val="22"/>
          <w:szCs w:val="22"/>
        </w:rPr>
        <w:t xml:space="preserve">Inclusivity: Basic P2P transfers under K500 are free to encourage adoption among low-income users.</w:t>
      </w:r>
    </w:p>
    <w:p>
      <w:pPr>
        <w:pStyle w:val="ListParagraph"/>
        <w:numPr>
          <w:ilvl w:val="0"/>
          <w:numId w:val="1"/>
        </w:numPr>
        <w:spacing w:after="60"/>
      </w:pPr>
      <w:r>
        <w:rPr>
          <w:rFonts w:ascii="Calibri" w:cs="Calibri" w:eastAsia="Calibri" w:hAnsi="Calibri"/>
          <w:color w:val="333333"/>
          <w:sz w:val="22"/>
          <w:szCs w:val="22"/>
        </w:rPr>
        <w:t xml:space="preserve">Sustainability: Fees are structured to cover operational costs, payment gateway charges, and agent commissions while generating sustainable margins.</w:t>
      </w:r>
    </w:p>
    <w:p>
      <w:pPr>
        <w:pStyle w:val="ListParagraph"/>
        <w:numPr>
          <w:ilvl w:val="0"/>
          <w:numId w:val="1"/>
        </w:numPr>
        <w:spacing w:after="60"/>
      </w:pPr>
      <w:r>
        <w:rPr>
          <w:rFonts w:ascii="Calibri" w:cs="Calibri" w:eastAsia="Calibri" w:hAnsi="Calibri"/>
          <w:color w:val="333333"/>
          <w:sz w:val="22"/>
          <w:szCs w:val="22"/>
        </w:rPr>
        <w:t xml:space="preserve">Simplicity: Fee structures are straightforward and easy for customers to understand.</w:t>
      </w:r>
    </w:p>
    <w:p>
      <w:pPr>
        <w:pStyle w:val="Heading1"/>
        <w:spacing w:after="120" w:before="300"/>
      </w:pPr>
      <w:r>
        <w:rPr>
          <w:rFonts w:ascii="Calibri" w:cs="Calibri" w:eastAsia="Calibri" w:hAnsi="Calibri"/>
          <w:b/>
          <w:bCs/>
          <w:color w:val="0A6E3C"/>
          <w:sz w:val="32"/>
          <w:szCs w:val="32"/>
        </w:rPr>
        <w:t xml:space="preserve">3. FEE SCHEDULE</w:t>
      </w:r>
    </w:p>
    <w:p>
      <w:pPr>
        <w:pStyle w:val="Heading2"/>
        <w:spacing w:after="120" w:before="300"/>
      </w:pPr>
      <w:r>
        <w:rPr>
          <w:rFonts w:ascii="Calibri" w:cs="Calibri" w:eastAsia="Calibri" w:hAnsi="Calibri"/>
          <w:b/>
          <w:bCs/>
          <w:color w:val="0A6E3C"/>
          <w:sz w:val="26"/>
          <w:szCs w:val="26"/>
        </w:rPr>
        <w:t xml:space="preserve">3.1 Person-to-Person (P2P) Payments</w:t>
      </w:r>
    </w:p>
    <w:p>
      <w:pPr>
        <w:spacing w:after="120" w:before="0"/>
        <w:jc w:val="both"/>
      </w:pPr>
      <w:r>
        <w:rPr>
          <w:rFonts w:ascii="Calibri" w:cs="Calibri" w:eastAsia="Calibri" w:hAnsi="Calibri"/>
          <w:b w:val="false"/>
          <w:bCs w:val="false"/>
          <w:i w:val="false"/>
          <w:iCs w:val="false"/>
          <w:color w:val="333333"/>
          <w:sz w:val="22"/>
          <w:szCs w:val="22"/>
        </w:rPr>
        <w:t xml:space="preserve">P2P payments allow Monde users to send money to other Monde users instantly.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Transaction Amount</w:t>
            </w:r>
          </w:p>
        </w:tc>
        <w:tc>
          <w:tcPr>
            <w:tcW w:type="pct" w:w="33%"/>
            <w:shd w:color="0A6E3C" w:val="solid"/>
          </w:tcPr>
          <w:p>
            <w:pPr>
              <w:jc w:val="center"/>
            </w:pPr>
            <w:r>
              <w:rPr>
                <w:rFonts w:ascii="Calibri" w:cs="Calibri" w:eastAsia="Calibri" w:hAnsi="Calibri"/>
                <w:b/>
                <w:bCs/>
                <w:color w:val="FFFFFF"/>
                <w:sz w:val="20"/>
                <w:szCs w:val="20"/>
              </w:rPr>
              <w:t xml:space="preserve">Fee</w:t>
            </w:r>
          </w:p>
        </w:tc>
        <w:tc>
          <w:tcPr>
            <w:tcW w:type="pct" w:w="33%"/>
            <w:shd w:color="0A6E3C" w:val="solid"/>
          </w:tcPr>
          <w:p>
            <w:pPr>
              <w:jc w:val="center"/>
            </w:pPr>
            <w:r>
              <w:rPr>
                <w:rFonts w:ascii="Calibri" w:cs="Calibri" w:eastAsia="Calibri" w:hAnsi="Calibri"/>
                <w:b/>
                <w:bCs/>
                <w:color w:val="FFFFFF"/>
                <w:sz w:val="20"/>
                <w:szCs w:val="20"/>
              </w:rPr>
              <w:t xml:space="preserve">Who Pays</w:t>
            </w:r>
          </w:p>
        </w:tc>
      </w:tr>
      <w:tr>
        <w:tc>
          <w:tcPr>
            <w:tcW w:type="pct" w:w="33%"/>
          </w:tcPr>
          <w:p>
            <w:r>
              <w:rPr>
                <w:rFonts w:ascii="Calibri" w:cs="Calibri" w:eastAsia="Calibri" w:hAnsi="Calibri"/>
                <w:color w:val="333333"/>
                <w:sz w:val="20"/>
                <w:szCs w:val="20"/>
              </w:rPr>
              <w:t xml:space="preserve">K0.01 - K500.00</w:t>
            </w:r>
          </w:p>
        </w:tc>
        <w:tc>
          <w:tcPr>
            <w:tcW w:type="pct" w:w="33%"/>
          </w:tcPr>
          <w:p>
            <w:r>
              <w:rPr>
                <w:rFonts w:ascii="Calibri" w:cs="Calibri" w:eastAsia="Calibri" w:hAnsi="Calibri"/>
                <w:color w:val="333333"/>
                <w:sz w:val="20"/>
                <w:szCs w:val="20"/>
              </w:rPr>
              <w:t xml:space="preserve">FREE</w:t>
            </w:r>
          </w:p>
        </w:tc>
        <w:tc>
          <w:tcPr>
            <w:tcW w:type="pct" w:w="33%"/>
          </w:tcPr>
          <w:p>
            <w:r>
              <w:rPr>
                <w:rFonts w:ascii="Calibri" w:cs="Calibri" w:eastAsia="Calibri" w:hAnsi="Calibri"/>
                <w:color w:val="333333"/>
                <w:sz w:val="20"/>
                <w:szCs w:val="20"/>
              </w:rPr>
              <w:t xml:space="preserve">N/A</w:t>
            </w:r>
          </w:p>
        </w:tc>
      </w:tr>
      <w:tr>
        <w:tc>
          <w:tcPr>
            <w:tcW w:type="pct" w:w="33%"/>
          </w:tcPr>
          <w:p>
            <w:r>
              <w:rPr>
                <w:rFonts w:ascii="Calibri" w:cs="Calibri" w:eastAsia="Calibri" w:hAnsi="Calibri"/>
                <w:color w:val="333333"/>
                <w:sz w:val="20"/>
                <w:szCs w:val="20"/>
              </w:rPr>
              <w:t xml:space="preserve">K500.01 - K50,000.00</w:t>
            </w:r>
          </w:p>
        </w:tc>
        <w:tc>
          <w:tcPr>
            <w:tcW w:type="pct" w:w="33%"/>
          </w:tcPr>
          <w:p>
            <w:r>
              <w:rPr>
                <w:rFonts w:ascii="Calibri" w:cs="Calibri" w:eastAsia="Calibri" w:hAnsi="Calibri"/>
                <w:color w:val="333333"/>
                <w:sz w:val="20"/>
                <w:szCs w:val="20"/>
              </w:rPr>
              <w:t xml:space="preserve">0.5% of transaction amount</w:t>
            </w:r>
          </w:p>
        </w:tc>
        <w:tc>
          <w:tcPr>
            <w:tcW w:type="pct" w:w="33%"/>
          </w:tcPr>
          <w:p>
            <w:r>
              <w:rPr>
                <w:rFonts w:ascii="Calibri" w:cs="Calibri" w:eastAsia="Calibri" w:hAnsi="Calibri"/>
                <w:color w:val="333333"/>
                <w:sz w:val="20"/>
                <w:szCs w:val="20"/>
              </w:rPr>
              <w:t xml:space="preserve">Sender</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Examples:</w:t>
      </w:r>
    </w:p>
    <w:p>
      <w:pPr>
        <w:pStyle w:val="ListParagraph"/>
        <w:numPr>
          <w:ilvl w:val="0"/>
          <w:numId w:val="1"/>
        </w:numPr>
        <w:spacing w:after="60"/>
      </w:pPr>
      <w:r>
        <w:rPr>
          <w:rFonts w:ascii="Calibri" w:cs="Calibri" w:eastAsia="Calibri" w:hAnsi="Calibri"/>
          <w:color w:val="333333"/>
          <w:sz w:val="22"/>
          <w:szCs w:val="22"/>
        </w:rPr>
        <w:t xml:space="preserve">Sending K200: Fee = K0.00 (free). Total deducted from sender: K200.00</w:t>
      </w:r>
    </w:p>
    <w:p>
      <w:pPr>
        <w:pStyle w:val="ListParagraph"/>
        <w:numPr>
          <w:ilvl w:val="0"/>
          <w:numId w:val="1"/>
        </w:numPr>
        <w:spacing w:after="60"/>
      </w:pPr>
      <w:r>
        <w:rPr>
          <w:rFonts w:ascii="Calibri" w:cs="Calibri" w:eastAsia="Calibri" w:hAnsi="Calibri"/>
          <w:color w:val="333333"/>
          <w:sz w:val="22"/>
          <w:szCs w:val="22"/>
        </w:rPr>
        <w:t xml:space="preserve">Sending K1,000: Fee = K5.00 (0.5% of K1,000). Total deducted from sender: K1,005.00</w:t>
      </w:r>
    </w:p>
    <w:p>
      <w:pPr>
        <w:pStyle w:val="ListParagraph"/>
        <w:numPr>
          <w:ilvl w:val="0"/>
          <w:numId w:val="1"/>
        </w:numPr>
        <w:spacing w:after="60"/>
      </w:pPr>
      <w:r>
        <w:rPr>
          <w:rFonts w:ascii="Calibri" w:cs="Calibri" w:eastAsia="Calibri" w:hAnsi="Calibri"/>
          <w:color w:val="333333"/>
          <w:sz w:val="22"/>
          <w:szCs w:val="22"/>
        </w:rPr>
        <w:t xml:space="preserve">Sending K5,000: Fee = K25.00 (0.5% of K5,000). Total deducted from sender: K5,025.00</w:t>
      </w:r>
    </w:p>
    <w:p>
      <w:pPr>
        <w:spacing w:after="120" w:before="0"/>
        <w:jc w:val="both"/>
      </w:pPr>
      <w:r>
        <w:rPr>
          <w:rFonts w:ascii="Calibri" w:cs="Calibri" w:eastAsia="Calibri" w:hAnsi="Calibri"/>
          <w:b w:val="false"/>
          <w:bCs w:val="false"/>
          <w:i w:val="false"/>
          <w:iCs w:val="false"/>
          <w:color w:val="333333"/>
          <w:sz w:val="22"/>
          <w:szCs w:val="22"/>
        </w:rPr>
        <w:t xml:space="preserve">Rationale: Free transfers under K500 encourage adoption and serve unbanked and low-income populations. The 0.5% fee on larger amounts is significantly lower than traditional mobile money P2P fees (typically 1-3%).</w:t>
      </w:r>
    </w:p>
    <w:p>
      <w:pPr>
        <w:pStyle w:val="Heading2"/>
        <w:spacing w:after="120" w:before="300"/>
      </w:pPr>
      <w:r>
        <w:rPr>
          <w:rFonts w:ascii="Calibri" w:cs="Calibri" w:eastAsia="Calibri" w:hAnsi="Calibri"/>
          <w:b/>
          <w:bCs/>
          <w:color w:val="0A6E3C"/>
          <w:sz w:val="26"/>
          <w:szCs w:val="26"/>
        </w:rPr>
        <w:t xml:space="preserve">3.2 Wallet Top-Up (Loading Funds)</w:t>
      </w:r>
    </w:p>
    <w:p>
      <w:pPr>
        <w:spacing w:after="120" w:before="0"/>
        <w:jc w:val="both"/>
      </w:pPr>
      <w:r>
        <w:rPr>
          <w:rFonts w:ascii="Calibri" w:cs="Calibri" w:eastAsia="Calibri" w:hAnsi="Calibri"/>
          <w:b w:val="false"/>
          <w:bCs w:val="false"/>
          <w:i w:val="false"/>
          <w:iCs w:val="false"/>
          <w:color w:val="333333"/>
          <w:sz w:val="22"/>
          <w:szCs w:val="22"/>
        </w:rPr>
        <w:t xml:space="preserve">Wallet top-up allows users to load funds into their Monde wallet from external mobile money accounts or bank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Funding Source</w:t>
            </w:r>
          </w:p>
        </w:tc>
        <w:tc>
          <w:tcPr>
            <w:tcW w:type="pct" w:w="33%"/>
            <w:shd w:color="0A6E3C" w:val="solid"/>
          </w:tcPr>
          <w:p>
            <w:pPr>
              <w:jc w:val="center"/>
            </w:pPr>
            <w:r>
              <w:rPr>
                <w:rFonts w:ascii="Calibri" w:cs="Calibri" w:eastAsia="Calibri" w:hAnsi="Calibri"/>
                <w:b/>
                <w:bCs/>
                <w:color w:val="FFFFFF"/>
                <w:sz w:val="20"/>
                <w:szCs w:val="20"/>
              </w:rPr>
              <w:t xml:space="preserve">Fee</w:t>
            </w:r>
          </w:p>
        </w:tc>
        <w:tc>
          <w:tcPr>
            <w:tcW w:type="pct" w:w="33%"/>
            <w:shd w:color="0A6E3C" w:val="solid"/>
          </w:tcPr>
          <w:p>
            <w:pPr>
              <w:jc w:val="center"/>
            </w:pPr>
            <w:r>
              <w:rPr>
                <w:rFonts w:ascii="Calibri" w:cs="Calibri" w:eastAsia="Calibri" w:hAnsi="Calibri"/>
                <w:b/>
                <w:bCs/>
                <w:color w:val="FFFFFF"/>
                <w:sz w:val="20"/>
                <w:szCs w:val="20"/>
              </w:rPr>
              <w:t xml:space="preserve">Who Pays</w:t>
            </w:r>
          </w:p>
        </w:tc>
      </w:tr>
      <w:tr>
        <w:tc>
          <w:tcPr>
            <w:tcW w:type="pct" w:w="33%"/>
          </w:tcPr>
          <w:p>
            <w:r>
              <w:rPr>
                <w:rFonts w:ascii="Calibri" w:cs="Calibri" w:eastAsia="Calibri" w:hAnsi="Calibri"/>
                <w:color w:val="333333"/>
                <w:sz w:val="20"/>
                <w:szCs w:val="20"/>
              </w:rPr>
              <w:t xml:space="preserve">Airtel Money</w:t>
            </w:r>
          </w:p>
        </w:tc>
        <w:tc>
          <w:tcPr>
            <w:tcW w:type="pct" w:w="33%"/>
          </w:tcPr>
          <w:p>
            <w:r>
              <w:rPr>
                <w:rFonts w:ascii="Calibri" w:cs="Calibri" w:eastAsia="Calibri" w:hAnsi="Calibri"/>
                <w:color w:val="333333"/>
                <w:sz w:val="20"/>
                <w:szCs w:val="20"/>
              </w:rPr>
              <w:t xml:space="preserve">3% of top-up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MTN Money</w:t>
            </w:r>
          </w:p>
        </w:tc>
        <w:tc>
          <w:tcPr>
            <w:tcW w:type="pct" w:w="33%"/>
          </w:tcPr>
          <w:p>
            <w:r>
              <w:rPr>
                <w:rFonts w:ascii="Calibri" w:cs="Calibri" w:eastAsia="Calibri" w:hAnsi="Calibri"/>
                <w:color w:val="333333"/>
                <w:sz w:val="20"/>
                <w:szCs w:val="20"/>
              </w:rPr>
              <w:t xml:space="preserve">3% of top-up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Zamtel Kwacha</w:t>
            </w:r>
          </w:p>
        </w:tc>
        <w:tc>
          <w:tcPr>
            <w:tcW w:type="pct" w:w="33%"/>
          </w:tcPr>
          <w:p>
            <w:r>
              <w:rPr>
                <w:rFonts w:ascii="Calibri" w:cs="Calibri" w:eastAsia="Calibri" w:hAnsi="Calibri"/>
                <w:color w:val="333333"/>
                <w:sz w:val="20"/>
                <w:szCs w:val="20"/>
              </w:rPr>
              <w:t xml:space="preserve">3% of top-up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Bank Card (Visa/Mastercard)</w:t>
            </w:r>
          </w:p>
        </w:tc>
        <w:tc>
          <w:tcPr>
            <w:tcW w:type="pct" w:w="33%"/>
          </w:tcPr>
          <w:p>
            <w:r>
              <w:rPr>
                <w:rFonts w:ascii="Calibri" w:cs="Calibri" w:eastAsia="Calibri" w:hAnsi="Calibri"/>
                <w:color w:val="333333"/>
                <w:sz w:val="20"/>
                <w:szCs w:val="20"/>
              </w:rPr>
              <w:t xml:space="preserve">4% of top-up amount</w:t>
            </w:r>
          </w:p>
        </w:tc>
        <w:tc>
          <w:tcPr>
            <w:tcW w:type="pct" w:w="33%"/>
          </w:tcPr>
          <w:p>
            <w:r>
              <w:rPr>
                <w:rFonts w:ascii="Calibri" w:cs="Calibri" w:eastAsia="Calibri" w:hAnsi="Calibri"/>
                <w:color w:val="333333"/>
                <w:sz w:val="20"/>
                <w:szCs w:val="20"/>
              </w:rPr>
              <w:t xml:space="preserve">User</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Examples:</w:t>
      </w:r>
    </w:p>
    <w:p>
      <w:pPr>
        <w:pStyle w:val="ListParagraph"/>
        <w:numPr>
          <w:ilvl w:val="0"/>
          <w:numId w:val="1"/>
        </w:numPr>
        <w:spacing w:after="60"/>
      </w:pPr>
      <w:r>
        <w:rPr>
          <w:rFonts w:ascii="Calibri" w:cs="Calibri" w:eastAsia="Calibri" w:hAnsi="Calibri"/>
          <w:color w:val="333333"/>
          <w:sz w:val="22"/>
          <w:szCs w:val="22"/>
        </w:rPr>
        <w:t xml:space="preserve">Top-up K500 from Airtel Money: Fee = K15.00 (3%). Amount credited to wallet: K485.00</w:t>
      </w:r>
    </w:p>
    <w:p>
      <w:pPr>
        <w:pStyle w:val="ListParagraph"/>
        <w:numPr>
          <w:ilvl w:val="0"/>
          <w:numId w:val="1"/>
        </w:numPr>
        <w:spacing w:after="60"/>
      </w:pPr>
      <w:r>
        <w:rPr>
          <w:rFonts w:ascii="Calibri" w:cs="Calibri" w:eastAsia="Calibri" w:hAnsi="Calibri"/>
          <w:color w:val="333333"/>
          <w:sz w:val="22"/>
          <w:szCs w:val="22"/>
        </w:rPr>
        <w:t xml:space="preserve">Top-up K2,000 from MTN Money: Fee = K60.00 (3%). Amount credited to wallet: K1,940.00</w:t>
      </w:r>
    </w:p>
    <w:p>
      <w:pPr>
        <w:pStyle w:val="ListParagraph"/>
        <w:numPr>
          <w:ilvl w:val="0"/>
          <w:numId w:val="1"/>
        </w:numPr>
        <w:spacing w:after="60"/>
      </w:pPr>
      <w:r>
        <w:rPr>
          <w:rFonts w:ascii="Calibri" w:cs="Calibri" w:eastAsia="Calibri" w:hAnsi="Calibri"/>
          <w:color w:val="333333"/>
          <w:sz w:val="22"/>
          <w:szCs w:val="22"/>
        </w:rPr>
        <w:t xml:space="preserve">Top-up K1,000 from Bank Card: Fee = K40.00 (4%). Amount credited to wallet: K960.00</w:t>
      </w:r>
    </w:p>
    <w:p>
      <w:pPr>
        <w:spacing w:after="120" w:before="0"/>
        <w:jc w:val="both"/>
      </w:pPr>
      <w:r>
        <w:rPr>
          <w:rFonts w:ascii="Calibri" w:cs="Calibri" w:eastAsia="Calibri" w:hAnsi="Calibri"/>
          <w:b w:val="false"/>
          <w:bCs w:val="false"/>
          <w:i w:val="false"/>
          <w:iCs w:val="false"/>
          <w:color w:val="333333"/>
          <w:sz w:val="22"/>
          <w:szCs w:val="22"/>
        </w:rPr>
        <w:t xml:space="preserve">Fee breakdown: Mobile money top-up fees (3%) cover the Lipila payment gateway processing fee (2.5%) and Monde operational margin (0.5%). Card top-up fees (4%) cover the Lipila card processing fee (4%) at cost, with no Monde margin on card collections — this encourages mobile money usage while still providing card convenience.</w:t>
      </w:r>
    </w:p>
    <w:p>
      <w:pPr>
        <w:pStyle w:val="Heading2"/>
        <w:spacing w:after="120" w:before="300"/>
      </w:pPr>
      <w:r>
        <w:rPr>
          <w:rFonts w:ascii="Calibri" w:cs="Calibri" w:eastAsia="Calibri" w:hAnsi="Calibri"/>
          <w:b/>
          <w:bCs/>
          <w:color w:val="0A6E3C"/>
          <w:sz w:val="26"/>
          <w:szCs w:val="26"/>
        </w:rPr>
        <w:t xml:space="preserve">3.3 Wallet Withdrawal (Cashing Out)</w:t>
      </w:r>
    </w:p>
    <w:p>
      <w:pPr>
        <w:spacing w:after="120" w:before="0"/>
        <w:jc w:val="both"/>
      </w:pPr>
      <w:r>
        <w:rPr>
          <w:rFonts w:ascii="Calibri" w:cs="Calibri" w:eastAsia="Calibri" w:hAnsi="Calibri"/>
          <w:b w:val="false"/>
          <w:bCs w:val="false"/>
          <w:i w:val="false"/>
          <w:iCs w:val="false"/>
          <w:color w:val="333333"/>
          <w:sz w:val="22"/>
          <w:szCs w:val="22"/>
        </w:rPr>
        <w:t xml:space="preserve">Wallet withdrawal allows users to transfer funds from their Monde wallet to their mobile money account or bank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Destination</w:t>
            </w:r>
          </w:p>
        </w:tc>
        <w:tc>
          <w:tcPr>
            <w:tcW w:type="pct" w:w="33%"/>
            <w:shd w:color="0A6E3C" w:val="solid"/>
          </w:tcPr>
          <w:p>
            <w:pPr>
              <w:jc w:val="center"/>
            </w:pPr>
            <w:r>
              <w:rPr>
                <w:rFonts w:ascii="Calibri" w:cs="Calibri" w:eastAsia="Calibri" w:hAnsi="Calibri"/>
                <w:b/>
                <w:bCs/>
                <w:color w:val="FFFFFF"/>
                <w:sz w:val="20"/>
                <w:szCs w:val="20"/>
              </w:rPr>
              <w:t xml:space="preserve">Fee</w:t>
            </w:r>
          </w:p>
        </w:tc>
        <w:tc>
          <w:tcPr>
            <w:tcW w:type="pct" w:w="33%"/>
            <w:shd w:color="0A6E3C" w:val="solid"/>
          </w:tcPr>
          <w:p>
            <w:pPr>
              <w:jc w:val="center"/>
            </w:pPr>
            <w:r>
              <w:rPr>
                <w:rFonts w:ascii="Calibri" w:cs="Calibri" w:eastAsia="Calibri" w:hAnsi="Calibri"/>
                <w:b/>
                <w:bCs/>
                <w:color w:val="FFFFFF"/>
                <w:sz w:val="20"/>
                <w:szCs w:val="20"/>
              </w:rPr>
              <w:t xml:space="preserve">Who Pays</w:t>
            </w:r>
          </w:p>
        </w:tc>
      </w:tr>
      <w:tr>
        <w:tc>
          <w:tcPr>
            <w:tcW w:type="pct" w:w="33%"/>
          </w:tcPr>
          <w:p>
            <w:r>
              <w:rPr>
                <w:rFonts w:ascii="Calibri" w:cs="Calibri" w:eastAsia="Calibri" w:hAnsi="Calibri"/>
                <w:color w:val="333333"/>
                <w:sz w:val="20"/>
                <w:szCs w:val="20"/>
              </w:rPr>
              <w:t xml:space="preserve">Airtel Money</w:t>
            </w:r>
          </w:p>
        </w:tc>
        <w:tc>
          <w:tcPr>
            <w:tcW w:type="pct" w:w="33%"/>
          </w:tcPr>
          <w:p>
            <w:r>
              <w:rPr>
                <w:rFonts w:ascii="Calibri" w:cs="Calibri" w:eastAsia="Calibri" w:hAnsi="Calibri"/>
                <w:color w:val="333333"/>
                <w:sz w:val="20"/>
                <w:szCs w:val="20"/>
              </w:rPr>
              <w:t xml:space="preserve">3% of withdrawal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MTN Money</w:t>
            </w:r>
          </w:p>
        </w:tc>
        <w:tc>
          <w:tcPr>
            <w:tcW w:type="pct" w:w="33%"/>
          </w:tcPr>
          <w:p>
            <w:r>
              <w:rPr>
                <w:rFonts w:ascii="Calibri" w:cs="Calibri" w:eastAsia="Calibri" w:hAnsi="Calibri"/>
                <w:color w:val="333333"/>
                <w:sz w:val="20"/>
                <w:szCs w:val="20"/>
              </w:rPr>
              <w:t xml:space="preserve">3% of withdrawal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Zamtel Kwacha</w:t>
            </w:r>
          </w:p>
        </w:tc>
        <w:tc>
          <w:tcPr>
            <w:tcW w:type="pct" w:w="33%"/>
          </w:tcPr>
          <w:p>
            <w:r>
              <w:rPr>
                <w:rFonts w:ascii="Calibri" w:cs="Calibri" w:eastAsia="Calibri" w:hAnsi="Calibri"/>
                <w:color w:val="333333"/>
                <w:sz w:val="20"/>
                <w:szCs w:val="20"/>
              </w:rPr>
              <w:t xml:space="preserve">3% of withdrawal amount</w:t>
            </w:r>
          </w:p>
        </w:tc>
        <w:tc>
          <w:tcPr>
            <w:tcW w:type="pct" w:w="33%"/>
          </w:tcPr>
          <w:p>
            <w:r>
              <w:rPr>
                <w:rFonts w:ascii="Calibri" w:cs="Calibri" w:eastAsia="Calibri" w:hAnsi="Calibri"/>
                <w:color w:val="333333"/>
                <w:sz w:val="20"/>
                <w:szCs w:val="20"/>
              </w:rPr>
              <w:t xml:space="preserve">User</w:t>
            </w:r>
          </w:p>
        </w:tc>
      </w:tr>
      <w:tr>
        <w:tc>
          <w:tcPr>
            <w:tcW w:type="pct" w:w="33%"/>
          </w:tcPr>
          <w:p>
            <w:r>
              <w:rPr>
                <w:rFonts w:ascii="Calibri" w:cs="Calibri" w:eastAsia="Calibri" w:hAnsi="Calibri"/>
                <w:color w:val="333333"/>
                <w:sz w:val="20"/>
                <w:szCs w:val="20"/>
              </w:rPr>
              <w:t xml:space="preserve">Bank Account</w:t>
            </w:r>
          </w:p>
        </w:tc>
        <w:tc>
          <w:tcPr>
            <w:tcW w:type="pct" w:w="33%"/>
          </w:tcPr>
          <w:p>
            <w:r>
              <w:rPr>
                <w:rFonts w:ascii="Calibri" w:cs="Calibri" w:eastAsia="Calibri" w:hAnsi="Calibri"/>
                <w:color w:val="333333"/>
                <w:sz w:val="20"/>
                <w:szCs w:val="20"/>
              </w:rPr>
              <w:t xml:space="preserve">3% of withdrawal amount</w:t>
            </w:r>
          </w:p>
        </w:tc>
        <w:tc>
          <w:tcPr>
            <w:tcW w:type="pct" w:w="33%"/>
          </w:tcPr>
          <w:p>
            <w:r>
              <w:rPr>
                <w:rFonts w:ascii="Calibri" w:cs="Calibri" w:eastAsia="Calibri" w:hAnsi="Calibri"/>
                <w:color w:val="333333"/>
                <w:sz w:val="20"/>
                <w:szCs w:val="20"/>
              </w:rPr>
              <w:t xml:space="preserve">User</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Examples:</w:t>
      </w:r>
    </w:p>
    <w:p>
      <w:pPr>
        <w:pStyle w:val="ListParagraph"/>
        <w:numPr>
          <w:ilvl w:val="0"/>
          <w:numId w:val="1"/>
        </w:numPr>
        <w:spacing w:after="60"/>
      </w:pPr>
      <w:r>
        <w:rPr>
          <w:rFonts w:ascii="Calibri" w:cs="Calibri" w:eastAsia="Calibri" w:hAnsi="Calibri"/>
          <w:color w:val="333333"/>
          <w:sz w:val="22"/>
          <w:szCs w:val="22"/>
        </w:rPr>
        <w:t xml:space="preserve">Withdraw K1,000 to MTN Money: Fee = K30.00. Total deducted from wallet: K1,030.00. Amount received: K1,000.00</w:t>
      </w:r>
    </w:p>
    <w:p>
      <w:pPr>
        <w:pStyle w:val="ListParagraph"/>
        <w:numPr>
          <w:ilvl w:val="0"/>
          <w:numId w:val="1"/>
        </w:numPr>
        <w:spacing w:after="60"/>
      </w:pPr>
      <w:r>
        <w:rPr>
          <w:rFonts w:ascii="Calibri" w:cs="Calibri" w:eastAsia="Calibri" w:hAnsi="Calibri"/>
          <w:color w:val="333333"/>
          <w:sz w:val="22"/>
          <w:szCs w:val="22"/>
        </w:rPr>
        <w:t xml:space="preserve">Withdraw K5,000 to Bank: Fee = K150.00. Total deducted from wallet: K5,150.00. Amount received: K5,000.00</w:t>
      </w:r>
    </w:p>
    <w:p>
      <w:pPr>
        <w:spacing w:after="120" w:before="0"/>
        <w:jc w:val="both"/>
      </w:pPr>
      <w:r>
        <w:rPr>
          <w:rFonts w:ascii="Calibri" w:cs="Calibri" w:eastAsia="Calibri" w:hAnsi="Calibri"/>
          <w:b w:val="false"/>
          <w:bCs w:val="false"/>
          <w:i w:val="false"/>
          <w:iCs w:val="false"/>
          <w:color w:val="333333"/>
          <w:sz w:val="22"/>
          <w:szCs w:val="22"/>
        </w:rPr>
        <w:t xml:space="preserve">Fee breakdown: The 3% fee covers the Lipila payment gateway disbursement fee (1.5% for mobile money) and Monde operational margin.</w:t>
      </w:r>
    </w:p>
    <w:p>
      <w:r>
        <w:br w:type="page"/>
      </w:r>
    </w:p>
    <w:p>
      <w:pPr>
        <w:pStyle w:val="Heading2"/>
        <w:spacing w:after="120" w:before="300"/>
      </w:pPr>
      <w:r>
        <w:rPr>
          <w:rFonts w:ascii="Calibri" w:cs="Calibri" w:eastAsia="Calibri" w:hAnsi="Calibri"/>
          <w:b/>
          <w:bCs/>
          <w:color w:val="0A6E3C"/>
          <w:sz w:val="26"/>
          <w:szCs w:val="26"/>
        </w:rPr>
        <w:t xml:space="preserve">3.4 Agent Cash-In (Deposit) Fees</w:t>
      </w:r>
    </w:p>
    <w:p>
      <w:pPr>
        <w:spacing w:after="120" w:before="0"/>
        <w:jc w:val="both"/>
      </w:pPr>
      <w:r>
        <w:rPr>
          <w:rFonts w:ascii="Calibri" w:cs="Calibri" w:eastAsia="Calibri" w:hAnsi="Calibri"/>
          <w:b w:val="false"/>
          <w:bCs w:val="false"/>
          <w:i w:val="false"/>
          <w:iCs w:val="false"/>
          <w:color w:val="333333"/>
          <w:sz w:val="22"/>
          <w:szCs w:val="22"/>
        </w:rPr>
        <w:t xml:space="preserve">Agent cash-in allows customers to deposit physical cash through a Monde agent, who credits the customer Monde wallet.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Transaction</w:t>
            </w:r>
          </w:p>
        </w:tc>
        <w:tc>
          <w:tcPr>
            <w:tcW w:type="pct" w:w="25%"/>
            <w:shd w:color="0A6E3C" w:val="solid"/>
          </w:tcPr>
          <w:p>
            <w:pPr>
              <w:jc w:val="center"/>
            </w:pPr>
            <w:r>
              <w:rPr>
                <w:rFonts w:ascii="Calibri" w:cs="Calibri" w:eastAsia="Calibri" w:hAnsi="Calibri"/>
                <w:b/>
                <w:bCs/>
                <w:color w:val="FFFFFF"/>
                <w:sz w:val="20"/>
                <w:szCs w:val="20"/>
              </w:rPr>
              <w:t xml:space="preserve">Customer Fee</w:t>
            </w:r>
          </w:p>
        </w:tc>
        <w:tc>
          <w:tcPr>
            <w:tcW w:type="pct" w:w="25%"/>
            <w:shd w:color="0A6E3C" w:val="solid"/>
          </w:tcPr>
          <w:p>
            <w:pPr>
              <w:jc w:val="center"/>
            </w:pPr>
            <w:r>
              <w:rPr>
                <w:rFonts w:ascii="Calibri" w:cs="Calibri" w:eastAsia="Calibri" w:hAnsi="Calibri"/>
                <w:b/>
                <w:bCs/>
                <w:color w:val="FFFFFF"/>
                <w:sz w:val="20"/>
                <w:szCs w:val="20"/>
              </w:rPr>
              <w:t xml:space="preserve">Agent Commission</w:t>
            </w:r>
          </w:p>
        </w:tc>
        <w:tc>
          <w:tcPr>
            <w:tcW w:type="pct" w:w="25%"/>
            <w:shd w:color="0A6E3C" w:val="solid"/>
          </w:tcPr>
          <w:p>
            <w:pPr>
              <w:jc w:val="center"/>
            </w:pPr>
            <w:r>
              <w:rPr>
                <w:rFonts w:ascii="Calibri" w:cs="Calibri" w:eastAsia="Calibri" w:hAnsi="Calibri"/>
                <w:b/>
                <w:bCs/>
                <w:color w:val="FFFFFF"/>
                <w:sz w:val="20"/>
                <w:szCs w:val="20"/>
              </w:rPr>
              <w:t xml:space="preserve">Paid By</w:t>
            </w:r>
          </w:p>
        </w:tc>
      </w:tr>
      <w:tr>
        <w:tc>
          <w:tcPr>
            <w:tcW w:type="pct" w:w="25%"/>
          </w:tcPr>
          <w:p>
            <w:r>
              <w:rPr>
                <w:rFonts w:ascii="Calibri" w:cs="Calibri" w:eastAsia="Calibri" w:hAnsi="Calibri"/>
                <w:color w:val="333333"/>
                <w:sz w:val="20"/>
                <w:szCs w:val="20"/>
              </w:rPr>
              <w:t xml:space="preserve">Any amount</w:t>
            </w:r>
          </w:p>
        </w:tc>
        <w:tc>
          <w:tcPr>
            <w:tcW w:type="pct" w:w="25%"/>
          </w:tcPr>
          <w:p>
            <w:r>
              <w:rPr>
                <w:rFonts w:ascii="Calibri" w:cs="Calibri" w:eastAsia="Calibri" w:hAnsi="Calibri"/>
                <w:color w:val="333333"/>
                <w:sz w:val="20"/>
                <w:szCs w:val="20"/>
              </w:rPr>
              <w:t xml:space="preserve">FREE (K0.00)</w:t>
            </w:r>
          </w:p>
        </w:tc>
        <w:tc>
          <w:tcPr>
            <w:tcW w:type="pct" w:w="25%"/>
          </w:tcPr>
          <w:p>
            <w:r>
              <w:rPr>
                <w:rFonts w:ascii="Calibri" w:cs="Calibri" w:eastAsia="Calibri" w:hAnsi="Calibri"/>
                <w:color w:val="333333"/>
                <w:sz w:val="20"/>
                <w:szCs w:val="20"/>
              </w:rPr>
              <w:t xml:space="preserve">0.5% of deposit amount</w:t>
            </w:r>
          </w:p>
        </w:tc>
        <w:tc>
          <w:tcPr>
            <w:tcW w:type="pct" w:w="25%"/>
          </w:tcPr>
          <w:p>
            <w:r>
              <w:rPr>
                <w:rFonts w:ascii="Calibri" w:cs="Calibri" w:eastAsia="Calibri" w:hAnsi="Calibri"/>
                <w:color w:val="333333"/>
                <w:sz w:val="20"/>
                <w:szCs w:val="20"/>
              </w:rPr>
              <w:t xml:space="preserve">Monde (from fee ledger)</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Examples:</w:t>
      </w:r>
    </w:p>
    <w:p>
      <w:pPr>
        <w:pStyle w:val="ListParagraph"/>
        <w:numPr>
          <w:ilvl w:val="0"/>
          <w:numId w:val="1"/>
        </w:numPr>
        <w:spacing w:after="60"/>
      </w:pPr>
      <w:r>
        <w:rPr>
          <w:rFonts w:ascii="Calibri" w:cs="Calibri" w:eastAsia="Calibri" w:hAnsi="Calibri"/>
          <w:color w:val="333333"/>
          <w:sz w:val="22"/>
          <w:szCs w:val="22"/>
        </w:rPr>
        <w:t xml:space="preserve">Customer deposits K1,000 via agent: Customer pays K0.00 fee. Agent earns K5.00 commission (paid by Monde).</w:t>
      </w:r>
    </w:p>
    <w:p>
      <w:pPr>
        <w:pStyle w:val="ListParagraph"/>
        <w:numPr>
          <w:ilvl w:val="0"/>
          <w:numId w:val="1"/>
        </w:numPr>
        <w:spacing w:after="60"/>
      </w:pPr>
      <w:r>
        <w:rPr>
          <w:rFonts w:ascii="Calibri" w:cs="Calibri" w:eastAsia="Calibri" w:hAnsi="Calibri"/>
          <w:color w:val="333333"/>
          <w:sz w:val="22"/>
          <w:szCs w:val="22"/>
        </w:rPr>
        <w:t xml:space="preserve">Customer deposits K10,000 via agent: Customer pays K0.00 fee. Agent earns K50.00 commission (paid by Monde).</w:t>
      </w:r>
    </w:p>
    <w:p>
      <w:pPr>
        <w:spacing w:after="120" w:before="0"/>
        <w:jc w:val="both"/>
      </w:pPr>
      <w:r>
        <w:rPr>
          <w:rFonts w:ascii="Calibri" w:cs="Calibri" w:eastAsia="Calibri" w:hAnsi="Calibri"/>
          <w:b w:val="false"/>
          <w:bCs w:val="false"/>
          <w:i w:val="false"/>
          <w:iCs w:val="false"/>
          <w:color w:val="333333"/>
          <w:sz w:val="22"/>
          <w:szCs w:val="22"/>
        </w:rPr>
        <w:t xml:space="preserve">Rationale: Free deposits for customers encourage wallet loading and platform usage. Agent commissions are funded by Monde from the fee ledger to incentivise agent participation and network growth.</w:t>
      </w:r>
    </w:p>
    <w:p>
      <w:pPr>
        <w:pStyle w:val="Heading2"/>
        <w:spacing w:after="120" w:before="300"/>
      </w:pPr>
      <w:r>
        <w:rPr>
          <w:rFonts w:ascii="Calibri" w:cs="Calibri" w:eastAsia="Calibri" w:hAnsi="Calibri"/>
          <w:b/>
          <w:bCs/>
          <w:color w:val="0A6E3C"/>
          <w:sz w:val="26"/>
          <w:szCs w:val="26"/>
        </w:rPr>
        <w:t xml:space="preserve">3.5 Agent Cash-Out Fees</w:t>
      </w:r>
    </w:p>
    <w:p>
      <w:pPr>
        <w:spacing w:after="120" w:before="0"/>
        <w:jc w:val="both"/>
      </w:pPr>
      <w:r>
        <w:rPr>
          <w:rFonts w:ascii="Calibri" w:cs="Calibri" w:eastAsia="Calibri" w:hAnsi="Calibri"/>
          <w:b w:val="false"/>
          <w:bCs w:val="false"/>
          <w:i w:val="false"/>
          <w:iCs w:val="false"/>
          <w:color w:val="333333"/>
          <w:sz w:val="22"/>
          <w:szCs w:val="22"/>
        </w:rPr>
        <w:t xml:space="preserve">Agent cash-out allows customers to withdraw physical cash through a Monde agent. A tiered fee structure applies based on the transaction amount.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Transaction Amount (ZMW)</w:t>
            </w:r>
          </w:p>
        </w:tc>
        <w:tc>
          <w:tcPr>
            <w:tcW w:type="pct" w:w="25%"/>
            <w:shd w:color="0A6E3C" w:val="solid"/>
          </w:tcPr>
          <w:p>
            <w:pPr>
              <w:jc w:val="center"/>
            </w:pPr>
            <w:r>
              <w:rPr>
                <w:rFonts w:ascii="Calibri" w:cs="Calibri" w:eastAsia="Calibri" w:hAnsi="Calibri"/>
                <w:b/>
                <w:bCs/>
                <w:color w:val="FFFFFF"/>
                <w:sz w:val="20"/>
                <w:szCs w:val="20"/>
              </w:rPr>
              <w:t xml:space="preserve">Total Fee (ZMW)</w:t>
            </w:r>
          </w:p>
        </w:tc>
        <w:tc>
          <w:tcPr>
            <w:tcW w:type="pct" w:w="25%"/>
            <w:shd w:color="0A6E3C" w:val="solid"/>
          </w:tcPr>
          <w:p>
            <w:pPr>
              <w:jc w:val="center"/>
            </w:pPr>
            <w:r>
              <w:rPr>
                <w:rFonts w:ascii="Calibri" w:cs="Calibri" w:eastAsia="Calibri" w:hAnsi="Calibri"/>
                <w:b/>
                <w:bCs/>
                <w:color w:val="FFFFFF"/>
                <w:sz w:val="20"/>
                <w:szCs w:val="20"/>
              </w:rPr>
              <w:t xml:space="preserve">Agent Share (70%)</w:t>
            </w:r>
          </w:p>
        </w:tc>
        <w:tc>
          <w:tcPr>
            <w:tcW w:type="pct" w:w="25%"/>
            <w:shd w:color="0A6E3C" w:val="solid"/>
          </w:tcPr>
          <w:p>
            <w:pPr>
              <w:jc w:val="center"/>
            </w:pPr>
            <w:r>
              <w:rPr>
                <w:rFonts w:ascii="Calibri" w:cs="Calibri" w:eastAsia="Calibri" w:hAnsi="Calibri"/>
                <w:b/>
                <w:bCs/>
                <w:color w:val="FFFFFF"/>
                <w:sz w:val="20"/>
                <w:szCs w:val="20"/>
              </w:rPr>
              <w:t xml:space="preserve">Monde Share (30%)</w:t>
            </w:r>
          </w:p>
        </w:tc>
      </w:tr>
      <w:tr>
        <w:tc>
          <w:tcPr>
            <w:tcW w:type="pct" w:w="25%"/>
          </w:tcPr>
          <w:p>
            <w:r>
              <w:rPr>
                <w:rFonts w:ascii="Calibri" w:cs="Calibri" w:eastAsia="Calibri" w:hAnsi="Calibri"/>
                <w:color w:val="333333"/>
                <w:sz w:val="20"/>
                <w:szCs w:val="20"/>
              </w:rPr>
              <w:t xml:space="preserve">K1 - K50</w:t>
            </w:r>
          </w:p>
        </w:tc>
        <w:tc>
          <w:tcPr>
            <w:tcW w:type="pct" w:w="25%"/>
          </w:tcPr>
          <w:p>
            <w:r>
              <w:rPr>
                <w:rFonts w:ascii="Calibri" w:cs="Calibri" w:eastAsia="Calibri" w:hAnsi="Calibri"/>
                <w:color w:val="333333"/>
                <w:sz w:val="20"/>
                <w:szCs w:val="20"/>
              </w:rPr>
              <w:t xml:space="preserve">K2.50</w:t>
            </w:r>
          </w:p>
        </w:tc>
        <w:tc>
          <w:tcPr>
            <w:tcW w:type="pct" w:w="25%"/>
          </w:tcPr>
          <w:p>
            <w:r>
              <w:rPr>
                <w:rFonts w:ascii="Calibri" w:cs="Calibri" w:eastAsia="Calibri" w:hAnsi="Calibri"/>
                <w:color w:val="333333"/>
                <w:sz w:val="20"/>
                <w:szCs w:val="20"/>
              </w:rPr>
              <w:t xml:space="preserve">K1.75</w:t>
            </w:r>
          </w:p>
        </w:tc>
        <w:tc>
          <w:tcPr>
            <w:tcW w:type="pct" w:w="25%"/>
          </w:tcPr>
          <w:p>
            <w:r>
              <w:rPr>
                <w:rFonts w:ascii="Calibri" w:cs="Calibri" w:eastAsia="Calibri" w:hAnsi="Calibri"/>
                <w:color w:val="333333"/>
                <w:sz w:val="20"/>
                <w:szCs w:val="20"/>
              </w:rPr>
              <w:t xml:space="preserve">K0.75</w:t>
            </w:r>
          </w:p>
        </w:tc>
      </w:tr>
      <w:tr>
        <w:tc>
          <w:tcPr>
            <w:tcW w:type="pct" w:w="25%"/>
          </w:tcPr>
          <w:p>
            <w:r>
              <w:rPr>
                <w:rFonts w:ascii="Calibri" w:cs="Calibri" w:eastAsia="Calibri" w:hAnsi="Calibri"/>
                <w:color w:val="333333"/>
                <w:sz w:val="20"/>
                <w:szCs w:val="20"/>
              </w:rPr>
              <w:t xml:space="preserve">K51 - K100</w:t>
            </w:r>
          </w:p>
        </w:tc>
        <w:tc>
          <w:tcPr>
            <w:tcW w:type="pct" w:w="25%"/>
          </w:tcPr>
          <w:p>
            <w:r>
              <w:rPr>
                <w:rFonts w:ascii="Calibri" w:cs="Calibri" w:eastAsia="Calibri" w:hAnsi="Calibri"/>
                <w:color w:val="333333"/>
                <w:sz w:val="20"/>
                <w:szCs w:val="20"/>
              </w:rPr>
              <w:t xml:space="preserve">K5.00</w:t>
            </w:r>
          </w:p>
        </w:tc>
        <w:tc>
          <w:tcPr>
            <w:tcW w:type="pct" w:w="25%"/>
          </w:tcPr>
          <w:p>
            <w:r>
              <w:rPr>
                <w:rFonts w:ascii="Calibri" w:cs="Calibri" w:eastAsia="Calibri" w:hAnsi="Calibri"/>
                <w:color w:val="333333"/>
                <w:sz w:val="20"/>
                <w:szCs w:val="20"/>
              </w:rPr>
              <w:t xml:space="preserve">K3.50</w:t>
            </w:r>
          </w:p>
        </w:tc>
        <w:tc>
          <w:tcPr>
            <w:tcW w:type="pct" w:w="25%"/>
          </w:tcPr>
          <w:p>
            <w:r>
              <w:rPr>
                <w:rFonts w:ascii="Calibri" w:cs="Calibri" w:eastAsia="Calibri" w:hAnsi="Calibri"/>
                <w:color w:val="333333"/>
                <w:sz w:val="20"/>
                <w:szCs w:val="20"/>
              </w:rPr>
              <w:t xml:space="preserve">K1.50</w:t>
            </w:r>
          </w:p>
        </w:tc>
      </w:tr>
      <w:tr>
        <w:tc>
          <w:tcPr>
            <w:tcW w:type="pct" w:w="25%"/>
          </w:tcPr>
          <w:p>
            <w:r>
              <w:rPr>
                <w:rFonts w:ascii="Calibri" w:cs="Calibri" w:eastAsia="Calibri" w:hAnsi="Calibri"/>
                <w:color w:val="333333"/>
                <w:sz w:val="20"/>
                <w:szCs w:val="20"/>
              </w:rPr>
              <w:t xml:space="preserve">K101 - K500</w:t>
            </w:r>
          </w:p>
        </w:tc>
        <w:tc>
          <w:tcPr>
            <w:tcW w:type="pct" w:w="25%"/>
          </w:tcPr>
          <w:p>
            <w:r>
              <w:rPr>
                <w:rFonts w:ascii="Calibri" w:cs="Calibri" w:eastAsia="Calibri" w:hAnsi="Calibri"/>
                <w:color w:val="333333"/>
                <w:sz w:val="20"/>
                <w:szCs w:val="20"/>
              </w:rPr>
              <w:t xml:space="preserve">K10.00</w:t>
            </w:r>
          </w:p>
        </w:tc>
        <w:tc>
          <w:tcPr>
            <w:tcW w:type="pct" w:w="25%"/>
          </w:tcPr>
          <w:p>
            <w:r>
              <w:rPr>
                <w:rFonts w:ascii="Calibri" w:cs="Calibri" w:eastAsia="Calibri" w:hAnsi="Calibri"/>
                <w:color w:val="333333"/>
                <w:sz w:val="20"/>
                <w:szCs w:val="20"/>
              </w:rPr>
              <w:t xml:space="preserve">K7.00</w:t>
            </w:r>
          </w:p>
        </w:tc>
        <w:tc>
          <w:tcPr>
            <w:tcW w:type="pct" w:w="25%"/>
          </w:tcPr>
          <w:p>
            <w:r>
              <w:rPr>
                <w:rFonts w:ascii="Calibri" w:cs="Calibri" w:eastAsia="Calibri" w:hAnsi="Calibri"/>
                <w:color w:val="333333"/>
                <w:sz w:val="20"/>
                <w:szCs w:val="20"/>
              </w:rPr>
              <w:t xml:space="preserve">K3.00</w:t>
            </w:r>
          </w:p>
        </w:tc>
      </w:tr>
      <w:tr>
        <w:tc>
          <w:tcPr>
            <w:tcW w:type="pct" w:w="25%"/>
          </w:tcPr>
          <w:p>
            <w:r>
              <w:rPr>
                <w:rFonts w:ascii="Calibri" w:cs="Calibri" w:eastAsia="Calibri" w:hAnsi="Calibri"/>
                <w:color w:val="333333"/>
                <w:sz w:val="20"/>
                <w:szCs w:val="20"/>
              </w:rPr>
              <w:t xml:space="preserve">K501 - K1,000</w:t>
            </w:r>
          </w:p>
        </w:tc>
        <w:tc>
          <w:tcPr>
            <w:tcW w:type="pct" w:w="25%"/>
          </w:tcPr>
          <w:p>
            <w:r>
              <w:rPr>
                <w:rFonts w:ascii="Calibri" w:cs="Calibri" w:eastAsia="Calibri" w:hAnsi="Calibri"/>
                <w:color w:val="333333"/>
                <w:sz w:val="20"/>
                <w:szCs w:val="20"/>
              </w:rPr>
              <w:t xml:space="preserve">K15.00</w:t>
            </w:r>
          </w:p>
        </w:tc>
        <w:tc>
          <w:tcPr>
            <w:tcW w:type="pct" w:w="25%"/>
          </w:tcPr>
          <w:p>
            <w:r>
              <w:rPr>
                <w:rFonts w:ascii="Calibri" w:cs="Calibri" w:eastAsia="Calibri" w:hAnsi="Calibri"/>
                <w:color w:val="333333"/>
                <w:sz w:val="20"/>
                <w:szCs w:val="20"/>
              </w:rPr>
              <w:t xml:space="preserve">K10.50</w:t>
            </w:r>
          </w:p>
        </w:tc>
        <w:tc>
          <w:tcPr>
            <w:tcW w:type="pct" w:w="25%"/>
          </w:tcPr>
          <w:p>
            <w:r>
              <w:rPr>
                <w:rFonts w:ascii="Calibri" w:cs="Calibri" w:eastAsia="Calibri" w:hAnsi="Calibri"/>
                <w:color w:val="333333"/>
                <w:sz w:val="20"/>
                <w:szCs w:val="20"/>
              </w:rPr>
              <w:t xml:space="preserve">K4.50</w:t>
            </w:r>
          </w:p>
        </w:tc>
      </w:tr>
      <w:tr>
        <w:tc>
          <w:tcPr>
            <w:tcW w:type="pct" w:w="25%"/>
          </w:tcPr>
          <w:p>
            <w:r>
              <w:rPr>
                <w:rFonts w:ascii="Calibri" w:cs="Calibri" w:eastAsia="Calibri" w:hAnsi="Calibri"/>
                <w:color w:val="333333"/>
                <w:sz w:val="20"/>
                <w:szCs w:val="20"/>
              </w:rPr>
              <w:t xml:space="preserve">K1,001 - K2,500</w:t>
            </w:r>
          </w:p>
        </w:tc>
        <w:tc>
          <w:tcPr>
            <w:tcW w:type="pct" w:w="25%"/>
          </w:tcPr>
          <w:p>
            <w:r>
              <w:rPr>
                <w:rFonts w:ascii="Calibri" w:cs="Calibri" w:eastAsia="Calibri" w:hAnsi="Calibri"/>
                <w:color w:val="333333"/>
                <w:sz w:val="20"/>
                <w:szCs w:val="20"/>
              </w:rPr>
              <w:t xml:space="preserve">K20.00</w:t>
            </w:r>
          </w:p>
        </w:tc>
        <w:tc>
          <w:tcPr>
            <w:tcW w:type="pct" w:w="25%"/>
          </w:tcPr>
          <w:p>
            <w:r>
              <w:rPr>
                <w:rFonts w:ascii="Calibri" w:cs="Calibri" w:eastAsia="Calibri" w:hAnsi="Calibri"/>
                <w:color w:val="333333"/>
                <w:sz w:val="20"/>
                <w:szCs w:val="20"/>
              </w:rPr>
              <w:t xml:space="preserve">K14.00</w:t>
            </w:r>
          </w:p>
        </w:tc>
        <w:tc>
          <w:tcPr>
            <w:tcW w:type="pct" w:w="25%"/>
          </w:tcPr>
          <w:p>
            <w:r>
              <w:rPr>
                <w:rFonts w:ascii="Calibri" w:cs="Calibri" w:eastAsia="Calibri" w:hAnsi="Calibri"/>
                <w:color w:val="333333"/>
                <w:sz w:val="20"/>
                <w:szCs w:val="20"/>
              </w:rPr>
              <w:t xml:space="preserve">K6.00</w:t>
            </w:r>
          </w:p>
        </w:tc>
      </w:tr>
      <w:tr>
        <w:tc>
          <w:tcPr>
            <w:tcW w:type="pct" w:w="25%"/>
          </w:tcPr>
          <w:p>
            <w:r>
              <w:rPr>
                <w:rFonts w:ascii="Calibri" w:cs="Calibri" w:eastAsia="Calibri" w:hAnsi="Calibri"/>
                <w:color w:val="333333"/>
                <w:sz w:val="20"/>
                <w:szCs w:val="20"/>
              </w:rPr>
              <w:t xml:space="preserve">K2,501 - K5,000</w:t>
            </w:r>
          </w:p>
        </w:tc>
        <w:tc>
          <w:tcPr>
            <w:tcW w:type="pct" w:w="25%"/>
          </w:tcPr>
          <w:p>
            <w:r>
              <w:rPr>
                <w:rFonts w:ascii="Calibri" w:cs="Calibri" w:eastAsia="Calibri" w:hAnsi="Calibri"/>
                <w:color w:val="333333"/>
                <w:sz w:val="20"/>
                <w:szCs w:val="20"/>
              </w:rPr>
              <w:t xml:space="preserve">K30.00</w:t>
            </w:r>
          </w:p>
        </w:tc>
        <w:tc>
          <w:tcPr>
            <w:tcW w:type="pct" w:w="25%"/>
          </w:tcPr>
          <w:p>
            <w:r>
              <w:rPr>
                <w:rFonts w:ascii="Calibri" w:cs="Calibri" w:eastAsia="Calibri" w:hAnsi="Calibri"/>
                <w:color w:val="333333"/>
                <w:sz w:val="20"/>
                <w:szCs w:val="20"/>
              </w:rPr>
              <w:t xml:space="preserve">K21.00</w:t>
            </w:r>
          </w:p>
        </w:tc>
        <w:tc>
          <w:tcPr>
            <w:tcW w:type="pct" w:w="25%"/>
          </w:tcPr>
          <w:p>
            <w:r>
              <w:rPr>
                <w:rFonts w:ascii="Calibri" w:cs="Calibri" w:eastAsia="Calibri" w:hAnsi="Calibri"/>
                <w:color w:val="333333"/>
                <w:sz w:val="20"/>
                <w:szCs w:val="20"/>
              </w:rPr>
              <w:t xml:space="preserve">K9.00</w:t>
            </w:r>
          </w:p>
        </w:tc>
      </w:tr>
      <w:tr>
        <w:tc>
          <w:tcPr>
            <w:tcW w:type="pct" w:w="25%"/>
          </w:tcPr>
          <w:p>
            <w:r>
              <w:rPr>
                <w:rFonts w:ascii="Calibri" w:cs="Calibri" w:eastAsia="Calibri" w:hAnsi="Calibri"/>
                <w:color w:val="333333"/>
                <w:sz w:val="20"/>
                <w:szCs w:val="20"/>
              </w:rPr>
              <w:t xml:space="preserve">K5,001 - K10,000</w:t>
            </w:r>
          </w:p>
        </w:tc>
        <w:tc>
          <w:tcPr>
            <w:tcW w:type="pct" w:w="25%"/>
          </w:tcPr>
          <w:p>
            <w:r>
              <w:rPr>
                <w:rFonts w:ascii="Calibri" w:cs="Calibri" w:eastAsia="Calibri" w:hAnsi="Calibri"/>
                <w:color w:val="333333"/>
                <w:sz w:val="20"/>
                <w:szCs w:val="20"/>
              </w:rPr>
              <w:t xml:space="preserve">K40.00</w:t>
            </w:r>
          </w:p>
        </w:tc>
        <w:tc>
          <w:tcPr>
            <w:tcW w:type="pct" w:w="25%"/>
          </w:tcPr>
          <w:p>
            <w:r>
              <w:rPr>
                <w:rFonts w:ascii="Calibri" w:cs="Calibri" w:eastAsia="Calibri" w:hAnsi="Calibri"/>
                <w:color w:val="333333"/>
                <w:sz w:val="20"/>
                <w:szCs w:val="20"/>
              </w:rPr>
              <w:t xml:space="preserve">K28.00</w:t>
            </w:r>
          </w:p>
        </w:tc>
        <w:tc>
          <w:tcPr>
            <w:tcW w:type="pct" w:w="25%"/>
          </w:tcPr>
          <w:p>
            <w:r>
              <w:rPr>
                <w:rFonts w:ascii="Calibri" w:cs="Calibri" w:eastAsia="Calibri" w:hAnsi="Calibri"/>
                <w:color w:val="333333"/>
                <w:sz w:val="20"/>
                <w:szCs w:val="20"/>
              </w:rPr>
              <w:t xml:space="preserve">K12.00</w:t>
            </w:r>
          </w:p>
        </w:tc>
      </w:tr>
      <w:tr>
        <w:tc>
          <w:tcPr>
            <w:tcW w:type="pct" w:w="25%"/>
          </w:tcPr>
          <w:p>
            <w:r>
              <w:rPr>
                <w:rFonts w:ascii="Calibri" w:cs="Calibri" w:eastAsia="Calibri" w:hAnsi="Calibri"/>
                <w:color w:val="333333"/>
                <w:sz w:val="20"/>
                <w:szCs w:val="20"/>
              </w:rPr>
              <w:t xml:space="preserve">K10,001 and above</w:t>
            </w:r>
          </w:p>
        </w:tc>
        <w:tc>
          <w:tcPr>
            <w:tcW w:type="pct" w:w="25%"/>
          </w:tcPr>
          <w:p>
            <w:r>
              <w:rPr>
                <w:rFonts w:ascii="Calibri" w:cs="Calibri" w:eastAsia="Calibri" w:hAnsi="Calibri"/>
                <w:color w:val="333333"/>
                <w:sz w:val="20"/>
                <w:szCs w:val="20"/>
              </w:rPr>
              <w:t xml:space="preserve">K50.00</w:t>
            </w:r>
          </w:p>
        </w:tc>
        <w:tc>
          <w:tcPr>
            <w:tcW w:type="pct" w:w="25%"/>
          </w:tcPr>
          <w:p>
            <w:r>
              <w:rPr>
                <w:rFonts w:ascii="Calibri" w:cs="Calibri" w:eastAsia="Calibri" w:hAnsi="Calibri"/>
                <w:color w:val="333333"/>
                <w:sz w:val="20"/>
                <w:szCs w:val="20"/>
              </w:rPr>
              <w:t xml:space="preserve">K35.00</w:t>
            </w:r>
          </w:p>
        </w:tc>
        <w:tc>
          <w:tcPr>
            <w:tcW w:type="pct" w:w="25%"/>
          </w:tcPr>
          <w:p>
            <w:r>
              <w:rPr>
                <w:rFonts w:ascii="Calibri" w:cs="Calibri" w:eastAsia="Calibri" w:hAnsi="Calibri"/>
                <w:color w:val="333333"/>
                <w:sz w:val="20"/>
                <w:szCs w:val="20"/>
              </w:rPr>
              <w:t xml:space="preserve">K15.00</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Examples:</w:t>
      </w:r>
    </w:p>
    <w:p>
      <w:pPr>
        <w:pStyle w:val="ListParagraph"/>
        <w:numPr>
          <w:ilvl w:val="0"/>
          <w:numId w:val="1"/>
        </w:numPr>
        <w:spacing w:after="60"/>
      </w:pPr>
      <w:r>
        <w:rPr>
          <w:rFonts w:ascii="Calibri" w:cs="Calibri" w:eastAsia="Calibri" w:hAnsi="Calibri"/>
          <w:color w:val="333333"/>
          <w:sz w:val="22"/>
          <w:szCs w:val="22"/>
        </w:rPr>
        <w:t xml:space="preserve">Customer withdraws K200 cash from agent: Fee = K10.00. Agent earns K7.00. Monde earns K3.00.</w:t>
      </w:r>
    </w:p>
    <w:p>
      <w:pPr>
        <w:pStyle w:val="ListParagraph"/>
        <w:numPr>
          <w:ilvl w:val="0"/>
          <w:numId w:val="1"/>
        </w:numPr>
        <w:spacing w:after="60"/>
      </w:pPr>
      <w:r>
        <w:rPr>
          <w:rFonts w:ascii="Calibri" w:cs="Calibri" w:eastAsia="Calibri" w:hAnsi="Calibri"/>
          <w:color w:val="333333"/>
          <w:sz w:val="22"/>
          <w:szCs w:val="22"/>
        </w:rPr>
        <w:t xml:space="preserve">Customer withdraws K3,000 cash from agent: Fee = K30.00. Agent earns K21.00. Monde earns K9.00.</w:t>
      </w:r>
    </w:p>
    <w:p>
      <w:pPr>
        <w:spacing w:after="120" w:before="0"/>
        <w:jc w:val="both"/>
      </w:pPr>
      <w:r>
        <w:rPr>
          <w:rFonts w:ascii="Calibri" w:cs="Calibri" w:eastAsia="Calibri" w:hAnsi="Calibri"/>
          <w:b w:val="false"/>
          <w:bCs w:val="false"/>
          <w:i w:val="false"/>
          <w:iCs w:val="false"/>
          <w:color w:val="333333"/>
          <w:sz w:val="22"/>
          <w:szCs w:val="22"/>
        </w:rPr>
        <w:t xml:space="preserve">Rationale: Tiered flat fees are simpler for customers to understand compared to percentage-based fees. The 70/30 split in favour of agents incentivises agent network growth and retention.</w:t>
      </w:r>
    </w:p>
    <w:p>
      <w:pPr>
        <w:spacing w:after="120" w:before="0"/>
        <w:jc w:val="both"/>
      </w:pPr>
      <w:r>
        <w:rPr>
          <w:rFonts w:ascii="Calibri" w:cs="Calibri" w:eastAsia="Calibri" w:hAnsi="Calibri"/>
          <w:b w:val="false"/>
          <w:bCs w:val="false"/>
          <w:i w:val="false"/>
          <w:iCs w:val="false"/>
          <w:color w:val="333333"/>
          <w:sz w:val="22"/>
          <w:szCs w:val="22"/>
        </w:rPr>
        <w:t xml:space="preserve">Volume Bonus: Agents processing more than 50 cash-out transactions per day qualify for a 75/25 revenue split, further incentivising high-volume agents.</w:t>
      </w:r>
    </w:p>
    <w:p>
      <w:pPr>
        <w:pStyle w:val="Heading2"/>
        <w:spacing w:after="120" w:before="300"/>
      </w:pPr>
      <w:r>
        <w:rPr>
          <w:rFonts w:ascii="Calibri" w:cs="Calibri" w:eastAsia="Calibri" w:hAnsi="Calibri"/>
          <w:b/>
          <w:bCs/>
          <w:color w:val="0A6E3C"/>
          <w:sz w:val="26"/>
          <w:szCs w:val="26"/>
        </w:rPr>
        <w:t xml:space="preserve">3.6 Agent-to-Agent Transfers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Transaction</w:t>
            </w:r>
          </w:p>
        </w:tc>
        <w:tc>
          <w:tcPr>
            <w:tcW w:type="pct" w:w="50%"/>
            <w:shd w:color="0A6E3C" w:val="solid"/>
          </w:tcPr>
          <w:p>
            <w:pPr>
              <w:jc w:val="center"/>
            </w:pPr>
            <w:r>
              <w:rPr>
                <w:rFonts w:ascii="Calibri" w:cs="Calibri" w:eastAsia="Calibri" w:hAnsi="Calibri"/>
                <w:b/>
                <w:bCs/>
                <w:color w:val="FFFFFF"/>
                <w:sz w:val="20"/>
                <w:szCs w:val="20"/>
              </w:rPr>
              <w:t xml:space="preserve">Fee</w:t>
            </w:r>
          </w:p>
        </w:tc>
      </w:tr>
      <w:tr>
        <w:tc>
          <w:tcPr>
            <w:tcW w:type="pct" w:w="50%"/>
          </w:tcPr>
          <w:p>
            <w:r>
              <w:rPr>
                <w:rFonts w:ascii="Calibri" w:cs="Calibri" w:eastAsia="Calibri" w:hAnsi="Calibri"/>
                <w:color w:val="333333"/>
                <w:sz w:val="20"/>
                <w:szCs w:val="20"/>
              </w:rPr>
              <w:t xml:space="preserve">Agent-to-Agent float transfer</w:t>
            </w:r>
          </w:p>
        </w:tc>
        <w:tc>
          <w:tcPr>
            <w:tcW w:type="pct" w:w="50%"/>
          </w:tcPr>
          <w:p>
            <w:r>
              <w:rPr>
                <w:rFonts w:ascii="Calibri" w:cs="Calibri" w:eastAsia="Calibri" w:hAnsi="Calibri"/>
                <w:color w:val="333333"/>
                <w:sz w:val="20"/>
                <w:szCs w:val="20"/>
              </w:rPr>
              <w:t xml:space="preserve">FREE (K0.00)</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Agent-to-agent transfers are free to facilitate liquidity management within the agent network. A daily cap of K50,000 per agent applies to prevent misuse.</w:t>
      </w:r>
    </w:p>
    <w:p>
      <w:r>
        <w:br w:type="page"/>
      </w:r>
    </w:p>
    <w:p>
      <w:pPr>
        <w:pStyle w:val="Heading1"/>
        <w:spacing w:after="120" w:before="300"/>
      </w:pPr>
      <w:r>
        <w:rPr>
          <w:rFonts w:ascii="Calibri" w:cs="Calibri" w:eastAsia="Calibri" w:hAnsi="Calibri"/>
          <w:b/>
          <w:bCs/>
          <w:color w:val="0A6E3C"/>
          <w:sz w:val="32"/>
          <w:szCs w:val="32"/>
        </w:rPr>
        <w:t xml:space="preserve">4. ACCOUNT LIMITS BY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Tier</w:t>
            </w:r>
          </w:p>
        </w:tc>
        <w:tc>
          <w:tcPr>
            <w:tcW w:type="pct" w:w="25%"/>
            <w:shd w:color="0A6E3C" w:val="solid"/>
          </w:tcPr>
          <w:p>
            <w:pPr>
              <w:jc w:val="center"/>
            </w:pPr>
            <w:r>
              <w:rPr>
                <w:rFonts w:ascii="Calibri" w:cs="Calibri" w:eastAsia="Calibri" w:hAnsi="Calibri"/>
                <w:b/>
                <w:bCs/>
                <w:color w:val="FFFFFF"/>
                <w:sz w:val="20"/>
                <w:szCs w:val="20"/>
              </w:rPr>
              <w:t xml:space="preserve">Maximum Wallet Balance</w:t>
            </w:r>
          </w:p>
        </w:tc>
        <w:tc>
          <w:tcPr>
            <w:tcW w:type="pct" w:w="25%"/>
            <w:shd w:color="0A6E3C" w:val="solid"/>
          </w:tcPr>
          <w:p>
            <w:pPr>
              <w:jc w:val="center"/>
            </w:pPr>
            <w:r>
              <w:rPr>
                <w:rFonts w:ascii="Calibri" w:cs="Calibri" w:eastAsia="Calibri" w:hAnsi="Calibri"/>
                <w:b/>
                <w:bCs/>
                <w:color w:val="FFFFFF"/>
                <w:sz w:val="20"/>
                <w:szCs w:val="20"/>
              </w:rPr>
              <w:t xml:space="preserve">Maximum Daily Transactions</w:t>
            </w:r>
          </w:p>
        </w:tc>
        <w:tc>
          <w:tcPr>
            <w:tcW w:type="pct" w:w="25%"/>
            <w:shd w:color="0A6E3C" w:val="solid"/>
          </w:tcPr>
          <w:p>
            <w:pPr>
              <w:jc w:val="center"/>
            </w:pPr>
            <w:r>
              <w:rPr>
                <w:rFonts w:ascii="Calibri" w:cs="Calibri" w:eastAsia="Calibri" w:hAnsi="Calibri"/>
                <w:b/>
                <w:bCs/>
                <w:color w:val="FFFFFF"/>
                <w:sz w:val="20"/>
                <w:szCs w:val="20"/>
              </w:rPr>
              <w:t xml:space="preserve">Upgrade Requirement</w:t>
            </w:r>
          </w:p>
        </w:tc>
      </w:tr>
      <w:tr>
        <w:tc>
          <w:tcPr>
            <w:tcW w:type="pct" w:w="25%"/>
          </w:tcPr>
          <w:p>
            <w:r>
              <w:rPr>
                <w:rFonts w:ascii="Calibri" w:cs="Calibri" w:eastAsia="Calibri" w:hAnsi="Calibri"/>
                <w:color w:val="333333"/>
                <w:sz w:val="20"/>
                <w:szCs w:val="20"/>
              </w:rPr>
              <w:t xml:space="preserve">Copper (Default)</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K20,000</w:t>
            </w:r>
          </w:p>
        </w:tc>
        <w:tc>
          <w:tcPr>
            <w:tcW w:type="pct" w:w="25%"/>
          </w:tcPr>
          <w:p>
            <w:r>
              <w:rPr>
                <w:rFonts w:ascii="Calibri" w:cs="Calibri" w:eastAsia="Calibri" w:hAnsi="Calibri"/>
                <w:color w:val="333333"/>
                <w:sz w:val="20"/>
                <w:szCs w:val="20"/>
              </w:rPr>
              <w:t xml:space="preserve">Automatic on registration</w:t>
            </w:r>
          </w:p>
        </w:tc>
      </w:tr>
      <w:tr>
        <w:tc>
          <w:tcPr>
            <w:tcW w:type="pct" w:w="25%"/>
          </w:tcPr>
          <w:p>
            <w:r>
              <w:rPr>
                <w:rFonts w:ascii="Calibri" w:cs="Calibri" w:eastAsia="Calibri" w:hAnsi="Calibri"/>
                <w:color w:val="333333"/>
                <w:sz w:val="20"/>
                <w:szCs w:val="20"/>
              </w:rPr>
              <w:t xml:space="preserve">Gold</w:t>
            </w:r>
          </w:p>
        </w:tc>
        <w:tc>
          <w:tcPr>
            <w:tcW w:type="pct" w:w="25%"/>
          </w:tcPr>
          <w:p>
            <w:r>
              <w:rPr>
                <w:rFonts w:ascii="Calibri" w:cs="Calibri" w:eastAsia="Calibri" w:hAnsi="Calibri"/>
                <w:color w:val="333333"/>
                <w:sz w:val="20"/>
                <w:szCs w:val="20"/>
              </w:rPr>
              <w:t xml:space="preserve">K250,000</w:t>
            </w:r>
          </w:p>
        </w:tc>
        <w:tc>
          <w:tcPr>
            <w:tcW w:type="pct" w:w="25%"/>
          </w:tcPr>
          <w:p>
            <w:r>
              <w:rPr>
                <w:rFonts w:ascii="Calibri" w:cs="Calibri" w:eastAsia="Calibri" w:hAnsi="Calibri"/>
                <w:color w:val="333333"/>
                <w:sz w:val="20"/>
                <w:szCs w:val="20"/>
              </w:rPr>
              <w:t xml:space="preserve">K50,000</w:t>
            </w:r>
          </w:p>
        </w:tc>
        <w:tc>
          <w:tcPr>
            <w:tcW w:type="pct" w:w="25%"/>
          </w:tcPr>
          <w:p>
            <w:r>
              <w:rPr>
                <w:rFonts w:ascii="Calibri" w:cs="Calibri" w:eastAsia="Calibri" w:hAnsi="Calibri"/>
                <w:color w:val="333333"/>
                <w:sz w:val="20"/>
                <w:szCs w:val="20"/>
              </w:rPr>
              <w:t xml:space="preserve">Admin approval + Standard CDD</w:t>
            </w:r>
          </w:p>
        </w:tc>
      </w:tr>
      <w:tr>
        <w:tc>
          <w:tcPr>
            <w:tcW w:type="pct" w:w="25%"/>
          </w:tcPr>
          <w:p>
            <w:r>
              <w:rPr>
                <w:rFonts w:ascii="Calibri" w:cs="Calibri" w:eastAsia="Calibri" w:hAnsi="Calibri"/>
                <w:color w:val="333333"/>
                <w:sz w:val="20"/>
                <w:szCs w:val="20"/>
              </w:rPr>
              <w:t xml:space="preserve">Platinum</w:t>
            </w:r>
          </w:p>
        </w:tc>
        <w:tc>
          <w:tcPr>
            <w:tcW w:type="pct" w:w="25%"/>
          </w:tcPr>
          <w:p>
            <w:r>
              <w:rPr>
                <w:rFonts w:ascii="Calibri" w:cs="Calibri" w:eastAsia="Calibri" w:hAnsi="Calibri"/>
                <w:color w:val="333333"/>
                <w:sz w:val="20"/>
                <w:szCs w:val="20"/>
              </w:rPr>
              <w:t xml:space="preserve">K500,000</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Admin approval + Enhanced CDD</w:t>
            </w:r>
          </w:p>
        </w:tc>
      </w:tr>
    </w:tbl>
    <w:p>
      <w:pPr>
        <w:spacing w:after="200"/>
      </w:pPr>
    </w:p>
    <w:p>
      <w:pPr>
        <w:pStyle w:val="Heading1"/>
        <w:spacing w:after="120" w:before="300"/>
      </w:pPr>
      <w:r>
        <w:rPr>
          <w:rFonts w:ascii="Calibri" w:cs="Calibri" w:eastAsia="Calibri" w:hAnsi="Calibri"/>
          <w:b/>
          <w:bCs/>
          <w:color w:val="0A6E3C"/>
          <w:sz w:val="32"/>
          <w:szCs w:val="32"/>
        </w:rPr>
        <w:t xml:space="preserve">5. FEE COMPARISON WITH MARKET</w:t>
      </w:r>
    </w:p>
    <w:p>
      <w:pPr>
        <w:spacing w:after="120" w:before="0"/>
        <w:jc w:val="both"/>
      </w:pPr>
      <w:r>
        <w:rPr>
          <w:rFonts w:ascii="Calibri" w:cs="Calibri" w:eastAsia="Calibri" w:hAnsi="Calibri"/>
          <w:b w:val="false"/>
          <w:bCs w:val="false"/>
          <w:i w:val="false"/>
          <w:iCs w:val="false"/>
          <w:color w:val="333333"/>
          <w:sz w:val="22"/>
          <w:szCs w:val="22"/>
        </w:rPr>
        <w:t xml:space="preserve">The following table compares Monde fees with prevailing mobile money fees in Zambia: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color="0A6E3C" w:val="solid"/>
          </w:tcPr>
          <w:p>
            <w:pPr>
              <w:jc w:val="center"/>
            </w:pPr>
            <w:r>
              <w:rPr>
                <w:rFonts w:ascii="Calibri" w:cs="Calibri" w:eastAsia="Calibri" w:hAnsi="Calibri"/>
                <w:b/>
                <w:bCs/>
                <w:color w:val="FFFFFF"/>
                <w:sz w:val="20"/>
                <w:szCs w:val="20"/>
              </w:rPr>
              <w:t xml:space="preserve">Service</w:t>
            </w:r>
          </w:p>
        </w:tc>
        <w:tc>
          <w:tcPr>
            <w:tcW w:type="pct" w:w="20%"/>
            <w:shd w:color="0A6E3C" w:val="solid"/>
          </w:tcPr>
          <w:p>
            <w:pPr>
              <w:jc w:val="center"/>
            </w:pPr>
            <w:r>
              <w:rPr>
                <w:rFonts w:ascii="Calibri" w:cs="Calibri" w:eastAsia="Calibri" w:hAnsi="Calibri"/>
                <w:b/>
                <w:bCs/>
                <w:color w:val="FFFFFF"/>
                <w:sz w:val="20"/>
                <w:szCs w:val="20"/>
              </w:rPr>
              <w:t xml:space="preserve">Monde</w:t>
            </w:r>
          </w:p>
        </w:tc>
        <w:tc>
          <w:tcPr>
            <w:tcW w:type="pct" w:w="20%"/>
            <w:shd w:color="0A6E3C" w:val="solid"/>
          </w:tcPr>
          <w:p>
            <w:pPr>
              <w:jc w:val="center"/>
            </w:pPr>
            <w:r>
              <w:rPr>
                <w:rFonts w:ascii="Calibri" w:cs="Calibri" w:eastAsia="Calibri" w:hAnsi="Calibri"/>
                <w:b/>
                <w:bCs/>
                <w:color w:val="FFFFFF"/>
                <w:sz w:val="20"/>
                <w:szCs w:val="20"/>
              </w:rPr>
              <w:t xml:space="preserve">Airtel Money</w:t>
            </w:r>
          </w:p>
        </w:tc>
        <w:tc>
          <w:tcPr>
            <w:tcW w:type="pct" w:w="20%"/>
            <w:shd w:color="0A6E3C" w:val="solid"/>
          </w:tcPr>
          <w:p>
            <w:pPr>
              <w:jc w:val="center"/>
            </w:pPr>
            <w:r>
              <w:rPr>
                <w:rFonts w:ascii="Calibri" w:cs="Calibri" w:eastAsia="Calibri" w:hAnsi="Calibri"/>
                <w:b/>
                <w:bCs/>
                <w:color w:val="FFFFFF"/>
                <w:sz w:val="20"/>
                <w:szCs w:val="20"/>
              </w:rPr>
              <w:t xml:space="preserve">MTN MoMo</w:t>
            </w:r>
          </w:p>
        </w:tc>
        <w:tc>
          <w:tcPr>
            <w:tcW w:type="pct" w:w="20%"/>
            <w:shd w:color="0A6E3C" w:val="solid"/>
          </w:tcPr>
          <w:p>
            <w:pPr>
              <w:jc w:val="center"/>
            </w:pPr>
            <w:r>
              <w:rPr>
                <w:rFonts w:ascii="Calibri" w:cs="Calibri" w:eastAsia="Calibri" w:hAnsi="Calibri"/>
                <w:b/>
                <w:bCs/>
                <w:color w:val="FFFFFF"/>
                <w:sz w:val="20"/>
                <w:szCs w:val="20"/>
              </w:rPr>
              <w:t xml:space="preserve">Zamtel Kwacha</w:t>
            </w:r>
          </w:p>
        </w:tc>
      </w:tr>
      <w:tr>
        <w:tc>
          <w:tcPr>
            <w:tcW w:type="pct" w:w="20%"/>
          </w:tcPr>
          <w:p>
            <w:r>
              <w:rPr>
                <w:rFonts w:ascii="Calibri" w:cs="Calibri" w:eastAsia="Calibri" w:hAnsi="Calibri"/>
                <w:color w:val="333333"/>
                <w:sz w:val="20"/>
                <w:szCs w:val="20"/>
              </w:rPr>
              <w:t xml:space="preserve">P2P (K500)</w:t>
            </w:r>
          </w:p>
        </w:tc>
        <w:tc>
          <w:tcPr>
            <w:tcW w:type="pct" w:w="20%"/>
          </w:tcPr>
          <w:p>
            <w:r>
              <w:rPr>
                <w:rFonts w:ascii="Calibri" w:cs="Calibri" w:eastAsia="Calibri" w:hAnsi="Calibri"/>
                <w:color w:val="333333"/>
                <w:sz w:val="20"/>
                <w:szCs w:val="20"/>
              </w:rPr>
              <w:t xml:space="preserve">FREE</w:t>
            </w:r>
          </w:p>
        </w:tc>
        <w:tc>
          <w:tcPr>
            <w:tcW w:type="pct" w:w="20%"/>
          </w:tcPr>
          <w:p>
            <w:r>
              <w:rPr>
                <w:rFonts w:ascii="Calibri" w:cs="Calibri" w:eastAsia="Calibri" w:hAnsi="Calibri"/>
                <w:color w:val="333333"/>
                <w:sz w:val="20"/>
                <w:szCs w:val="20"/>
              </w:rPr>
              <w:t xml:space="preserve">1.5% - 3%</w:t>
            </w:r>
          </w:p>
        </w:tc>
        <w:tc>
          <w:tcPr>
            <w:tcW w:type="pct" w:w="20%"/>
          </w:tcPr>
          <w:p>
            <w:r>
              <w:rPr>
                <w:rFonts w:ascii="Calibri" w:cs="Calibri" w:eastAsia="Calibri" w:hAnsi="Calibri"/>
                <w:color w:val="333333"/>
                <w:sz w:val="20"/>
                <w:szCs w:val="20"/>
              </w:rPr>
              <w:t xml:space="preserve">1.5% - 3%</w:t>
            </w:r>
          </w:p>
        </w:tc>
        <w:tc>
          <w:tcPr>
            <w:tcW w:type="pct" w:w="20%"/>
          </w:tcPr>
          <w:p>
            <w:r>
              <w:rPr>
                <w:rFonts w:ascii="Calibri" w:cs="Calibri" w:eastAsia="Calibri" w:hAnsi="Calibri"/>
                <w:color w:val="333333"/>
                <w:sz w:val="20"/>
                <w:szCs w:val="20"/>
              </w:rPr>
              <w:t xml:space="preserve">1.5% - 3%</w:t>
            </w:r>
          </w:p>
        </w:tc>
      </w:tr>
      <w:tr>
        <w:tc>
          <w:tcPr>
            <w:tcW w:type="pct" w:w="20%"/>
          </w:tcPr>
          <w:p>
            <w:r>
              <w:rPr>
                <w:rFonts w:ascii="Calibri" w:cs="Calibri" w:eastAsia="Calibri" w:hAnsi="Calibri"/>
                <w:color w:val="333333"/>
                <w:sz w:val="20"/>
                <w:szCs w:val="20"/>
              </w:rPr>
              <w:t xml:space="preserve">P2P (K1,000)</w:t>
            </w:r>
          </w:p>
        </w:tc>
        <w:tc>
          <w:tcPr>
            <w:tcW w:type="pct" w:w="20%"/>
          </w:tcPr>
          <w:p>
            <w:r>
              <w:rPr>
                <w:rFonts w:ascii="Calibri" w:cs="Calibri" w:eastAsia="Calibri" w:hAnsi="Calibri"/>
                <w:color w:val="333333"/>
                <w:sz w:val="20"/>
                <w:szCs w:val="20"/>
              </w:rPr>
              <w:t xml:space="preserve">K5.00 (0.5%)</w:t>
            </w:r>
          </w:p>
        </w:tc>
        <w:tc>
          <w:tcPr>
            <w:tcW w:type="pct" w:w="20%"/>
          </w:tcPr>
          <w:p>
            <w:r>
              <w:rPr>
                <w:rFonts w:ascii="Calibri" w:cs="Calibri" w:eastAsia="Calibri" w:hAnsi="Calibri"/>
                <w:color w:val="333333"/>
                <w:sz w:val="20"/>
                <w:szCs w:val="20"/>
              </w:rPr>
              <w:t xml:space="preserve">K15 - K30</w:t>
            </w:r>
          </w:p>
        </w:tc>
        <w:tc>
          <w:tcPr>
            <w:tcW w:type="pct" w:w="20%"/>
          </w:tcPr>
          <w:p>
            <w:r>
              <w:rPr>
                <w:rFonts w:ascii="Calibri" w:cs="Calibri" w:eastAsia="Calibri" w:hAnsi="Calibri"/>
                <w:color w:val="333333"/>
                <w:sz w:val="20"/>
                <w:szCs w:val="20"/>
              </w:rPr>
              <w:t xml:space="preserve">K15 - K30</w:t>
            </w:r>
          </w:p>
        </w:tc>
        <w:tc>
          <w:tcPr>
            <w:tcW w:type="pct" w:w="20%"/>
          </w:tcPr>
          <w:p>
            <w:r>
              <w:rPr>
                <w:rFonts w:ascii="Calibri" w:cs="Calibri" w:eastAsia="Calibri" w:hAnsi="Calibri"/>
                <w:color w:val="333333"/>
                <w:sz w:val="20"/>
                <w:szCs w:val="20"/>
              </w:rPr>
              <w:t xml:space="preserve">K15 - K30</w:t>
            </w:r>
          </w:p>
        </w:tc>
      </w:tr>
      <w:tr>
        <w:tc>
          <w:tcPr>
            <w:tcW w:type="pct" w:w="20%"/>
          </w:tcPr>
          <w:p>
            <w:r>
              <w:rPr>
                <w:rFonts w:ascii="Calibri" w:cs="Calibri" w:eastAsia="Calibri" w:hAnsi="Calibri"/>
                <w:color w:val="333333"/>
                <w:sz w:val="20"/>
                <w:szCs w:val="20"/>
              </w:rPr>
              <w:t xml:space="preserve">Top-Up (MoMo)</w:t>
            </w:r>
          </w:p>
        </w:tc>
        <w:tc>
          <w:tcPr>
            <w:tcW w:type="pct" w:w="20%"/>
          </w:tcPr>
          <w:p>
            <w:r>
              <w:rPr>
                <w:rFonts w:ascii="Calibri" w:cs="Calibri" w:eastAsia="Calibri" w:hAnsi="Calibri"/>
                <w:color w:val="333333"/>
                <w:sz w:val="20"/>
                <w:szCs w:val="20"/>
              </w:rPr>
              <w:t xml:space="preserve">3%</w:t>
            </w:r>
          </w:p>
        </w:tc>
        <w:tc>
          <w:tcPr>
            <w:tcW w:type="pct" w:w="20%"/>
          </w:tcPr>
          <w:p>
            <w:r>
              <w:rPr>
                <w:rFonts w:ascii="Calibri" w:cs="Calibri" w:eastAsia="Calibri" w:hAnsi="Calibri"/>
                <w:color w:val="333333"/>
                <w:sz w:val="20"/>
                <w:szCs w:val="20"/>
              </w:rPr>
              <w:t xml:space="preserve">N/A (native)</w:t>
            </w:r>
          </w:p>
        </w:tc>
        <w:tc>
          <w:tcPr>
            <w:tcW w:type="pct" w:w="20%"/>
          </w:tcPr>
          <w:p>
            <w:r>
              <w:rPr>
                <w:rFonts w:ascii="Calibri" w:cs="Calibri" w:eastAsia="Calibri" w:hAnsi="Calibri"/>
                <w:color w:val="333333"/>
                <w:sz w:val="20"/>
                <w:szCs w:val="20"/>
              </w:rPr>
              <w:t xml:space="preserve">N/A (native)</w:t>
            </w:r>
          </w:p>
        </w:tc>
        <w:tc>
          <w:tcPr>
            <w:tcW w:type="pct" w:w="20%"/>
          </w:tcPr>
          <w:p>
            <w:r>
              <w:rPr>
                <w:rFonts w:ascii="Calibri" w:cs="Calibri" w:eastAsia="Calibri" w:hAnsi="Calibri"/>
                <w:color w:val="333333"/>
                <w:sz w:val="20"/>
                <w:szCs w:val="20"/>
              </w:rPr>
              <w:t xml:space="preserve">N/A (native)</w:t>
            </w:r>
          </w:p>
        </w:tc>
      </w:tr>
      <w:tr>
        <w:tc>
          <w:tcPr>
            <w:tcW w:type="pct" w:w="20%"/>
          </w:tcPr>
          <w:p>
            <w:r>
              <w:rPr>
                <w:rFonts w:ascii="Calibri" w:cs="Calibri" w:eastAsia="Calibri" w:hAnsi="Calibri"/>
                <w:color w:val="333333"/>
                <w:sz w:val="20"/>
                <w:szCs w:val="20"/>
              </w:rPr>
              <w:t xml:space="preserve">Top-Up (Card)</w:t>
            </w:r>
          </w:p>
        </w:tc>
        <w:tc>
          <w:tcPr>
            <w:tcW w:type="pct" w:w="20%"/>
          </w:tcPr>
          <w:p>
            <w:r>
              <w:rPr>
                <w:rFonts w:ascii="Calibri" w:cs="Calibri" w:eastAsia="Calibri" w:hAnsi="Calibri"/>
                <w:color w:val="333333"/>
                <w:sz w:val="20"/>
                <w:szCs w:val="20"/>
              </w:rPr>
              <w:t xml:space="preserve">4%</w:t>
            </w:r>
          </w:p>
        </w:tc>
        <w:tc>
          <w:tcPr>
            <w:tcW w:type="pct" w:w="20%"/>
          </w:tcPr>
          <w:p>
            <w:r>
              <w:rPr>
                <w:rFonts w:ascii="Calibri" w:cs="Calibri" w:eastAsia="Calibri" w:hAnsi="Calibri"/>
                <w:color w:val="333333"/>
                <w:sz w:val="20"/>
                <w:szCs w:val="20"/>
              </w:rPr>
              <w:t xml:space="preserve">N/A</w:t>
            </w:r>
          </w:p>
        </w:tc>
        <w:tc>
          <w:tcPr>
            <w:tcW w:type="pct" w:w="20%"/>
          </w:tcPr>
          <w:p>
            <w:r>
              <w:rPr>
                <w:rFonts w:ascii="Calibri" w:cs="Calibri" w:eastAsia="Calibri" w:hAnsi="Calibri"/>
                <w:color w:val="333333"/>
                <w:sz w:val="20"/>
                <w:szCs w:val="20"/>
              </w:rPr>
              <w:t xml:space="preserve">N/A</w:t>
            </w:r>
          </w:p>
        </w:tc>
        <w:tc>
          <w:tcPr>
            <w:tcW w:type="pct" w:w="20%"/>
          </w:tcPr>
          <w:p>
            <w:r>
              <w:rPr>
                <w:rFonts w:ascii="Calibri" w:cs="Calibri" w:eastAsia="Calibri" w:hAnsi="Calibri"/>
                <w:color w:val="333333"/>
                <w:sz w:val="20"/>
                <w:szCs w:val="20"/>
              </w:rPr>
              <w:t xml:space="preserve">N/A</w:t>
            </w:r>
          </w:p>
        </w:tc>
      </w:tr>
      <w:tr>
        <w:tc>
          <w:tcPr>
            <w:tcW w:type="pct" w:w="20%"/>
          </w:tcPr>
          <w:p>
            <w:r>
              <w:rPr>
                <w:rFonts w:ascii="Calibri" w:cs="Calibri" w:eastAsia="Calibri" w:hAnsi="Calibri"/>
                <w:color w:val="333333"/>
                <w:sz w:val="20"/>
                <w:szCs w:val="20"/>
              </w:rPr>
              <w:t xml:space="preserve">Withdrawal</w:t>
            </w:r>
          </w:p>
        </w:tc>
        <w:tc>
          <w:tcPr>
            <w:tcW w:type="pct" w:w="20%"/>
          </w:tcPr>
          <w:p>
            <w:r>
              <w:rPr>
                <w:rFonts w:ascii="Calibri" w:cs="Calibri" w:eastAsia="Calibri" w:hAnsi="Calibri"/>
                <w:color w:val="333333"/>
                <w:sz w:val="20"/>
                <w:szCs w:val="20"/>
              </w:rPr>
              <w:t xml:space="preserve">3%</w:t>
            </w:r>
          </w:p>
        </w:tc>
        <w:tc>
          <w:tcPr>
            <w:tcW w:type="pct" w:w="20%"/>
          </w:tcPr>
          <w:p>
            <w:r>
              <w:rPr>
                <w:rFonts w:ascii="Calibri" w:cs="Calibri" w:eastAsia="Calibri" w:hAnsi="Calibri"/>
                <w:color w:val="333333"/>
                <w:sz w:val="20"/>
                <w:szCs w:val="20"/>
              </w:rPr>
              <w:t xml:space="preserve">2% - 5%</w:t>
            </w:r>
          </w:p>
        </w:tc>
        <w:tc>
          <w:tcPr>
            <w:tcW w:type="pct" w:w="20%"/>
          </w:tcPr>
          <w:p>
            <w:r>
              <w:rPr>
                <w:rFonts w:ascii="Calibri" w:cs="Calibri" w:eastAsia="Calibri" w:hAnsi="Calibri"/>
                <w:color w:val="333333"/>
                <w:sz w:val="20"/>
                <w:szCs w:val="20"/>
              </w:rPr>
              <w:t xml:space="preserve">2% - 5%</w:t>
            </w:r>
          </w:p>
        </w:tc>
        <w:tc>
          <w:tcPr>
            <w:tcW w:type="pct" w:w="20%"/>
          </w:tcPr>
          <w:p>
            <w:r>
              <w:rPr>
                <w:rFonts w:ascii="Calibri" w:cs="Calibri" w:eastAsia="Calibri" w:hAnsi="Calibri"/>
                <w:color w:val="333333"/>
                <w:sz w:val="20"/>
                <w:szCs w:val="20"/>
              </w:rPr>
              <w:t xml:space="preserve">2% - 5%</w:t>
            </w:r>
          </w:p>
        </w:tc>
      </w:tr>
      <w:tr>
        <w:tc>
          <w:tcPr>
            <w:tcW w:type="pct" w:w="20%"/>
          </w:tcPr>
          <w:p>
            <w:r>
              <w:rPr>
                <w:rFonts w:ascii="Calibri" w:cs="Calibri" w:eastAsia="Calibri" w:hAnsi="Calibri"/>
                <w:color w:val="333333"/>
                <w:sz w:val="20"/>
                <w:szCs w:val="20"/>
              </w:rPr>
              <w:t xml:space="preserve">Cash-In via Agent</w:t>
            </w:r>
          </w:p>
        </w:tc>
        <w:tc>
          <w:tcPr>
            <w:tcW w:type="pct" w:w="20%"/>
          </w:tcPr>
          <w:p>
            <w:r>
              <w:rPr>
                <w:rFonts w:ascii="Calibri" w:cs="Calibri" w:eastAsia="Calibri" w:hAnsi="Calibri"/>
                <w:color w:val="333333"/>
                <w:sz w:val="20"/>
                <w:szCs w:val="20"/>
              </w:rPr>
              <w:t xml:space="preserve">FREE</w:t>
            </w:r>
          </w:p>
        </w:tc>
        <w:tc>
          <w:tcPr>
            <w:tcW w:type="pct" w:w="20%"/>
          </w:tcPr>
          <w:p>
            <w:r>
              <w:rPr>
                <w:rFonts w:ascii="Calibri" w:cs="Calibri" w:eastAsia="Calibri" w:hAnsi="Calibri"/>
                <w:color w:val="333333"/>
                <w:sz w:val="20"/>
                <w:szCs w:val="20"/>
              </w:rPr>
              <w:t xml:space="preserve">FREE</w:t>
            </w:r>
          </w:p>
        </w:tc>
        <w:tc>
          <w:tcPr>
            <w:tcW w:type="pct" w:w="20%"/>
          </w:tcPr>
          <w:p>
            <w:r>
              <w:rPr>
                <w:rFonts w:ascii="Calibri" w:cs="Calibri" w:eastAsia="Calibri" w:hAnsi="Calibri"/>
                <w:color w:val="333333"/>
                <w:sz w:val="20"/>
                <w:szCs w:val="20"/>
              </w:rPr>
              <w:t xml:space="preserve">FREE</w:t>
            </w:r>
          </w:p>
        </w:tc>
        <w:tc>
          <w:tcPr>
            <w:tcW w:type="pct" w:w="20%"/>
          </w:tcPr>
          <w:p>
            <w:r>
              <w:rPr>
                <w:rFonts w:ascii="Calibri" w:cs="Calibri" w:eastAsia="Calibri" w:hAnsi="Calibri"/>
                <w:color w:val="333333"/>
                <w:sz w:val="20"/>
                <w:szCs w:val="20"/>
              </w:rPr>
              <w:t xml:space="preserve">FREE</w:t>
            </w:r>
          </w:p>
        </w:tc>
      </w:tr>
      <w:tr>
        <w:tc>
          <w:tcPr>
            <w:tcW w:type="pct" w:w="20%"/>
          </w:tcPr>
          <w:p>
            <w:r>
              <w:rPr>
                <w:rFonts w:ascii="Calibri" w:cs="Calibri" w:eastAsia="Calibri" w:hAnsi="Calibri"/>
                <w:color w:val="333333"/>
                <w:sz w:val="20"/>
                <w:szCs w:val="20"/>
              </w:rPr>
              <w:t xml:space="preserve">Cash-Out via Agent</w:t>
            </w:r>
          </w:p>
        </w:tc>
        <w:tc>
          <w:tcPr>
            <w:tcW w:type="pct" w:w="20%"/>
          </w:tcPr>
          <w:p>
            <w:r>
              <w:rPr>
                <w:rFonts w:ascii="Calibri" w:cs="Calibri" w:eastAsia="Calibri" w:hAnsi="Calibri"/>
                <w:color w:val="333333"/>
                <w:sz w:val="20"/>
                <w:szCs w:val="20"/>
              </w:rPr>
              <w:t xml:space="preserve">K2.50 - K50</w:t>
            </w:r>
          </w:p>
        </w:tc>
        <w:tc>
          <w:tcPr>
            <w:tcW w:type="pct" w:w="20%"/>
          </w:tcPr>
          <w:p>
            <w:r>
              <w:rPr>
                <w:rFonts w:ascii="Calibri" w:cs="Calibri" w:eastAsia="Calibri" w:hAnsi="Calibri"/>
                <w:color w:val="333333"/>
                <w:sz w:val="20"/>
                <w:szCs w:val="20"/>
              </w:rPr>
              <w:t xml:space="preserve">K3 - K75</w:t>
            </w:r>
          </w:p>
        </w:tc>
        <w:tc>
          <w:tcPr>
            <w:tcW w:type="pct" w:w="20%"/>
          </w:tcPr>
          <w:p>
            <w:r>
              <w:rPr>
                <w:rFonts w:ascii="Calibri" w:cs="Calibri" w:eastAsia="Calibri" w:hAnsi="Calibri"/>
                <w:color w:val="333333"/>
                <w:sz w:val="20"/>
                <w:szCs w:val="20"/>
              </w:rPr>
              <w:t xml:space="preserve">K3 - K75</w:t>
            </w:r>
          </w:p>
        </w:tc>
        <w:tc>
          <w:tcPr>
            <w:tcW w:type="pct" w:w="20%"/>
          </w:tcPr>
          <w:p>
            <w:r>
              <w:rPr>
                <w:rFonts w:ascii="Calibri" w:cs="Calibri" w:eastAsia="Calibri" w:hAnsi="Calibri"/>
                <w:color w:val="333333"/>
                <w:sz w:val="20"/>
                <w:szCs w:val="20"/>
              </w:rPr>
              <w:t xml:space="preserve">K3 - K75</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Note: Competitor fees are approximate and may vary. Monde offers a significant cost advantage, particularly for P2P payments where transactions under K500 are completely free.</w:t>
      </w:r>
    </w:p>
    <w:p>
      <w:pPr>
        <w:pStyle w:val="Heading1"/>
        <w:spacing w:after="120" w:before="300"/>
      </w:pPr>
      <w:r>
        <w:rPr>
          <w:rFonts w:ascii="Calibri" w:cs="Calibri" w:eastAsia="Calibri" w:hAnsi="Calibri"/>
          <w:b/>
          <w:bCs/>
          <w:color w:val="0A6E3C"/>
          <w:sz w:val="32"/>
          <w:szCs w:val="32"/>
        </w:rPr>
        <w:t xml:space="preserve">6. FEE DISCLOSURE</w:t>
      </w:r>
    </w:p>
    <w:p>
      <w:pPr>
        <w:spacing w:after="120" w:before="0"/>
        <w:jc w:val="both"/>
      </w:pPr>
      <w:r>
        <w:rPr>
          <w:rFonts w:ascii="Calibri" w:cs="Calibri" w:eastAsia="Calibri" w:hAnsi="Calibri"/>
          <w:b w:val="false"/>
          <w:bCs w:val="false"/>
          <w:i w:val="false"/>
          <w:iCs w:val="false"/>
          <w:color w:val="333333"/>
          <w:sz w:val="22"/>
          <w:szCs w:val="22"/>
        </w:rPr>
        <w:t xml:space="preserve">Monde ensures full fee transparency through the following mechanisms:</w:t>
      </w:r>
    </w:p>
    <w:p>
      <w:pPr>
        <w:pStyle w:val="ListParagraph"/>
        <w:numPr>
          <w:ilvl w:val="0"/>
          <w:numId w:val="1"/>
        </w:numPr>
        <w:spacing w:after="60"/>
      </w:pPr>
      <w:r>
        <w:rPr>
          <w:rFonts w:ascii="Calibri" w:cs="Calibri" w:eastAsia="Calibri" w:hAnsi="Calibri"/>
          <w:color w:val="333333"/>
          <w:sz w:val="22"/>
          <w:szCs w:val="22"/>
        </w:rPr>
        <w:t xml:space="preserve">Pre-Transaction Display: Before confirming any transaction, the user is shown the exact fee amount, the total amount to be deducted, and the net amount to be received/credited.</w:t>
      </w:r>
    </w:p>
    <w:p>
      <w:pPr>
        <w:pStyle w:val="ListParagraph"/>
        <w:numPr>
          <w:ilvl w:val="0"/>
          <w:numId w:val="1"/>
        </w:numPr>
        <w:spacing w:after="60"/>
      </w:pPr>
      <w:r>
        <w:rPr>
          <w:rFonts w:ascii="Calibri" w:cs="Calibri" w:eastAsia="Calibri" w:hAnsi="Calibri"/>
          <w:color w:val="333333"/>
          <w:sz w:val="22"/>
          <w:szCs w:val="22"/>
        </w:rPr>
        <w:t xml:space="preserve">Transaction History: All fees are recorded and visible in the user transaction history.</w:t>
      </w:r>
    </w:p>
    <w:p>
      <w:pPr>
        <w:pStyle w:val="ListParagraph"/>
        <w:numPr>
          <w:ilvl w:val="0"/>
          <w:numId w:val="1"/>
        </w:numPr>
        <w:spacing w:after="60"/>
      </w:pPr>
      <w:r>
        <w:rPr>
          <w:rFonts w:ascii="Calibri" w:cs="Calibri" w:eastAsia="Calibri" w:hAnsi="Calibri"/>
          <w:color w:val="333333"/>
          <w:sz w:val="22"/>
          <w:szCs w:val="22"/>
        </w:rPr>
        <w:t xml:space="preserve">Fee Schedule Publication: The complete fee schedule is published on the Monde website and within the app settings.</w:t>
      </w:r>
    </w:p>
    <w:p>
      <w:pPr>
        <w:pStyle w:val="ListParagraph"/>
        <w:numPr>
          <w:ilvl w:val="0"/>
          <w:numId w:val="1"/>
        </w:numPr>
        <w:spacing w:after="60"/>
      </w:pPr>
      <w:r>
        <w:rPr>
          <w:rFonts w:ascii="Calibri" w:cs="Calibri" w:eastAsia="Calibri" w:hAnsi="Calibri"/>
          <w:color w:val="333333"/>
          <w:sz w:val="22"/>
          <w:szCs w:val="22"/>
        </w:rPr>
        <w:t xml:space="preserve">Agent Fee Display: Agents are required to display the cash-out fee schedule at their service points.</w:t>
      </w:r>
    </w:p>
    <w:p>
      <w:pPr>
        <w:pStyle w:val="Heading1"/>
        <w:spacing w:after="120" w:before="300"/>
      </w:pPr>
      <w:r>
        <w:rPr>
          <w:rFonts w:ascii="Calibri" w:cs="Calibri" w:eastAsia="Calibri" w:hAnsi="Calibri"/>
          <w:b/>
          <w:bCs/>
          <w:color w:val="0A6E3C"/>
          <w:sz w:val="32"/>
          <w:szCs w:val="32"/>
        </w:rPr>
        <w:t xml:space="preserve">7. FEE CHANGES</w:t>
      </w:r>
    </w:p>
    <w:p>
      <w:pPr>
        <w:spacing w:after="120" w:before="0"/>
        <w:jc w:val="both"/>
      </w:pPr>
      <w:r>
        <w:rPr>
          <w:rFonts w:ascii="Calibri" w:cs="Calibri" w:eastAsia="Calibri" w:hAnsi="Calibri"/>
          <w:b w:val="false"/>
          <w:bCs w:val="false"/>
          <w:i w:val="false"/>
          <w:iCs w:val="false"/>
          <w:color w:val="333333"/>
          <w:sz w:val="22"/>
          <w:szCs w:val="22"/>
        </w:rPr>
        <w:t xml:space="preserve">Any changes to the fee structure will be:</w:t>
      </w:r>
    </w:p>
    <w:p>
      <w:pPr>
        <w:pStyle w:val="ListParagraph"/>
        <w:numPr>
          <w:ilvl w:val="0"/>
          <w:numId w:val="1"/>
        </w:numPr>
        <w:spacing w:after="60"/>
      </w:pPr>
      <w:r>
        <w:rPr>
          <w:rFonts w:ascii="Calibri" w:cs="Calibri" w:eastAsia="Calibri" w:hAnsi="Calibri"/>
          <w:color w:val="333333"/>
          <w:sz w:val="22"/>
          <w:szCs w:val="22"/>
        </w:rPr>
        <w:t xml:space="preserve">Communicated to customers at least 30 days in advance via in-app notification and SMS</w:t>
      </w:r>
    </w:p>
    <w:p>
      <w:pPr>
        <w:pStyle w:val="ListParagraph"/>
        <w:numPr>
          <w:ilvl w:val="0"/>
          <w:numId w:val="1"/>
        </w:numPr>
        <w:spacing w:after="60"/>
      </w:pPr>
      <w:r>
        <w:rPr>
          <w:rFonts w:ascii="Calibri" w:cs="Calibri" w:eastAsia="Calibri" w:hAnsi="Calibri"/>
          <w:color w:val="333333"/>
          <w:sz w:val="22"/>
          <w:szCs w:val="22"/>
        </w:rPr>
        <w:t xml:space="preserve">Submitted to the Bank of Zambia for approval before implementation</w:t>
      </w:r>
    </w:p>
    <w:p>
      <w:pPr>
        <w:pStyle w:val="ListParagraph"/>
        <w:numPr>
          <w:ilvl w:val="0"/>
          <w:numId w:val="1"/>
        </w:numPr>
        <w:spacing w:after="60"/>
      </w:pPr>
      <w:r>
        <w:rPr>
          <w:rFonts w:ascii="Calibri" w:cs="Calibri" w:eastAsia="Calibri" w:hAnsi="Calibri"/>
          <w:color w:val="333333"/>
          <w:sz w:val="22"/>
          <w:szCs w:val="22"/>
        </w:rPr>
        <w:t xml:space="preserve">Updated in all customer-facing materials and documentation</w:t>
      </w:r>
    </w:p>
    <w:p>
      <w:pPr>
        <w:pStyle w:val="ListParagraph"/>
        <w:numPr>
          <w:ilvl w:val="0"/>
          <w:numId w:val="1"/>
        </w:numPr>
        <w:spacing w:after="60"/>
      </w:pPr>
      <w:r>
        <w:rPr>
          <w:rFonts w:ascii="Calibri" w:cs="Calibri" w:eastAsia="Calibri" w:hAnsi="Calibri"/>
          <w:color w:val="333333"/>
          <w:sz w:val="22"/>
          <w:szCs w:val="22"/>
        </w:rPr>
        <w:t xml:space="preserve">Effective only after the notification period has elapsed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2026-03-20T08:47:40.610Z</dcterms:created>
  <dcterms:modified xsi:type="dcterms:W3CDTF">2026-03-20T08:47:40.612Z</dcterms:modified>
</cp:coreProperties>
</file>

<file path=docProps/custom.xml><?xml version="1.0" encoding="utf-8"?>
<Properties xmlns="http://schemas.openxmlformats.org/officeDocument/2006/custom-properties" xmlns:vt="http://schemas.openxmlformats.org/officeDocument/2006/docPropsVTypes"/>
</file>