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before="0"/>
        <w:jc w:val="center"/>
      </w:pPr>
      <w:r>
        <w:rPr>
          <w:rFonts w:ascii="Calibri" w:cs="Calibri" w:eastAsia="Calibri" w:hAnsi="Calibri"/>
          <w:b/>
          <w:bCs/>
          <w:color w:val="0A6E3C"/>
          <w:sz w:val="72"/>
          <w:szCs w:val="72"/>
        </w:rPr>
        <w:t xml:space="preserve">MONDE</w:t>
      </w:r>
    </w:p>
    <w:p>
      <w:pPr>
        <w:spacing w:after="200" w:before="0"/>
        <w:jc w:val="center"/>
      </w:pPr>
      <w:r>
        <w:rPr>
          <w:rFonts w:ascii="Calibri" w:cs="Calibri" w:eastAsia="Calibri" w:hAnsi="Calibri"/>
          <w:b/>
          <w:bCs/>
          <w:color w:val="666666"/>
          <w:sz w:val="36"/>
          <w:szCs w:val="36"/>
        </w:rPr>
        <w:t xml:space="preserve">Digital Payment System</w:t>
      </w:r>
    </w:p>
    <w:p>
      <w:pPr>
        <w:spacing w:after="400"/>
      </w:pPr>
    </w:p>
    <w:p>
      <w:pPr>
        <w:spacing w:after="200" w:before="0"/>
        <w:jc w:val="center"/>
      </w:pPr>
      <w:r>
        <w:rPr>
          <w:rFonts w:ascii="Calibri" w:cs="Calibri" w:eastAsia="Calibri" w:hAnsi="Calibri"/>
          <w:b/>
          <w:bCs/>
          <w:color w:val="0A6E3C"/>
          <w:sz w:val="40"/>
          <w:szCs w:val="40"/>
        </w:rPr>
        <w:t xml:space="preserve">Anti-Money Laundering &amp;
Countering Financing of Terrorism
(AML/CFT) Policy</w:t>
      </w:r>
    </w:p>
    <w:p>
      <w:pPr>
        <w:spacing w:after="200" w:before="0"/>
        <w:jc w:val="center"/>
      </w:pPr>
      <w:r>
        <w:rPr>
          <w:rFonts w:ascii="Calibri" w:cs="Calibri" w:eastAsia="Calibri" w:hAnsi="Calibri"/>
          <w:b/>
          <w:bCs/>
          <w:color w:val="666666"/>
          <w:sz w:val="28"/>
          <w:szCs w:val="28"/>
        </w:rPr>
        <w:t xml:space="preserve">Know Your Customer (KYC)
Procedures and Compliance Framework</w:t>
      </w:r>
    </w:p>
    <w:p>
      <w:pPr>
        <w:spacing w:after="600"/>
      </w:pPr>
    </w:p>
    <w:p>
      <w:pPr>
        <w:spacing w:after="120" w:before="0"/>
        <w:jc w:val="center"/>
      </w:pPr>
      <w:r>
        <w:rPr>
          <w:rFonts w:ascii="Calibri" w:cs="Calibri" w:eastAsia="Calibri" w:hAnsi="Calibri"/>
          <w:b w:val="false"/>
          <w:bCs w:val="false"/>
          <w:i w:val="false"/>
          <w:iCs w:val="false"/>
          <w:color w:val="666666"/>
          <w:sz w:val="22"/>
          <w:szCs w:val="22"/>
        </w:rPr>
        <w:t xml:space="preserve">Version: 1.0</w:t>
      </w:r>
    </w:p>
    <w:p>
      <w:pPr>
        <w:spacing w:after="120" w:before="0"/>
        <w:jc w:val="center"/>
      </w:pPr>
      <w:r>
        <w:rPr>
          <w:rFonts w:ascii="Calibri" w:cs="Calibri" w:eastAsia="Calibri" w:hAnsi="Calibri"/>
          <w:b w:val="false"/>
          <w:bCs w:val="false"/>
          <w:i w:val="false"/>
          <w:iCs w:val="false"/>
          <w:color w:val="666666"/>
          <w:sz w:val="22"/>
          <w:szCs w:val="22"/>
        </w:rPr>
        <w:t xml:space="preserve">Date: 20 March 2026</w:t>
      </w:r>
    </w:p>
    <w:p>
      <w:pPr>
        <w:spacing w:after="120" w:before="0"/>
        <w:jc w:val="center"/>
      </w:pPr>
      <w:r>
        <w:rPr>
          <w:rFonts w:ascii="Calibri" w:cs="Calibri" w:eastAsia="Calibri" w:hAnsi="Calibri"/>
          <w:b/>
          <w:bCs/>
          <w:i w:val="false"/>
          <w:iCs w:val="false"/>
          <w:color w:val="CC0000"/>
          <w:sz w:val="22"/>
          <w:szCs w:val="22"/>
        </w:rPr>
        <w:t xml:space="preserve">Classification: CONFIDENTIAL</w:t>
      </w:r>
    </w:p>
    <w:p>
      <w:pPr>
        <w:spacing w:after="400"/>
      </w:pPr>
    </w:p>
    <w:p>
      <w:pPr>
        <w:spacing w:after="120" w:before="0"/>
        <w:jc w:val="center"/>
      </w:pPr>
      <w:r>
        <w:rPr>
          <w:rFonts w:ascii="Calibri" w:cs="Calibri" w:eastAsia="Calibri" w:hAnsi="Calibri"/>
          <w:b w:val="false"/>
          <w:bCs w:val="false"/>
          <w:i/>
          <w:iCs/>
          <w:color w:val="666666"/>
          <w:sz w:val="22"/>
          <w:szCs w:val="22"/>
        </w:rPr>
        <w:t xml:space="preserve">Prepared for submission to the Bank of Zambia</w:t>
      </w:r>
    </w:p>
    <w:p>
      <w:pPr>
        <w:spacing w:after="120" w:before="0"/>
        <w:jc w:val="center"/>
      </w:pPr>
      <w:r>
        <w:rPr>
          <w:rFonts w:ascii="Calibri" w:cs="Calibri" w:eastAsia="Calibri" w:hAnsi="Calibri"/>
          <w:b w:val="false"/>
          <w:bCs w:val="false"/>
          <w:i/>
          <w:iCs/>
          <w:color w:val="666666"/>
          <w:sz w:val="22"/>
          <w:szCs w:val="22"/>
        </w:rPr>
        <w:t xml:space="preserve">Payment Systems Department</w:t>
      </w:r>
    </w:p>
    <w:p>
      <w:r>
        <w:br w:type="page"/>
      </w:r>
    </w:p>
    <w:p>
      <w:pPr>
        <w:pStyle w:val="Heading1"/>
        <w:spacing w:after="120" w:before="300"/>
      </w:pPr>
      <w:r>
        <w:rPr>
          <w:rFonts w:ascii="Calibri" w:cs="Calibri" w:eastAsia="Calibri" w:hAnsi="Calibri"/>
          <w:b/>
          <w:bCs/>
          <w:color w:val="0A6E3C"/>
          <w:sz w:val="32"/>
          <w:szCs w:val="32"/>
        </w:rPr>
        <w:t xml:space="preserve">CONFIDENTIALITY NOTICE</w:t>
      </w:r>
    </w:p>
    <w:p>
      <w:pPr>
        <w:spacing w:after="120" w:before="0"/>
        <w:jc w:val="both"/>
      </w:pPr>
      <w:r>
        <w:rPr>
          <w:rFonts w:ascii="Calibri" w:cs="Calibri" w:eastAsia="Calibri" w:hAnsi="Calibri"/>
          <w:b w:val="false"/>
          <w:bCs w:val="false"/>
          <w:i w:val="false"/>
          <w:iCs w:val="false"/>
          <w:color w:val="333333"/>
          <w:sz w:val="22"/>
          <w:szCs w:val="22"/>
        </w:rPr>
        <w:t xml:space="preserve">This document contains proprietary and confidential information belonging to Monde. The information contained herein is intended solely for the use of the Bank of Zambia in connection with the application for designation as a payment system under the National Payment Systems Act, 2007. Any reproduction, distribution, or disclosure of this document or its contents to any unauthorized party is strictly prohibited.</w:t>
      </w:r>
    </w:p>
    <w:p>
      <w:pPr>
        <w:spacing w:after="200"/>
      </w:pPr>
    </w:p>
    <w:p>
      <w:pPr>
        <w:pStyle w:val="Heading1"/>
        <w:spacing w:after="120" w:before="300"/>
      </w:pPr>
      <w:r>
        <w:rPr>
          <w:rFonts w:ascii="Calibri" w:cs="Calibri" w:eastAsia="Calibri" w:hAnsi="Calibri"/>
          <w:b/>
          <w:bCs/>
          <w:color w:val="0A6E3C"/>
          <w:sz w:val="32"/>
          <w:szCs w:val="32"/>
        </w:rPr>
        <w:t xml:space="preserve">1. POLICY STATEMENT</w:t>
      </w:r>
    </w:p>
    <w:p>
      <w:pPr>
        <w:spacing w:after="120" w:before="0"/>
        <w:jc w:val="both"/>
      </w:pPr>
      <w:r>
        <w:rPr>
          <w:rFonts w:ascii="Calibri" w:cs="Calibri" w:eastAsia="Calibri" w:hAnsi="Calibri"/>
          <w:b w:val="false"/>
          <w:bCs w:val="false"/>
          <w:i w:val="false"/>
          <w:iCs w:val="false"/>
          <w:color w:val="333333"/>
          <w:sz w:val="22"/>
          <w:szCs w:val="22"/>
        </w:rPr>
        <w:t xml:space="preserve">Monde Limited ("Monde") is committed to the highest standards of Anti-Money Laundering (AML) and Countering the Financing of Terrorism (CFT) compliance. This policy establishes the framework, procedures, and controls that Monde implements to prevent, detect, and report money laundering, terrorist financing, and proliferation financing activities.</w:t>
      </w:r>
    </w:p>
    <w:p>
      <w:pPr>
        <w:spacing w:after="120" w:before="0"/>
        <w:jc w:val="both"/>
      </w:pPr>
      <w:r>
        <w:rPr>
          <w:rFonts w:ascii="Calibri" w:cs="Calibri" w:eastAsia="Calibri" w:hAnsi="Calibri"/>
          <w:b w:val="false"/>
          <w:bCs w:val="false"/>
          <w:i w:val="false"/>
          <w:iCs w:val="false"/>
          <w:color w:val="333333"/>
          <w:sz w:val="22"/>
          <w:szCs w:val="22"/>
        </w:rPr>
        <w:t xml:space="preserve">This policy is developed in compliance with:</w:t>
      </w:r>
    </w:p>
    <w:p>
      <w:pPr>
        <w:pStyle w:val="ListParagraph"/>
        <w:numPr>
          <w:ilvl w:val="0"/>
          <w:numId w:val="1"/>
        </w:numPr>
        <w:spacing w:after="60"/>
      </w:pPr>
      <w:r>
        <w:rPr>
          <w:rFonts w:ascii="Calibri" w:cs="Calibri" w:eastAsia="Calibri" w:hAnsi="Calibri"/>
          <w:color w:val="333333"/>
          <w:sz w:val="22"/>
          <w:szCs w:val="22"/>
        </w:rPr>
        <w:t xml:space="preserve">The National Payment Systems Act, 2007 (NPSA)</w:t>
      </w:r>
    </w:p>
    <w:p>
      <w:pPr>
        <w:pStyle w:val="ListParagraph"/>
        <w:numPr>
          <w:ilvl w:val="0"/>
          <w:numId w:val="1"/>
        </w:numPr>
        <w:spacing w:after="60"/>
      </w:pPr>
      <w:r>
        <w:rPr>
          <w:rFonts w:ascii="Calibri" w:cs="Calibri" w:eastAsia="Calibri" w:hAnsi="Calibri"/>
          <w:color w:val="333333"/>
          <w:sz w:val="22"/>
          <w:szCs w:val="22"/>
        </w:rPr>
        <w:t xml:space="preserve">The Financial Intelligence Centre Act, 2010 (as amended)</w:t>
      </w:r>
    </w:p>
    <w:p>
      <w:pPr>
        <w:pStyle w:val="ListParagraph"/>
        <w:numPr>
          <w:ilvl w:val="0"/>
          <w:numId w:val="1"/>
        </w:numPr>
        <w:spacing w:after="60"/>
      </w:pPr>
      <w:r>
        <w:rPr>
          <w:rFonts w:ascii="Calibri" w:cs="Calibri" w:eastAsia="Calibri" w:hAnsi="Calibri"/>
          <w:color w:val="333333"/>
          <w:sz w:val="22"/>
          <w:szCs w:val="22"/>
        </w:rPr>
        <w:t xml:space="preserve">The Bank of Zambia Anti-Money Laundering Directives</w:t>
      </w:r>
    </w:p>
    <w:p>
      <w:pPr>
        <w:pStyle w:val="ListParagraph"/>
        <w:numPr>
          <w:ilvl w:val="0"/>
          <w:numId w:val="1"/>
        </w:numPr>
        <w:spacing w:after="60"/>
      </w:pPr>
      <w:r>
        <w:rPr>
          <w:rFonts w:ascii="Calibri" w:cs="Calibri" w:eastAsia="Calibri" w:hAnsi="Calibri"/>
          <w:color w:val="333333"/>
          <w:sz w:val="22"/>
          <w:szCs w:val="22"/>
        </w:rPr>
        <w:t xml:space="preserve">The Prohibition and Prevention of Money Laundering Act, 2001 (as amended)</w:t>
      </w:r>
    </w:p>
    <w:p>
      <w:pPr>
        <w:pStyle w:val="ListParagraph"/>
        <w:numPr>
          <w:ilvl w:val="0"/>
          <w:numId w:val="1"/>
        </w:numPr>
        <w:spacing w:after="60"/>
      </w:pPr>
      <w:r>
        <w:rPr>
          <w:rFonts w:ascii="Calibri" w:cs="Calibri" w:eastAsia="Calibri" w:hAnsi="Calibri"/>
          <w:color w:val="333333"/>
          <w:sz w:val="22"/>
          <w:szCs w:val="22"/>
        </w:rPr>
        <w:t xml:space="preserve">The Anti-Terrorism and Non-Proliferation Act, 2018</w:t>
      </w:r>
    </w:p>
    <w:p>
      <w:pPr>
        <w:pStyle w:val="ListParagraph"/>
        <w:numPr>
          <w:ilvl w:val="0"/>
          <w:numId w:val="1"/>
        </w:numPr>
        <w:spacing w:after="60"/>
      </w:pPr>
      <w:r>
        <w:rPr>
          <w:rFonts w:ascii="Calibri" w:cs="Calibri" w:eastAsia="Calibri" w:hAnsi="Calibri"/>
          <w:color w:val="333333"/>
          <w:sz w:val="22"/>
          <w:szCs w:val="22"/>
        </w:rPr>
        <w:t xml:space="preserve">Financial Action Task Force (FATF) Recommendations</w:t>
      </w:r>
    </w:p>
    <w:p>
      <w:pPr>
        <w:pStyle w:val="Heading1"/>
        <w:spacing w:after="120" w:before="300"/>
      </w:pPr>
      <w:r>
        <w:rPr>
          <w:rFonts w:ascii="Calibri" w:cs="Calibri" w:eastAsia="Calibri" w:hAnsi="Calibri"/>
          <w:b/>
          <w:bCs/>
          <w:color w:val="0A6E3C"/>
          <w:sz w:val="32"/>
          <w:szCs w:val="32"/>
        </w:rPr>
        <w:t xml:space="preserve">2. SCOPE</w:t>
      </w:r>
    </w:p>
    <w:p>
      <w:pPr>
        <w:spacing w:after="120" w:before="0"/>
        <w:jc w:val="both"/>
      </w:pPr>
      <w:r>
        <w:rPr>
          <w:rFonts w:ascii="Calibri" w:cs="Calibri" w:eastAsia="Calibri" w:hAnsi="Calibri"/>
          <w:b w:val="false"/>
          <w:bCs w:val="false"/>
          <w:i w:val="false"/>
          <w:iCs w:val="false"/>
          <w:color w:val="333333"/>
          <w:sz w:val="22"/>
          <w:szCs w:val="22"/>
        </w:rPr>
        <w:t xml:space="preserve">This policy applies to:</w:t>
      </w:r>
    </w:p>
    <w:p>
      <w:pPr>
        <w:pStyle w:val="ListParagraph"/>
        <w:numPr>
          <w:ilvl w:val="0"/>
          <w:numId w:val="1"/>
        </w:numPr>
        <w:spacing w:after="60"/>
      </w:pPr>
      <w:r>
        <w:rPr>
          <w:rFonts w:ascii="Calibri" w:cs="Calibri" w:eastAsia="Calibri" w:hAnsi="Calibri"/>
          <w:color w:val="333333"/>
          <w:sz w:val="22"/>
          <w:szCs w:val="22"/>
        </w:rPr>
        <w:t xml:space="preserve">All Monde employees, officers, directors, and contractors</w:t>
      </w:r>
    </w:p>
    <w:p>
      <w:pPr>
        <w:pStyle w:val="ListParagraph"/>
        <w:numPr>
          <w:ilvl w:val="0"/>
          <w:numId w:val="1"/>
        </w:numPr>
        <w:spacing w:after="60"/>
      </w:pPr>
      <w:r>
        <w:rPr>
          <w:rFonts w:ascii="Calibri" w:cs="Calibri" w:eastAsia="Calibri" w:hAnsi="Calibri"/>
          <w:color w:val="333333"/>
          <w:sz w:val="22"/>
          <w:szCs w:val="22"/>
        </w:rPr>
        <w:t xml:space="preserve">All Monde agents and their employees</w:t>
      </w:r>
    </w:p>
    <w:p>
      <w:pPr>
        <w:pStyle w:val="ListParagraph"/>
        <w:numPr>
          <w:ilvl w:val="0"/>
          <w:numId w:val="1"/>
        </w:numPr>
        <w:spacing w:after="60"/>
      </w:pPr>
      <w:r>
        <w:rPr>
          <w:rFonts w:ascii="Calibri" w:cs="Calibri" w:eastAsia="Calibri" w:hAnsi="Calibri"/>
          <w:color w:val="333333"/>
          <w:sz w:val="22"/>
          <w:szCs w:val="22"/>
        </w:rPr>
        <w:t xml:space="preserve">All customer relationships and transactions processed through the Monde platform</w:t>
      </w:r>
    </w:p>
    <w:p>
      <w:pPr>
        <w:pStyle w:val="ListParagraph"/>
        <w:numPr>
          <w:ilvl w:val="0"/>
          <w:numId w:val="1"/>
        </w:numPr>
        <w:spacing w:after="60"/>
      </w:pPr>
      <w:r>
        <w:rPr>
          <w:rFonts w:ascii="Calibri" w:cs="Calibri" w:eastAsia="Calibri" w:hAnsi="Calibri"/>
          <w:color w:val="333333"/>
          <w:sz w:val="22"/>
          <w:szCs w:val="22"/>
        </w:rPr>
        <w:t xml:space="preserve">All products and services offered by Monde</w:t>
      </w:r>
    </w:p>
    <w:p>
      <w:pPr>
        <w:pStyle w:val="Heading1"/>
        <w:spacing w:after="120" w:before="300"/>
      </w:pPr>
      <w:r>
        <w:rPr>
          <w:rFonts w:ascii="Calibri" w:cs="Calibri" w:eastAsia="Calibri" w:hAnsi="Calibri"/>
          <w:b/>
          <w:bCs/>
          <w:color w:val="0A6E3C"/>
          <w:sz w:val="32"/>
          <w:szCs w:val="32"/>
        </w:rPr>
        <w:t xml:space="preserve">3. GOVERNANCE AND RESPONSIBILITIES</w:t>
      </w:r>
    </w:p>
    <w:p>
      <w:pPr>
        <w:pStyle w:val="Heading2"/>
        <w:spacing w:after="120" w:before="300"/>
      </w:pPr>
      <w:r>
        <w:rPr>
          <w:rFonts w:ascii="Calibri" w:cs="Calibri" w:eastAsia="Calibri" w:hAnsi="Calibri"/>
          <w:b/>
          <w:bCs/>
          <w:color w:val="0A6E3C"/>
          <w:sz w:val="26"/>
          <w:szCs w:val="26"/>
        </w:rPr>
        <w:t xml:space="preserve">3.1 Board of Directors</w:t>
      </w:r>
    </w:p>
    <w:p>
      <w:pPr>
        <w:pStyle w:val="ListParagraph"/>
        <w:numPr>
          <w:ilvl w:val="0"/>
          <w:numId w:val="1"/>
        </w:numPr>
        <w:spacing w:after="60"/>
      </w:pPr>
      <w:r>
        <w:rPr>
          <w:rFonts w:ascii="Calibri" w:cs="Calibri" w:eastAsia="Calibri" w:hAnsi="Calibri"/>
          <w:color w:val="333333"/>
          <w:sz w:val="22"/>
          <w:szCs w:val="22"/>
        </w:rPr>
        <w:t xml:space="preserve">Ultimate responsibility for AML/CFT compliance</w:t>
      </w:r>
    </w:p>
    <w:p>
      <w:pPr>
        <w:pStyle w:val="ListParagraph"/>
        <w:numPr>
          <w:ilvl w:val="0"/>
          <w:numId w:val="1"/>
        </w:numPr>
        <w:spacing w:after="60"/>
      </w:pPr>
      <w:r>
        <w:rPr>
          <w:rFonts w:ascii="Calibri" w:cs="Calibri" w:eastAsia="Calibri" w:hAnsi="Calibri"/>
          <w:color w:val="333333"/>
          <w:sz w:val="22"/>
          <w:szCs w:val="22"/>
        </w:rPr>
        <w:t xml:space="preserve">Approve AML/CFT policy and any amendments</w:t>
      </w:r>
    </w:p>
    <w:p>
      <w:pPr>
        <w:pStyle w:val="ListParagraph"/>
        <w:numPr>
          <w:ilvl w:val="0"/>
          <w:numId w:val="1"/>
        </w:numPr>
        <w:spacing w:after="60"/>
      </w:pPr>
      <w:r>
        <w:rPr>
          <w:rFonts w:ascii="Calibri" w:cs="Calibri" w:eastAsia="Calibri" w:hAnsi="Calibri"/>
          <w:color w:val="333333"/>
          <w:sz w:val="22"/>
          <w:szCs w:val="22"/>
        </w:rPr>
        <w:t xml:space="preserve">Ensure adequate resources are allocated for compliance</w:t>
      </w:r>
    </w:p>
    <w:p>
      <w:pPr>
        <w:pStyle w:val="ListParagraph"/>
        <w:numPr>
          <w:ilvl w:val="0"/>
          <w:numId w:val="1"/>
        </w:numPr>
        <w:spacing w:after="60"/>
      </w:pPr>
      <w:r>
        <w:rPr>
          <w:rFonts w:ascii="Calibri" w:cs="Calibri" w:eastAsia="Calibri" w:hAnsi="Calibri"/>
          <w:color w:val="333333"/>
          <w:sz w:val="22"/>
          <w:szCs w:val="22"/>
        </w:rPr>
        <w:t xml:space="preserve">Receive and review quarterly compliance reports</w:t>
      </w:r>
    </w:p>
    <w:p>
      <w:pPr>
        <w:pStyle w:val="Heading2"/>
        <w:spacing w:after="120" w:before="300"/>
      </w:pPr>
      <w:r>
        <w:rPr>
          <w:rFonts w:ascii="Calibri" w:cs="Calibri" w:eastAsia="Calibri" w:hAnsi="Calibri"/>
          <w:b/>
          <w:bCs/>
          <w:color w:val="0A6E3C"/>
          <w:sz w:val="26"/>
          <w:szCs w:val="26"/>
        </w:rPr>
        <w:t xml:space="preserve">3.2 Chief Compliance Officer (CCO)</w:t>
      </w:r>
    </w:p>
    <w:p>
      <w:pPr>
        <w:spacing w:after="120" w:before="0"/>
        <w:jc w:val="both"/>
      </w:pPr>
      <w:r>
        <w:rPr>
          <w:rFonts w:ascii="Calibri" w:cs="Calibri" w:eastAsia="Calibri" w:hAnsi="Calibri"/>
          <w:b w:val="false"/>
          <w:bCs w:val="false"/>
          <w:i w:val="false"/>
          <w:iCs w:val="false"/>
          <w:color w:val="333333"/>
          <w:sz w:val="22"/>
          <w:szCs w:val="22"/>
        </w:rPr>
        <w:t xml:space="preserve">The CCO is the designated Money Laundering Reporting Officer (MLRO) and is responsible for:</w:t>
      </w:r>
    </w:p>
    <w:p>
      <w:pPr>
        <w:pStyle w:val="ListParagraph"/>
        <w:numPr>
          <w:ilvl w:val="0"/>
          <w:numId w:val="1"/>
        </w:numPr>
        <w:spacing w:after="60"/>
      </w:pPr>
      <w:r>
        <w:rPr>
          <w:rFonts w:ascii="Calibri" w:cs="Calibri" w:eastAsia="Calibri" w:hAnsi="Calibri"/>
          <w:color w:val="333333"/>
          <w:sz w:val="22"/>
          <w:szCs w:val="22"/>
        </w:rPr>
        <w:t xml:space="preserve">Implementing and maintaining the AML/CFT programme</w:t>
      </w:r>
    </w:p>
    <w:p>
      <w:pPr>
        <w:pStyle w:val="ListParagraph"/>
        <w:numPr>
          <w:ilvl w:val="0"/>
          <w:numId w:val="1"/>
        </w:numPr>
        <w:spacing w:after="60"/>
      </w:pPr>
      <w:r>
        <w:rPr>
          <w:rFonts w:ascii="Calibri" w:cs="Calibri" w:eastAsia="Calibri" w:hAnsi="Calibri"/>
          <w:color w:val="333333"/>
          <w:sz w:val="22"/>
          <w:szCs w:val="22"/>
        </w:rPr>
        <w:t xml:space="preserve">Filing Suspicious Transaction Reports (STRs) with the Financial Intelligence Centre (FIC)</w:t>
      </w:r>
    </w:p>
    <w:p>
      <w:pPr>
        <w:pStyle w:val="ListParagraph"/>
        <w:numPr>
          <w:ilvl w:val="0"/>
          <w:numId w:val="1"/>
        </w:numPr>
        <w:spacing w:after="60"/>
      </w:pPr>
      <w:r>
        <w:rPr>
          <w:rFonts w:ascii="Calibri" w:cs="Calibri" w:eastAsia="Calibri" w:hAnsi="Calibri"/>
          <w:color w:val="333333"/>
          <w:sz w:val="22"/>
          <w:szCs w:val="22"/>
        </w:rPr>
        <w:t xml:space="preserve">Filing Large Transaction Reports and Cash Transaction Reports as required</w:t>
      </w:r>
    </w:p>
    <w:p>
      <w:pPr>
        <w:pStyle w:val="ListParagraph"/>
        <w:numPr>
          <w:ilvl w:val="0"/>
          <w:numId w:val="1"/>
        </w:numPr>
        <w:spacing w:after="60"/>
      </w:pPr>
      <w:r>
        <w:rPr>
          <w:rFonts w:ascii="Calibri" w:cs="Calibri" w:eastAsia="Calibri" w:hAnsi="Calibri"/>
          <w:color w:val="333333"/>
          <w:sz w:val="22"/>
          <w:szCs w:val="22"/>
        </w:rPr>
        <w:t xml:space="preserve">Conducting risk assessments and updating the AML/CFT programme accordingly</w:t>
      </w:r>
    </w:p>
    <w:p>
      <w:pPr>
        <w:pStyle w:val="ListParagraph"/>
        <w:numPr>
          <w:ilvl w:val="0"/>
          <w:numId w:val="1"/>
        </w:numPr>
        <w:spacing w:after="60"/>
      </w:pPr>
      <w:r>
        <w:rPr>
          <w:rFonts w:ascii="Calibri" w:cs="Calibri" w:eastAsia="Calibri" w:hAnsi="Calibri"/>
          <w:color w:val="333333"/>
          <w:sz w:val="22"/>
          <w:szCs w:val="22"/>
        </w:rPr>
        <w:t xml:space="preserve">Ensuring staff training on AML/CFT procedures</w:t>
      </w:r>
    </w:p>
    <w:p>
      <w:pPr>
        <w:pStyle w:val="ListParagraph"/>
        <w:numPr>
          <w:ilvl w:val="0"/>
          <w:numId w:val="1"/>
        </w:numPr>
        <w:spacing w:after="60"/>
      </w:pPr>
      <w:r>
        <w:rPr>
          <w:rFonts w:ascii="Calibri" w:cs="Calibri" w:eastAsia="Calibri" w:hAnsi="Calibri"/>
          <w:color w:val="333333"/>
          <w:sz w:val="22"/>
          <w:szCs w:val="22"/>
        </w:rPr>
        <w:t xml:space="preserve">Liaising with the Bank of Zambia and FIC on compliance matters</w:t>
      </w:r>
    </w:p>
    <w:p>
      <w:pPr>
        <w:pStyle w:val="ListParagraph"/>
        <w:numPr>
          <w:ilvl w:val="0"/>
          <w:numId w:val="1"/>
        </w:numPr>
        <w:spacing w:after="60"/>
      </w:pPr>
      <w:r>
        <w:rPr>
          <w:rFonts w:ascii="Calibri" w:cs="Calibri" w:eastAsia="Calibri" w:hAnsi="Calibri"/>
          <w:color w:val="333333"/>
          <w:sz w:val="22"/>
          <w:szCs w:val="22"/>
        </w:rPr>
        <w:t xml:space="preserve">Reporting to the Board on AML/CFT compliance status</w:t>
      </w:r>
    </w:p>
    <w:p>
      <w:pPr>
        <w:pStyle w:val="Heading2"/>
        <w:spacing w:after="120" w:before="300"/>
      </w:pPr>
      <w:r>
        <w:rPr>
          <w:rFonts w:ascii="Calibri" w:cs="Calibri" w:eastAsia="Calibri" w:hAnsi="Calibri"/>
          <w:b/>
          <w:bCs/>
          <w:color w:val="0A6E3C"/>
          <w:sz w:val="26"/>
          <w:szCs w:val="26"/>
        </w:rPr>
        <w:t xml:space="preserve">3.3 All Employees</w:t>
      </w:r>
    </w:p>
    <w:p>
      <w:pPr>
        <w:pStyle w:val="ListParagraph"/>
        <w:numPr>
          <w:ilvl w:val="0"/>
          <w:numId w:val="1"/>
        </w:numPr>
        <w:spacing w:after="60"/>
      </w:pPr>
      <w:r>
        <w:rPr>
          <w:rFonts w:ascii="Calibri" w:cs="Calibri" w:eastAsia="Calibri" w:hAnsi="Calibri"/>
          <w:color w:val="333333"/>
          <w:sz w:val="22"/>
          <w:szCs w:val="22"/>
        </w:rPr>
        <w:t xml:space="preserve">Comply with this policy and all related procedures</w:t>
      </w:r>
    </w:p>
    <w:p>
      <w:pPr>
        <w:pStyle w:val="ListParagraph"/>
        <w:numPr>
          <w:ilvl w:val="0"/>
          <w:numId w:val="1"/>
        </w:numPr>
        <w:spacing w:after="60"/>
      </w:pPr>
      <w:r>
        <w:rPr>
          <w:rFonts w:ascii="Calibri" w:cs="Calibri" w:eastAsia="Calibri" w:hAnsi="Calibri"/>
          <w:color w:val="333333"/>
          <w:sz w:val="22"/>
          <w:szCs w:val="22"/>
        </w:rPr>
        <w:t xml:space="preserve">Complete mandatory AML/CFT training</w:t>
      </w:r>
    </w:p>
    <w:p>
      <w:pPr>
        <w:pStyle w:val="ListParagraph"/>
        <w:numPr>
          <w:ilvl w:val="0"/>
          <w:numId w:val="1"/>
        </w:numPr>
        <w:spacing w:after="60"/>
      </w:pPr>
      <w:r>
        <w:rPr>
          <w:rFonts w:ascii="Calibri" w:cs="Calibri" w:eastAsia="Calibri" w:hAnsi="Calibri"/>
          <w:color w:val="333333"/>
          <w:sz w:val="22"/>
          <w:szCs w:val="22"/>
        </w:rPr>
        <w:t xml:space="preserve">Report any suspicious activity to the CCO/MLRO</w:t>
      </w:r>
    </w:p>
    <w:p>
      <w:pPr>
        <w:pStyle w:val="ListParagraph"/>
        <w:numPr>
          <w:ilvl w:val="0"/>
          <w:numId w:val="1"/>
        </w:numPr>
        <w:spacing w:after="60"/>
      </w:pPr>
      <w:r>
        <w:rPr>
          <w:rFonts w:ascii="Calibri" w:cs="Calibri" w:eastAsia="Calibri" w:hAnsi="Calibri"/>
          <w:color w:val="333333"/>
          <w:sz w:val="22"/>
          <w:szCs w:val="22"/>
        </w:rPr>
        <w:t xml:space="preserve">Maintain confidentiality regarding any reports or investigations</w:t>
      </w:r>
    </w:p>
    <w:p>
      <w:r>
        <w:br w:type="page"/>
      </w:r>
    </w:p>
    <w:p>
      <w:pPr>
        <w:pStyle w:val="Heading1"/>
        <w:spacing w:after="120" w:before="300"/>
      </w:pPr>
      <w:r>
        <w:rPr>
          <w:rFonts w:ascii="Calibri" w:cs="Calibri" w:eastAsia="Calibri" w:hAnsi="Calibri"/>
          <w:b/>
          <w:bCs/>
          <w:color w:val="0A6E3C"/>
          <w:sz w:val="32"/>
          <w:szCs w:val="32"/>
        </w:rPr>
        <w:t xml:space="preserve">4. RISK-BASED APPROACH</w:t>
      </w:r>
    </w:p>
    <w:p>
      <w:pPr>
        <w:pStyle w:val="Heading2"/>
        <w:spacing w:after="120" w:before="300"/>
      </w:pPr>
      <w:r>
        <w:rPr>
          <w:rFonts w:ascii="Calibri" w:cs="Calibri" w:eastAsia="Calibri" w:hAnsi="Calibri"/>
          <w:b/>
          <w:bCs/>
          <w:color w:val="0A6E3C"/>
          <w:sz w:val="26"/>
          <w:szCs w:val="26"/>
        </w:rPr>
        <w:t xml:space="preserve">4.1 ML/TF Risk Assessment</w:t>
      </w:r>
    </w:p>
    <w:p>
      <w:pPr>
        <w:spacing w:after="120" w:before="0"/>
        <w:jc w:val="both"/>
      </w:pPr>
      <w:r>
        <w:rPr>
          <w:rFonts w:ascii="Calibri" w:cs="Calibri" w:eastAsia="Calibri" w:hAnsi="Calibri"/>
          <w:b w:val="false"/>
          <w:bCs w:val="false"/>
          <w:i w:val="false"/>
          <w:iCs w:val="false"/>
          <w:color w:val="333333"/>
          <w:sz w:val="22"/>
          <w:szCs w:val="22"/>
        </w:rPr>
        <w:t xml:space="preserve">Monde conducts a comprehensive Money Laundering and Terrorist Financing (ML/TF) risk assessment that considers:</w:t>
      </w:r>
    </w:p>
    <w:p>
      <w:pPr>
        <w:pStyle w:val="Heading3"/>
        <w:spacing w:after="120" w:before="300"/>
      </w:pPr>
      <w:r>
        <w:rPr>
          <w:rFonts w:ascii="Calibri" w:cs="Calibri" w:eastAsia="Calibri" w:hAnsi="Calibri"/>
          <w:b/>
          <w:bCs/>
          <w:color w:val="0A6E3C"/>
          <w:sz w:val="22"/>
          <w:szCs w:val="22"/>
        </w:rPr>
        <w:t xml:space="preserve">4.1.1 Customer Risk Factors</w:t>
      </w:r>
    </w:p>
    <w:p>
      <w:pPr>
        <w:pStyle w:val="ListParagraph"/>
        <w:numPr>
          <w:ilvl w:val="0"/>
          <w:numId w:val="1"/>
        </w:numPr>
        <w:spacing w:after="60"/>
      </w:pPr>
      <w:r>
        <w:rPr>
          <w:rFonts w:ascii="Calibri" w:cs="Calibri" w:eastAsia="Calibri" w:hAnsi="Calibri"/>
          <w:color w:val="333333"/>
          <w:sz w:val="22"/>
          <w:szCs w:val="22"/>
        </w:rPr>
        <w:t xml:space="preserve">Customer type (individual, business, agent)</w:t>
      </w:r>
    </w:p>
    <w:p>
      <w:pPr>
        <w:pStyle w:val="ListParagraph"/>
        <w:numPr>
          <w:ilvl w:val="0"/>
          <w:numId w:val="1"/>
        </w:numPr>
        <w:spacing w:after="60"/>
      </w:pPr>
      <w:r>
        <w:rPr>
          <w:rFonts w:ascii="Calibri" w:cs="Calibri" w:eastAsia="Calibri" w:hAnsi="Calibri"/>
          <w:color w:val="333333"/>
          <w:sz w:val="22"/>
          <w:szCs w:val="22"/>
        </w:rPr>
        <w:t xml:space="preserve">Customer location (urban, peri-urban, rural)</w:t>
      </w:r>
    </w:p>
    <w:p>
      <w:pPr>
        <w:pStyle w:val="ListParagraph"/>
        <w:numPr>
          <w:ilvl w:val="0"/>
          <w:numId w:val="1"/>
        </w:numPr>
        <w:spacing w:after="60"/>
      </w:pPr>
      <w:r>
        <w:rPr>
          <w:rFonts w:ascii="Calibri" w:cs="Calibri" w:eastAsia="Calibri" w:hAnsi="Calibri"/>
          <w:color w:val="333333"/>
          <w:sz w:val="22"/>
          <w:szCs w:val="22"/>
        </w:rPr>
        <w:t xml:space="preserve">Transaction patterns and volumes</w:t>
      </w:r>
    </w:p>
    <w:p>
      <w:pPr>
        <w:pStyle w:val="ListParagraph"/>
        <w:numPr>
          <w:ilvl w:val="0"/>
          <w:numId w:val="1"/>
        </w:numPr>
        <w:spacing w:after="60"/>
      </w:pPr>
      <w:r>
        <w:rPr>
          <w:rFonts w:ascii="Calibri" w:cs="Calibri" w:eastAsia="Calibri" w:hAnsi="Calibri"/>
          <w:color w:val="333333"/>
          <w:sz w:val="22"/>
          <w:szCs w:val="22"/>
        </w:rPr>
        <w:t xml:space="preserve">Source of funds</w:t>
      </w:r>
    </w:p>
    <w:p>
      <w:pPr>
        <w:pStyle w:val="ListParagraph"/>
        <w:numPr>
          <w:ilvl w:val="0"/>
          <w:numId w:val="1"/>
        </w:numPr>
        <w:spacing w:after="60"/>
      </w:pPr>
      <w:r>
        <w:rPr>
          <w:rFonts w:ascii="Calibri" w:cs="Calibri" w:eastAsia="Calibri" w:hAnsi="Calibri"/>
          <w:color w:val="333333"/>
          <w:sz w:val="22"/>
          <w:szCs w:val="22"/>
        </w:rPr>
        <w:t xml:space="preserve">Politically Exposed Person (PEP) status</w:t>
      </w:r>
    </w:p>
    <w:p>
      <w:pPr>
        <w:pStyle w:val="ListParagraph"/>
        <w:numPr>
          <w:ilvl w:val="0"/>
          <w:numId w:val="1"/>
        </w:numPr>
        <w:spacing w:after="60"/>
      </w:pPr>
      <w:r>
        <w:rPr>
          <w:rFonts w:ascii="Calibri" w:cs="Calibri" w:eastAsia="Calibri" w:hAnsi="Calibri"/>
          <w:color w:val="333333"/>
          <w:sz w:val="22"/>
          <w:szCs w:val="22"/>
        </w:rPr>
        <w:t xml:space="preserve">Adverse media or sanctions screening results</w:t>
      </w:r>
    </w:p>
    <w:p>
      <w:pPr>
        <w:pStyle w:val="Heading3"/>
        <w:spacing w:after="120" w:before="300"/>
      </w:pPr>
      <w:r>
        <w:rPr>
          <w:rFonts w:ascii="Calibri" w:cs="Calibri" w:eastAsia="Calibri" w:hAnsi="Calibri"/>
          <w:b/>
          <w:bCs/>
          <w:color w:val="0A6E3C"/>
          <w:sz w:val="22"/>
          <w:szCs w:val="22"/>
        </w:rPr>
        <w:t xml:space="preserve">4.1.2 Product/Service Risk Factors</w:t>
      </w:r>
    </w:p>
    <w:p>
      <w:pPr>
        <w:pStyle w:val="ListParagraph"/>
        <w:numPr>
          <w:ilvl w:val="0"/>
          <w:numId w:val="1"/>
        </w:numPr>
        <w:spacing w:after="60"/>
      </w:pPr>
      <w:r>
        <w:rPr>
          <w:rFonts w:ascii="Calibri" w:cs="Calibri" w:eastAsia="Calibri" w:hAnsi="Calibri"/>
          <w:color w:val="333333"/>
          <w:sz w:val="22"/>
          <w:szCs w:val="22"/>
        </w:rPr>
        <w:t xml:space="preserve">P2P payments: Medium risk (potential for layering)</w:t>
      </w:r>
    </w:p>
    <w:p>
      <w:pPr>
        <w:pStyle w:val="ListParagraph"/>
        <w:numPr>
          <w:ilvl w:val="0"/>
          <w:numId w:val="1"/>
        </w:numPr>
        <w:spacing w:after="60"/>
      </w:pPr>
      <w:r>
        <w:rPr>
          <w:rFonts w:ascii="Calibri" w:cs="Calibri" w:eastAsia="Calibri" w:hAnsi="Calibri"/>
          <w:color w:val="333333"/>
          <w:sz w:val="22"/>
          <w:szCs w:val="22"/>
        </w:rPr>
        <w:t xml:space="preserve">Wallet top-up from mobile money: Low-medium risk (mobile money providers conduct their own KYC)</w:t>
      </w:r>
    </w:p>
    <w:p>
      <w:pPr>
        <w:pStyle w:val="ListParagraph"/>
        <w:numPr>
          <w:ilvl w:val="0"/>
          <w:numId w:val="1"/>
        </w:numPr>
        <w:spacing w:after="60"/>
      </w:pPr>
      <w:r>
        <w:rPr>
          <w:rFonts w:ascii="Calibri" w:cs="Calibri" w:eastAsia="Calibri" w:hAnsi="Calibri"/>
          <w:color w:val="333333"/>
          <w:sz w:val="22"/>
          <w:szCs w:val="22"/>
        </w:rPr>
        <w:t xml:space="preserve">Agent cash-in: Medium-high risk (cash-based, potential for structuring)</w:t>
      </w:r>
    </w:p>
    <w:p>
      <w:pPr>
        <w:pStyle w:val="ListParagraph"/>
        <w:numPr>
          <w:ilvl w:val="0"/>
          <w:numId w:val="1"/>
        </w:numPr>
        <w:spacing w:after="60"/>
      </w:pPr>
      <w:r>
        <w:rPr>
          <w:rFonts w:ascii="Calibri" w:cs="Calibri" w:eastAsia="Calibri" w:hAnsi="Calibri"/>
          <w:color w:val="333333"/>
          <w:sz w:val="22"/>
          <w:szCs w:val="22"/>
        </w:rPr>
        <w:t xml:space="preserve">Agent cash-out: Medium risk (cash-based, but initiated by verified customer)</w:t>
      </w:r>
    </w:p>
    <w:p>
      <w:pPr>
        <w:pStyle w:val="ListParagraph"/>
        <w:numPr>
          <w:ilvl w:val="0"/>
          <w:numId w:val="1"/>
        </w:numPr>
        <w:spacing w:after="60"/>
      </w:pPr>
      <w:r>
        <w:rPr>
          <w:rFonts w:ascii="Calibri" w:cs="Calibri" w:eastAsia="Calibri" w:hAnsi="Calibri"/>
          <w:color w:val="333333"/>
          <w:sz w:val="22"/>
          <w:szCs w:val="22"/>
        </w:rPr>
        <w:t xml:space="preserve">Agent-to-agent transfer: Medium risk (potential for float manipulation)</w:t>
      </w:r>
    </w:p>
    <w:p>
      <w:pPr>
        <w:pStyle w:val="Heading3"/>
        <w:spacing w:after="120" w:before="300"/>
      </w:pPr>
      <w:r>
        <w:rPr>
          <w:rFonts w:ascii="Calibri" w:cs="Calibri" w:eastAsia="Calibri" w:hAnsi="Calibri"/>
          <w:b/>
          <w:bCs/>
          <w:color w:val="0A6E3C"/>
          <w:sz w:val="22"/>
          <w:szCs w:val="22"/>
        </w:rPr>
        <w:t xml:space="preserve">4.1.3 Geographic Risk Factors</w:t>
      </w:r>
    </w:p>
    <w:p>
      <w:pPr>
        <w:spacing w:after="120" w:before="0"/>
        <w:jc w:val="both"/>
      </w:pPr>
      <w:r>
        <w:rPr>
          <w:rFonts w:ascii="Calibri" w:cs="Calibri" w:eastAsia="Calibri" w:hAnsi="Calibri"/>
          <w:b w:val="false"/>
          <w:bCs w:val="false"/>
          <w:i w:val="false"/>
          <w:iCs w:val="false"/>
          <w:color w:val="333333"/>
          <w:sz w:val="22"/>
          <w:szCs w:val="22"/>
        </w:rPr>
        <w:t xml:space="preserve">Monde currently operates exclusively within Zambia. Geographic risk is assessed based on:</w:t>
      </w:r>
    </w:p>
    <w:p>
      <w:pPr>
        <w:pStyle w:val="ListParagraph"/>
        <w:numPr>
          <w:ilvl w:val="0"/>
          <w:numId w:val="1"/>
        </w:numPr>
        <w:spacing w:after="60"/>
      </w:pPr>
      <w:r>
        <w:rPr>
          <w:rFonts w:ascii="Calibri" w:cs="Calibri" w:eastAsia="Calibri" w:hAnsi="Calibri"/>
          <w:color w:val="333333"/>
          <w:sz w:val="22"/>
          <w:szCs w:val="22"/>
        </w:rPr>
        <w:t xml:space="preserve">Province and district of customer registration</w:t>
      </w:r>
    </w:p>
    <w:p>
      <w:pPr>
        <w:pStyle w:val="ListParagraph"/>
        <w:numPr>
          <w:ilvl w:val="0"/>
          <w:numId w:val="1"/>
        </w:numPr>
        <w:spacing w:after="60"/>
      </w:pPr>
      <w:r>
        <w:rPr>
          <w:rFonts w:ascii="Calibri" w:cs="Calibri" w:eastAsia="Calibri" w:hAnsi="Calibri"/>
          <w:color w:val="333333"/>
          <w:sz w:val="22"/>
          <w:szCs w:val="22"/>
        </w:rPr>
        <w:t xml:space="preserve">Cross-border proximity (border towns may have elevated risk)</w:t>
      </w:r>
    </w:p>
    <w:p>
      <w:pPr>
        <w:pStyle w:val="ListParagraph"/>
        <w:numPr>
          <w:ilvl w:val="0"/>
          <w:numId w:val="1"/>
        </w:numPr>
        <w:spacing w:after="60"/>
      </w:pPr>
      <w:r>
        <w:rPr>
          <w:rFonts w:ascii="Calibri" w:cs="Calibri" w:eastAsia="Calibri" w:hAnsi="Calibri"/>
          <w:color w:val="333333"/>
          <w:sz w:val="22"/>
          <w:szCs w:val="22"/>
        </w:rPr>
        <w:t xml:space="preserve">Known high-risk areas identified by law enforcement</w:t>
      </w:r>
    </w:p>
    <w:p>
      <w:pPr>
        <w:pStyle w:val="Heading2"/>
        <w:spacing w:after="120" w:before="300"/>
      </w:pPr>
      <w:r>
        <w:rPr>
          <w:rFonts w:ascii="Calibri" w:cs="Calibri" w:eastAsia="Calibri" w:hAnsi="Calibri"/>
          <w:b/>
          <w:bCs/>
          <w:color w:val="0A6E3C"/>
          <w:sz w:val="26"/>
          <w:szCs w:val="26"/>
        </w:rPr>
        <w:t xml:space="preserve">4.2 Risk Mitigation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Risk Level</w:t>
            </w:r>
          </w:p>
        </w:tc>
        <w:tc>
          <w:tcPr>
            <w:tcW w:type="pct" w:w="25%"/>
            <w:shd w:color="0A6E3C" w:val="solid"/>
          </w:tcPr>
          <w:p>
            <w:pPr>
              <w:jc w:val="center"/>
            </w:pPr>
            <w:r>
              <w:rPr>
                <w:rFonts w:ascii="Calibri" w:cs="Calibri" w:eastAsia="Calibri" w:hAnsi="Calibri"/>
                <w:b/>
                <w:bCs/>
                <w:color w:val="FFFFFF"/>
                <w:sz w:val="20"/>
                <w:szCs w:val="20"/>
              </w:rPr>
              <w:t xml:space="preserve">CDD Level</w:t>
            </w:r>
          </w:p>
        </w:tc>
        <w:tc>
          <w:tcPr>
            <w:tcW w:type="pct" w:w="25%"/>
            <w:shd w:color="0A6E3C" w:val="solid"/>
          </w:tcPr>
          <w:p>
            <w:pPr>
              <w:jc w:val="center"/>
            </w:pPr>
            <w:r>
              <w:rPr>
                <w:rFonts w:ascii="Calibri" w:cs="Calibri" w:eastAsia="Calibri" w:hAnsi="Calibri"/>
                <w:b/>
                <w:bCs/>
                <w:color w:val="FFFFFF"/>
                <w:sz w:val="20"/>
                <w:szCs w:val="20"/>
              </w:rPr>
              <w:t xml:space="preserve">Transaction Limits</w:t>
            </w:r>
          </w:p>
        </w:tc>
        <w:tc>
          <w:tcPr>
            <w:tcW w:type="pct" w:w="25%"/>
            <w:shd w:color="0A6E3C" w:val="solid"/>
          </w:tcPr>
          <w:p>
            <w:pPr>
              <w:jc w:val="center"/>
            </w:pPr>
            <w:r>
              <w:rPr>
                <w:rFonts w:ascii="Calibri" w:cs="Calibri" w:eastAsia="Calibri" w:hAnsi="Calibri"/>
                <w:b/>
                <w:bCs/>
                <w:color w:val="FFFFFF"/>
                <w:sz w:val="20"/>
                <w:szCs w:val="20"/>
              </w:rPr>
              <w:t xml:space="preserve">Monitoring</w:t>
            </w:r>
          </w:p>
        </w:tc>
      </w:tr>
      <w:tr>
        <w:tc>
          <w:tcPr>
            <w:tcW w:type="pct" w:w="25%"/>
          </w:tcPr>
          <w:p>
            <w:r>
              <w:rPr>
                <w:rFonts w:ascii="Calibri" w:cs="Calibri" w:eastAsia="Calibri" w:hAnsi="Calibri"/>
                <w:color w:val="333333"/>
                <w:sz w:val="20"/>
                <w:szCs w:val="20"/>
              </w:rPr>
              <w:t xml:space="preserve">Low</w:t>
            </w:r>
          </w:p>
        </w:tc>
        <w:tc>
          <w:tcPr>
            <w:tcW w:type="pct" w:w="25%"/>
          </w:tcPr>
          <w:p>
            <w:r>
              <w:rPr>
                <w:rFonts w:ascii="Calibri" w:cs="Calibri" w:eastAsia="Calibri" w:hAnsi="Calibri"/>
                <w:color w:val="333333"/>
                <w:sz w:val="20"/>
                <w:szCs w:val="20"/>
              </w:rPr>
              <w:t xml:space="preserve">Simplified (Copper tier)</w:t>
            </w:r>
          </w:p>
        </w:tc>
        <w:tc>
          <w:tcPr>
            <w:tcW w:type="pct" w:w="25%"/>
          </w:tcPr>
          <w:p>
            <w:r>
              <w:rPr>
                <w:rFonts w:ascii="Calibri" w:cs="Calibri" w:eastAsia="Calibri" w:hAnsi="Calibri"/>
                <w:color w:val="333333"/>
                <w:sz w:val="20"/>
                <w:szCs w:val="20"/>
              </w:rPr>
              <w:t xml:space="preserve">K100,000 balance / K20,000 daily</w:t>
            </w:r>
          </w:p>
        </w:tc>
        <w:tc>
          <w:tcPr>
            <w:tcW w:type="pct" w:w="25%"/>
          </w:tcPr>
          <w:p>
            <w:r>
              <w:rPr>
                <w:rFonts w:ascii="Calibri" w:cs="Calibri" w:eastAsia="Calibri" w:hAnsi="Calibri"/>
                <w:color w:val="333333"/>
                <w:sz w:val="20"/>
                <w:szCs w:val="20"/>
              </w:rPr>
              <w:t xml:space="preserve">Automated</w:t>
            </w:r>
          </w:p>
        </w:tc>
      </w:tr>
      <w:tr>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Standard (Gold tier)</w:t>
            </w:r>
          </w:p>
        </w:tc>
        <w:tc>
          <w:tcPr>
            <w:tcW w:type="pct" w:w="25%"/>
          </w:tcPr>
          <w:p>
            <w:r>
              <w:rPr>
                <w:rFonts w:ascii="Calibri" w:cs="Calibri" w:eastAsia="Calibri" w:hAnsi="Calibri"/>
                <w:color w:val="333333"/>
                <w:sz w:val="20"/>
                <w:szCs w:val="20"/>
              </w:rPr>
              <w:t xml:space="preserve">K250,000 balance / K50,000 daily</w:t>
            </w:r>
          </w:p>
        </w:tc>
        <w:tc>
          <w:tcPr>
            <w:tcW w:type="pct" w:w="25%"/>
          </w:tcPr>
          <w:p>
            <w:r>
              <w:rPr>
                <w:rFonts w:ascii="Calibri" w:cs="Calibri" w:eastAsia="Calibri" w:hAnsi="Calibri"/>
                <w:color w:val="333333"/>
                <w:sz w:val="20"/>
                <w:szCs w:val="20"/>
              </w:rPr>
              <w:t xml:space="preserve">Automated + periodic review</w:t>
            </w:r>
          </w:p>
        </w:tc>
      </w:tr>
      <w:tr>
        <w:tc>
          <w:tcPr>
            <w:tcW w:type="pct" w:w="25%"/>
          </w:tcPr>
          <w:p>
            <w:r>
              <w:rPr>
                <w:rFonts w:ascii="Calibri" w:cs="Calibri" w:eastAsia="Calibri" w:hAnsi="Calibri"/>
                <w:color w:val="333333"/>
                <w:sz w:val="20"/>
                <w:szCs w:val="20"/>
              </w:rPr>
              <w:t xml:space="preserve">High</w:t>
            </w:r>
          </w:p>
        </w:tc>
        <w:tc>
          <w:tcPr>
            <w:tcW w:type="pct" w:w="25%"/>
          </w:tcPr>
          <w:p>
            <w:r>
              <w:rPr>
                <w:rFonts w:ascii="Calibri" w:cs="Calibri" w:eastAsia="Calibri" w:hAnsi="Calibri"/>
                <w:color w:val="333333"/>
                <w:sz w:val="20"/>
                <w:szCs w:val="20"/>
              </w:rPr>
              <w:t xml:space="preserve">Enhanced (Platinum tier)</w:t>
            </w:r>
          </w:p>
        </w:tc>
        <w:tc>
          <w:tcPr>
            <w:tcW w:type="pct" w:w="25%"/>
          </w:tcPr>
          <w:p>
            <w:r>
              <w:rPr>
                <w:rFonts w:ascii="Calibri" w:cs="Calibri" w:eastAsia="Calibri" w:hAnsi="Calibri"/>
                <w:color w:val="333333"/>
                <w:sz w:val="20"/>
                <w:szCs w:val="20"/>
              </w:rPr>
              <w:t xml:space="preserve">K500,000 balance / K100,000 daily</w:t>
            </w:r>
          </w:p>
        </w:tc>
        <w:tc>
          <w:tcPr>
            <w:tcW w:type="pct" w:w="25%"/>
          </w:tcPr>
          <w:p>
            <w:r>
              <w:rPr>
                <w:rFonts w:ascii="Calibri" w:cs="Calibri" w:eastAsia="Calibri" w:hAnsi="Calibri"/>
                <w:color w:val="333333"/>
                <w:sz w:val="20"/>
                <w:szCs w:val="20"/>
              </w:rPr>
              <w:t xml:space="preserve">Automated + manual review</w:t>
            </w:r>
          </w:p>
        </w:tc>
      </w:tr>
    </w:tbl>
    <w:p>
      <w:pPr>
        <w:spacing w:after="200"/>
      </w:pPr>
    </w:p>
    <w:p>
      <w:pPr>
        <w:pStyle w:val="Heading1"/>
        <w:spacing w:after="120" w:before="300"/>
      </w:pPr>
      <w:r>
        <w:rPr>
          <w:rFonts w:ascii="Calibri" w:cs="Calibri" w:eastAsia="Calibri" w:hAnsi="Calibri"/>
          <w:b/>
          <w:bCs/>
          <w:color w:val="0A6E3C"/>
          <w:sz w:val="32"/>
          <w:szCs w:val="32"/>
        </w:rPr>
        <w:t xml:space="preserve">5. KNOW YOUR CUSTOMER (KYC) PROCEDURES</w:t>
      </w:r>
    </w:p>
    <w:p>
      <w:pPr>
        <w:pStyle w:val="Heading2"/>
        <w:spacing w:after="120" w:before="300"/>
      </w:pPr>
      <w:r>
        <w:rPr>
          <w:rFonts w:ascii="Calibri" w:cs="Calibri" w:eastAsia="Calibri" w:hAnsi="Calibri"/>
          <w:b/>
          <w:bCs/>
          <w:color w:val="0A6E3C"/>
          <w:sz w:val="26"/>
          <w:szCs w:val="26"/>
        </w:rPr>
        <w:t xml:space="preserve">5.1 Customer Identification Programme</w:t>
      </w:r>
    </w:p>
    <w:p>
      <w:pPr>
        <w:spacing w:after="120" w:before="0"/>
        <w:jc w:val="both"/>
      </w:pPr>
      <w:r>
        <w:rPr>
          <w:rFonts w:ascii="Calibri" w:cs="Calibri" w:eastAsia="Calibri" w:hAnsi="Calibri"/>
          <w:b w:val="false"/>
          <w:bCs w:val="false"/>
          <w:i w:val="false"/>
          <w:iCs w:val="false"/>
          <w:color w:val="333333"/>
          <w:sz w:val="22"/>
          <w:szCs w:val="22"/>
        </w:rPr>
        <w:t xml:space="preserve">Monde implements a tiered KYC programme aligned with the risk-based approach:</w:t>
      </w:r>
    </w:p>
    <w:p>
      <w:pPr>
        <w:pStyle w:val="Heading3"/>
        <w:spacing w:after="120" w:before="300"/>
      </w:pPr>
      <w:r>
        <w:rPr>
          <w:rFonts w:ascii="Calibri" w:cs="Calibri" w:eastAsia="Calibri" w:hAnsi="Calibri"/>
          <w:b/>
          <w:bCs/>
          <w:color w:val="0A6E3C"/>
          <w:sz w:val="22"/>
          <w:szCs w:val="22"/>
        </w:rPr>
        <w:t xml:space="preserve">5.1.1 Tier 1: Simplified KYC (All New Customers)</w:t>
      </w:r>
    </w:p>
    <w:p>
      <w:pPr>
        <w:spacing w:after="120" w:before="0"/>
        <w:jc w:val="both"/>
      </w:pPr>
      <w:r>
        <w:rPr>
          <w:rFonts w:ascii="Calibri" w:cs="Calibri" w:eastAsia="Calibri" w:hAnsi="Calibri"/>
          <w:b w:val="false"/>
          <w:bCs w:val="false"/>
          <w:i w:val="false"/>
          <w:iCs w:val="false"/>
          <w:color w:val="333333"/>
          <w:sz w:val="22"/>
          <w:szCs w:val="22"/>
        </w:rPr>
        <w:t xml:space="preserve">Required information:</w:t>
      </w:r>
    </w:p>
    <w:p>
      <w:pPr>
        <w:pStyle w:val="ListParagraph"/>
        <w:numPr>
          <w:ilvl w:val="0"/>
          <w:numId w:val="1"/>
        </w:numPr>
        <w:spacing w:after="60"/>
      </w:pPr>
      <w:r>
        <w:rPr>
          <w:rFonts w:ascii="Calibri" w:cs="Calibri" w:eastAsia="Calibri" w:hAnsi="Calibri"/>
          <w:color w:val="333333"/>
          <w:sz w:val="22"/>
          <w:szCs w:val="22"/>
        </w:rPr>
        <w:t xml:space="preserve">Full legal name</w:t>
      </w:r>
    </w:p>
    <w:p>
      <w:pPr>
        <w:pStyle w:val="ListParagraph"/>
        <w:numPr>
          <w:ilvl w:val="0"/>
          <w:numId w:val="1"/>
        </w:numPr>
        <w:spacing w:after="60"/>
      </w:pPr>
      <w:r>
        <w:rPr>
          <w:rFonts w:ascii="Calibri" w:cs="Calibri" w:eastAsia="Calibri" w:hAnsi="Calibri"/>
          <w:color w:val="333333"/>
          <w:sz w:val="22"/>
          <w:szCs w:val="22"/>
        </w:rPr>
        <w:t xml:space="preserve">Zambian mobile phone number (verified via OTP)</w:t>
      </w:r>
    </w:p>
    <w:p>
      <w:pPr>
        <w:pStyle w:val="ListParagraph"/>
        <w:numPr>
          <w:ilvl w:val="0"/>
          <w:numId w:val="1"/>
        </w:numPr>
        <w:spacing w:after="60"/>
      </w:pPr>
      <w:r>
        <w:rPr>
          <w:rFonts w:ascii="Calibri" w:cs="Calibri" w:eastAsia="Calibri" w:hAnsi="Calibri"/>
          <w:color w:val="333333"/>
          <w:sz w:val="22"/>
          <w:szCs w:val="22"/>
        </w:rPr>
        <w:t xml:space="preserve">Mobile money provider</w:t>
      </w:r>
    </w:p>
    <w:p>
      <w:pPr>
        <w:spacing w:after="120" w:before="0"/>
        <w:jc w:val="both"/>
      </w:pPr>
      <w:r>
        <w:rPr>
          <w:rFonts w:ascii="Calibri" w:cs="Calibri" w:eastAsia="Calibri" w:hAnsi="Calibri"/>
          <w:b w:val="false"/>
          <w:bCs w:val="false"/>
          <w:i w:val="false"/>
          <w:iCs w:val="false"/>
          <w:color w:val="333333"/>
          <w:sz w:val="22"/>
          <w:szCs w:val="22"/>
        </w:rPr>
        <w:t xml:space="preserve">Verification method:</w:t>
      </w:r>
    </w:p>
    <w:p>
      <w:pPr>
        <w:pStyle w:val="ListParagraph"/>
        <w:numPr>
          <w:ilvl w:val="0"/>
          <w:numId w:val="1"/>
        </w:numPr>
        <w:spacing w:after="60"/>
      </w:pPr>
      <w:r>
        <w:rPr>
          <w:rFonts w:ascii="Calibri" w:cs="Calibri" w:eastAsia="Calibri" w:hAnsi="Calibri"/>
          <w:color w:val="333333"/>
          <w:sz w:val="22"/>
          <w:szCs w:val="22"/>
        </w:rPr>
        <w:t xml:space="preserve">Phone number ownership verified through SMS OTP (Twilio Verify)</w:t>
      </w:r>
    </w:p>
    <w:p>
      <w:pPr>
        <w:pStyle w:val="ListParagraph"/>
        <w:numPr>
          <w:ilvl w:val="0"/>
          <w:numId w:val="1"/>
        </w:numPr>
        <w:spacing w:after="60"/>
      </w:pPr>
      <w:r>
        <w:rPr>
          <w:rFonts w:ascii="Calibri" w:cs="Calibri" w:eastAsia="Calibri" w:hAnsi="Calibri"/>
          <w:color w:val="333333"/>
          <w:sz w:val="22"/>
          <w:szCs w:val="22"/>
        </w:rPr>
        <w:t xml:space="preserve">Phone number validated against Zambian network prefixes</w:t>
      </w:r>
    </w:p>
    <w:p>
      <w:pPr>
        <w:pStyle w:val="ListParagraph"/>
        <w:numPr>
          <w:ilvl w:val="0"/>
          <w:numId w:val="1"/>
        </w:numPr>
        <w:spacing w:after="60"/>
      </w:pPr>
      <w:r>
        <w:rPr>
          <w:rFonts w:ascii="Calibri" w:cs="Calibri" w:eastAsia="Calibri" w:hAnsi="Calibri"/>
          <w:color w:val="333333"/>
          <w:sz w:val="22"/>
          <w:szCs w:val="22"/>
        </w:rPr>
        <w:t xml:space="preserve">One account per phone number enforced</w:t>
      </w:r>
    </w:p>
    <w:p>
      <w:pPr>
        <w:pStyle w:val="Heading3"/>
        <w:spacing w:after="120" w:before="300"/>
      </w:pPr>
      <w:r>
        <w:rPr>
          <w:rFonts w:ascii="Calibri" w:cs="Calibri" w:eastAsia="Calibri" w:hAnsi="Calibri"/>
          <w:b/>
          <w:bCs/>
          <w:color w:val="0A6E3C"/>
          <w:sz w:val="22"/>
          <w:szCs w:val="22"/>
        </w:rPr>
        <w:t xml:space="preserve">5.1.2 Tier 2: Standard KYC (Gold Tier Upgrade)</w:t>
      </w:r>
    </w:p>
    <w:p>
      <w:pPr>
        <w:spacing w:after="120" w:before="0"/>
        <w:jc w:val="both"/>
      </w:pPr>
      <w:r>
        <w:rPr>
          <w:rFonts w:ascii="Calibri" w:cs="Calibri" w:eastAsia="Calibri" w:hAnsi="Calibri"/>
          <w:b w:val="false"/>
          <w:bCs w:val="false"/>
          <w:i w:val="false"/>
          <w:iCs w:val="false"/>
          <w:color w:val="333333"/>
          <w:sz w:val="22"/>
          <w:szCs w:val="22"/>
        </w:rPr>
        <w:t xml:space="preserve">Additional information required:</w:t>
      </w:r>
    </w:p>
    <w:p>
      <w:pPr>
        <w:pStyle w:val="ListParagraph"/>
        <w:numPr>
          <w:ilvl w:val="0"/>
          <w:numId w:val="1"/>
        </w:numPr>
        <w:spacing w:after="60"/>
      </w:pPr>
      <w:r>
        <w:rPr>
          <w:rFonts w:ascii="Calibri" w:cs="Calibri" w:eastAsia="Calibri" w:hAnsi="Calibri"/>
          <w:color w:val="333333"/>
          <w:sz w:val="22"/>
          <w:szCs w:val="22"/>
        </w:rPr>
        <w:t xml:space="preserve">National Registration Card (NRC) number or Passport number</w:t>
      </w:r>
    </w:p>
    <w:p>
      <w:pPr>
        <w:pStyle w:val="ListParagraph"/>
        <w:numPr>
          <w:ilvl w:val="0"/>
          <w:numId w:val="1"/>
        </w:numPr>
        <w:spacing w:after="60"/>
      </w:pPr>
      <w:r>
        <w:rPr>
          <w:rFonts w:ascii="Calibri" w:cs="Calibri" w:eastAsia="Calibri" w:hAnsi="Calibri"/>
          <w:color w:val="333333"/>
          <w:sz w:val="22"/>
          <w:szCs w:val="22"/>
        </w:rPr>
        <w:t xml:space="preserve">Date of birth</w:t>
      </w:r>
    </w:p>
    <w:p>
      <w:pPr>
        <w:pStyle w:val="ListParagraph"/>
        <w:numPr>
          <w:ilvl w:val="0"/>
          <w:numId w:val="1"/>
        </w:numPr>
        <w:spacing w:after="60"/>
      </w:pPr>
      <w:r>
        <w:rPr>
          <w:rFonts w:ascii="Calibri" w:cs="Calibri" w:eastAsia="Calibri" w:hAnsi="Calibri"/>
          <w:color w:val="333333"/>
          <w:sz w:val="22"/>
          <w:szCs w:val="22"/>
        </w:rPr>
        <w:t xml:space="preserve">Physical residential address</w:t>
      </w:r>
    </w:p>
    <w:p>
      <w:pPr>
        <w:pStyle w:val="ListParagraph"/>
        <w:numPr>
          <w:ilvl w:val="0"/>
          <w:numId w:val="1"/>
        </w:numPr>
        <w:spacing w:after="60"/>
      </w:pPr>
      <w:r>
        <w:rPr>
          <w:rFonts w:ascii="Calibri" w:cs="Calibri" w:eastAsia="Calibri" w:hAnsi="Calibri"/>
          <w:color w:val="333333"/>
          <w:sz w:val="22"/>
          <w:szCs w:val="22"/>
        </w:rPr>
        <w:t xml:space="preserve">Source of funds declaration (employment, business, remittance, other)</w:t>
      </w:r>
    </w:p>
    <w:p>
      <w:pPr>
        <w:spacing w:after="120" w:before="0"/>
        <w:jc w:val="both"/>
      </w:pPr>
      <w:r>
        <w:rPr>
          <w:rFonts w:ascii="Calibri" w:cs="Calibri" w:eastAsia="Calibri" w:hAnsi="Calibri"/>
          <w:b w:val="false"/>
          <w:bCs w:val="false"/>
          <w:i w:val="false"/>
          <w:iCs w:val="false"/>
          <w:color w:val="333333"/>
          <w:sz w:val="22"/>
          <w:szCs w:val="22"/>
        </w:rPr>
        <w:t xml:space="preserve">Verification method:</w:t>
      </w:r>
    </w:p>
    <w:p>
      <w:pPr>
        <w:pStyle w:val="ListParagraph"/>
        <w:numPr>
          <w:ilvl w:val="0"/>
          <w:numId w:val="1"/>
        </w:numPr>
        <w:spacing w:after="60"/>
      </w:pPr>
      <w:r>
        <w:rPr>
          <w:rFonts w:ascii="Calibri" w:cs="Calibri" w:eastAsia="Calibri" w:hAnsi="Calibri"/>
          <w:color w:val="333333"/>
          <w:sz w:val="22"/>
          <w:szCs w:val="22"/>
        </w:rPr>
        <w:t xml:space="preserve">Document upload and manual verification by compliance team</w:t>
      </w:r>
    </w:p>
    <w:p>
      <w:pPr>
        <w:pStyle w:val="ListParagraph"/>
        <w:numPr>
          <w:ilvl w:val="0"/>
          <w:numId w:val="1"/>
        </w:numPr>
        <w:spacing w:after="60"/>
      </w:pPr>
      <w:r>
        <w:rPr>
          <w:rFonts w:ascii="Calibri" w:cs="Calibri" w:eastAsia="Calibri" w:hAnsi="Calibri"/>
          <w:color w:val="333333"/>
          <w:sz w:val="22"/>
          <w:szCs w:val="22"/>
        </w:rPr>
        <w:t xml:space="preserve">Cross-reference with available databases</w:t>
      </w:r>
    </w:p>
    <w:p>
      <w:pPr>
        <w:pStyle w:val="Heading3"/>
        <w:spacing w:after="120" w:before="300"/>
      </w:pPr>
      <w:r>
        <w:rPr>
          <w:rFonts w:ascii="Calibri" w:cs="Calibri" w:eastAsia="Calibri" w:hAnsi="Calibri"/>
          <w:b/>
          <w:bCs/>
          <w:color w:val="0A6E3C"/>
          <w:sz w:val="22"/>
          <w:szCs w:val="22"/>
        </w:rPr>
        <w:t xml:space="preserve">5.1.3 Tier 3: Enhanced KYC (Platinum Tier Upgrade)</w:t>
      </w:r>
    </w:p>
    <w:p>
      <w:pPr>
        <w:spacing w:after="120" w:before="0"/>
        <w:jc w:val="both"/>
      </w:pPr>
      <w:r>
        <w:rPr>
          <w:rFonts w:ascii="Calibri" w:cs="Calibri" w:eastAsia="Calibri" w:hAnsi="Calibri"/>
          <w:b w:val="false"/>
          <w:bCs w:val="false"/>
          <w:i w:val="false"/>
          <w:iCs w:val="false"/>
          <w:color w:val="333333"/>
          <w:sz w:val="22"/>
          <w:szCs w:val="22"/>
        </w:rPr>
        <w:t xml:space="preserve">Additional information required:</w:t>
      </w:r>
    </w:p>
    <w:p>
      <w:pPr>
        <w:pStyle w:val="ListParagraph"/>
        <w:numPr>
          <w:ilvl w:val="0"/>
          <w:numId w:val="1"/>
        </w:numPr>
        <w:spacing w:after="60"/>
      </w:pPr>
      <w:r>
        <w:rPr>
          <w:rFonts w:ascii="Calibri" w:cs="Calibri" w:eastAsia="Calibri" w:hAnsi="Calibri"/>
          <w:color w:val="333333"/>
          <w:sz w:val="22"/>
          <w:szCs w:val="22"/>
        </w:rPr>
        <w:t xml:space="preserve">All Tier 2 requirements</w:t>
      </w:r>
    </w:p>
    <w:p>
      <w:pPr>
        <w:pStyle w:val="ListParagraph"/>
        <w:numPr>
          <w:ilvl w:val="0"/>
          <w:numId w:val="1"/>
        </w:numPr>
        <w:spacing w:after="60"/>
      </w:pPr>
      <w:r>
        <w:rPr>
          <w:rFonts w:ascii="Calibri" w:cs="Calibri" w:eastAsia="Calibri" w:hAnsi="Calibri"/>
          <w:color w:val="333333"/>
          <w:sz w:val="22"/>
          <w:szCs w:val="22"/>
        </w:rPr>
        <w:t xml:space="preserve">Proof of income (payslip, business registration, tax clearance)</w:t>
      </w:r>
    </w:p>
    <w:p>
      <w:pPr>
        <w:pStyle w:val="ListParagraph"/>
        <w:numPr>
          <w:ilvl w:val="0"/>
          <w:numId w:val="1"/>
        </w:numPr>
        <w:spacing w:after="60"/>
      </w:pPr>
      <w:r>
        <w:rPr>
          <w:rFonts w:ascii="Calibri" w:cs="Calibri" w:eastAsia="Calibri" w:hAnsi="Calibri"/>
          <w:color w:val="333333"/>
          <w:sz w:val="22"/>
          <w:szCs w:val="22"/>
        </w:rPr>
        <w:t xml:space="preserve">Proof of address (utility bill, lease agreement)</w:t>
      </w:r>
    </w:p>
    <w:p>
      <w:pPr>
        <w:pStyle w:val="ListParagraph"/>
        <w:numPr>
          <w:ilvl w:val="0"/>
          <w:numId w:val="1"/>
        </w:numPr>
        <w:spacing w:after="60"/>
      </w:pPr>
      <w:r>
        <w:rPr>
          <w:rFonts w:ascii="Calibri" w:cs="Calibri" w:eastAsia="Calibri" w:hAnsi="Calibri"/>
          <w:color w:val="333333"/>
          <w:sz w:val="22"/>
          <w:szCs w:val="22"/>
        </w:rPr>
        <w:t xml:space="preserve">Declaration of source of wealth</w:t>
      </w:r>
    </w:p>
    <w:p>
      <w:pPr>
        <w:spacing w:after="120" w:before="0"/>
        <w:jc w:val="both"/>
      </w:pPr>
      <w:r>
        <w:rPr>
          <w:rFonts w:ascii="Calibri" w:cs="Calibri" w:eastAsia="Calibri" w:hAnsi="Calibri"/>
          <w:b w:val="false"/>
          <w:bCs w:val="false"/>
          <w:i w:val="false"/>
          <w:iCs w:val="false"/>
          <w:color w:val="333333"/>
          <w:sz w:val="22"/>
          <w:szCs w:val="22"/>
        </w:rPr>
        <w:t xml:space="preserve">Verification method:</w:t>
      </w:r>
    </w:p>
    <w:p>
      <w:pPr>
        <w:pStyle w:val="ListParagraph"/>
        <w:numPr>
          <w:ilvl w:val="0"/>
          <w:numId w:val="1"/>
        </w:numPr>
        <w:spacing w:after="60"/>
      </w:pPr>
      <w:r>
        <w:rPr>
          <w:rFonts w:ascii="Calibri" w:cs="Calibri" w:eastAsia="Calibri" w:hAnsi="Calibri"/>
          <w:color w:val="333333"/>
          <w:sz w:val="22"/>
          <w:szCs w:val="22"/>
        </w:rPr>
        <w:t xml:space="preserve">Enhanced document verification</w:t>
      </w:r>
    </w:p>
    <w:p>
      <w:pPr>
        <w:pStyle w:val="ListParagraph"/>
        <w:numPr>
          <w:ilvl w:val="0"/>
          <w:numId w:val="1"/>
        </w:numPr>
        <w:spacing w:after="60"/>
      </w:pPr>
      <w:r>
        <w:rPr>
          <w:rFonts w:ascii="Calibri" w:cs="Calibri" w:eastAsia="Calibri" w:hAnsi="Calibri"/>
          <w:color w:val="333333"/>
          <w:sz w:val="22"/>
          <w:szCs w:val="22"/>
        </w:rPr>
        <w:t xml:space="preserve">PEP and sanctions screening</w:t>
      </w:r>
    </w:p>
    <w:p>
      <w:pPr>
        <w:pStyle w:val="ListParagraph"/>
        <w:numPr>
          <w:ilvl w:val="0"/>
          <w:numId w:val="1"/>
        </w:numPr>
        <w:spacing w:after="60"/>
      </w:pPr>
      <w:r>
        <w:rPr>
          <w:rFonts w:ascii="Calibri" w:cs="Calibri" w:eastAsia="Calibri" w:hAnsi="Calibri"/>
          <w:color w:val="333333"/>
          <w:sz w:val="22"/>
          <w:szCs w:val="22"/>
        </w:rPr>
        <w:t xml:space="preserve">Senior management approval required</w:t>
      </w:r>
    </w:p>
    <w:p>
      <w:pPr>
        <w:pStyle w:val="ListParagraph"/>
        <w:numPr>
          <w:ilvl w:val="0"/>
          <w:numId w:val="1"/>
        </w:numPr>
        <w:spacing w:after="60"/>
      </w:pPr>
      <w:r>
        <w:rPr>
          <w:rFonts w:ascii="Calibri" w:cs="Calibri" w:eastAsia="Calibri" w:hAnsi="Calibri"/>
          <w:color w:val="333333"/>
          <w:sz w:val="22"/>
          <w:szCs w:val="22"/>
        </w:rPr>
        <w:t xml:space="preserve">Periodic review (quarterly)</w:t>
      </w:r>
    </w:p>
    <w:p>
      <w:pPr>
        <w:pStyle w:val="Heading2"/>
        <w:spacing w:after="120" w:before="300"/>
      </w:pPr>
      <w:r>
        <w:rPr>
          <w:rFonts w:ascii="Calibri" w:cs="Calibri" w:eastAsia="Calibri" w:hAnsi="Calibri"/>
          <w:b/>
          <w:bCs/>
          <w:color w:val="0A6E3C"/>
          <w:sz w:val="26"/>
          <w:szCs w:val="26"/>
        </w:rPr>
        <w:t xml:space="preserve">5.2 Agent KYC</w:t>
      </w:r>
    </w:p>
    <w:p>
      <w:pPr>
        <w:spacing w:after="120" w:before="0"/>
        <w:jc w:val="both"/>
      </w:pPr>
      <w:r>
        <w:rPr>
          <w:rFonts w:ascii="Calibri" w:cs="Calibri" w:eastAsia="Calibri" w:hAnsi="Calibri"/>
          <w:b w:val="false"/>
          <w:bCs w:val="false"/>
          <w:i w:val="false"/>
          <w:iCs w:val="false"/>
          <w:color w:val="333333"/>
          <w:sz w:val="22"/>
          <w:szCs w:val="22"/>
        </w:rPr>
        <w:t xml:space="preserve">Agents undergo enhanced due diligence before activation:</w:t>
      </w:r>
    </w:p>
    <w:p>
      <w:pPr>
        <w:pStyle w:val="ListParagraph"/>
        <w:numPr>
          <w:ilvl w:val="0"/>
          <w:numId w:val="1"/>
        </w:numPr>
        <w:spacing w:after="60"/>
      </w:pPr>
      <w:r>
        <w:rPr>
          <w:rFonts w:ascii="Calibri" w:cs="Calibri" w:eastAsia="Calibri" w:hAnsi="Calibri"/>
          <w:color w:val="333333"/>
          <w:sz w:val="22"/>
          <w:szCs w:val="22"/>
        </w:rPr>
        <w:t xml:space="preserve">National Registration Card or passport</w:t>
      </w:r>
    </w:p>
    <w:p>
      <w:pPr>
        <w:pStyle w:val="ListParagraph"/>
        <w:numPr>
          <w:ilvl w:val="0"/>
          <w:numId w:val="1"/>
        </w:numPr>
        <w:spacing w:after="60"/>
      </w:pPr>
      <w:r>
        <w:rPr>
          <w:rFonts w:ascii="Calibri" w:cs="Calibri" w:eastAsia="Calibri" w:hAnsi="Calibri"/>
          <w:color w:val="333333"/>
          <w:sz w:val="22"/>
          <w:szCs w:val="22"/>
        </w:rPr>
        <w:t xml:space="preserve">Business registration documents (PACRA registration for businesses)</w:t>
      </w:r>
    </w:p>
    <w:p>
      <w:pPr>
        <w:pStyle w:val="ListParagraph"/>
        <w:numPr>
          <w:ilvl w:val="0"/>
          <w:numId w:val="1"/>
        </w:numPr>
        <w:spacing w:after="60"/>
      </w:pPr>
      <w:r>
        <w:rPr>
          <w:rFonts w:ascii="Calibri" w:cs="Calibri" w:eastAsia="Calibri" w:hAnsi="Calibri"/>
          <w:color w:val="333333"/>
          <w:sz w:val="22"/>
          <w:szCs w:val="22"/>
        </w:rPr>
        <w:t xml:space="preserve">Physical location verification (site visit)</w:t>
      </w:r>
    </w:p>
    <w:p>
      <w:pPr>
        <w:pStyle w:val="ListParagraph"/>
        <w:numPr>
          <w:ilvl w:val="0"/>
          <w:numId w:val="1"/>
        </w:numPr>
        <w:spacing w:after="60"/>
      </w:pPr>
      <w:r>
        <w:rPr>
          <w:rFonts w:ascii="Calibri" w:cs="Calibri" w:eastAsia="Calibri" w:hAnsi="Calibri"/>
          <w:color w:val="333333"/>
          <w:sz w:val="22"/>
          <w:szCs w:val="22"/>
        </w:rPr>
        <w:t xml:space="preserve">Character reference checks</w:t>
      </w:r>
    </w:p>
    <w:p>
      <w:pPr>
        <w:pStyle w:val="ListParagraph"/>
        <w:numPr>
          <w:ilvl w:val="0"/>
          <w:numId w:val="1"/>
        </w:numPr>
        <w:spacing w:after="60"/>
      </w:pPr>
      <w:r>
        <w:rPr>
          <w:rFonts w:ascii="Calibri" w:cs="Calibri" w:eastAsia="Calibri" w:hAnsi="Calibri"/>
          <w:color w:val="333333"/>
          <w:sz w:val="22"/>
          <w:szCs w:val="22"/>
        </w:rPr>
        <w:t xml:space="preserve">Police clearance certificate</w:t>
      </w:r>
    </w:p>
    <w:p>
      <w:pPr>
        <w:pStyle w:val="ListParagraph"/>
        <w:numPr>
          <w:ilvl w:val="0"/>
          <w:numId w:val="1"/>
        </w:numPr>
        <w:spacing w:after="60"/>
      </w:pPr>
      <w:r>
        <w:rPr>
          <w:rFonts w:ascii="Calibri" w:cs="Calibri" w:eastAsia="Calibri" w:hAnsi="Calibri"/>
          <w:color w:val="333333"/>
          <w:sz w:val="22"/>
          <w:szCs w:val="22"/>
        </w:rPr>
        <w:t xml:space="preserve">Agent agreement execution</w:t>
      </w:r>
    </w:p>
    <w:p>
      <w:pPr>
        <w:pStyle w:val="ListParagraph"/>
        <w:numPr>
          <w:ilvl w:val="0"/>
          <w:numId w:val="1"/>
        </w:numPr>
        <w:spacing w:after="60"/>
      </w:pPr>
      <w:r>
        <w:rPr>
          <w:rFonts w:ascii="Calibri" w:cs="Calibri" w:eastAsia="Calibri" w:hAnsi="Calibri"/>
          <w:color w:val="333333"/>
          <w:sz w:val="22"/>
          <w:szCs w:val="22"/>
        </w:rPr>
        <w:t xml:space="preserve">Mandatory AML/CFT training completion</w:t>
      </w:r>
    </w:p>
    <w:p>
      <w:r>
        <w:br w:type="page"/>
      </w:r>
    </w:p>
    <w:p>
      <w:pPr>
        <w:pStyle w:val="Heading1"/>
        <w:spacing w:after="120" w:before="300"/>
      </w:pPr>
      <w:r>
        <w:rPr>
          <w:rFonts w:ascii="Calibri" w:cs="Calibri" w:eastAsia="Calibri" w:hAnsi="Calibri"/>
          <w:b/>
          <w:bCs/>
          <w:color w:val="0A6E3C"/>
          <w:sz w:val="32"/>
          <w:szCs w:val="32"/>
        </w:rPr>
        <w:t xml:space="preserve">6. TRANSACTION MONITORING</w:t>
      </w:r>
    </w:p>
    <w:p>
      <w:pPr>
        <w:pStyle w:val="Heading2"/>
        <w:spacing w:after="120" w:before="300"/>
      </w:pPr>
      <w:r>
        <w:rPr>
          <w:rFonts w:ascii="Calibri" w:cs="Calibri" w:eastAsia="Calibri" w:hAnsi="Calibri"/>
          <w:b/>
          <w:bCs/>
          <w:color w:val="0A6E3C"/>
          <w:sz w:val="26"/>
          <w:szCs w:val="26"/>
        </w:rPr>
        <w:t xml:space="preserve">6.1 Automated Monitoring</w:t>
      </w:r>
    </w:p>
    <w:p>
      <w:pPr>
        <w:spacing w:after="120" w:before="0"/>
        <w:jc w:val="both"/>
      </w:pPr>
      <w:r>
        <w:rPr>
          <w:rFonts w:ascii="Calibri" w:cs="Calibri" w:eastAsia="Calibri" w:hAnsi="Calibri"/>
          <w:b w:val="false"/>
          <w:bCs w:val="false"/>
          <w:i w:val="false"/>
          <w:iCs w:val="false"/>
          <w:color w:val="333333"/>
          <w:sz w:val="22"/>
          <w:szCs w:val="22"/>
        </w:rPr>
        <w:t xml:space="preserve">Monde implements automated transaction monitoring through database-level controls:</w:t>
      </w:r>
    </w:p>
    <w:p>
      <w:pPr>
        <w:pStyle w:val="ListParagraph"/>
        <w:numPr>
          <w:ilvl w:val="0"/>
          <w:numId w:val="1"/>
        </w:numPr>
        <w:spacing w:after="60"/>
      </w:pPr>
      <w:r>
        <w:rPr>
          <w:rFonts w:ascii="Calibri" w:cs="Calibri" w:eastAsia="Calibri" w:hAnsi="Calibri"/>
          <w:color w:val="333333"/>
          <w:sz w:val="22"/>
          <w:szCs w:val="22"/>
        </w:rPr>
        <w:t xml:space="preserve">Daily transaction limit enforcement (per account tier)</w:t>
      </w:r>
    </w:p>
    <w:p>
      <w:pPr>
        <w:pStyle w:val="ListParagraph"/>
        <w:numPr>
          <w:ilvl w:val="0"/>
          <w:numId w:val="1"/>
        </w:numPr>
        <w:spacing w:after="60"/>
      </w:pPr>
      <w:r>
        <w:rPr>
          <w:rFonts w:ascii="Calibri" w:cs="Calibri" w:eastAsia="Calibri" w:hAnsi="Calibri"/>
          <w:color w:val="333333"/>
          <w:sz w:val="22"/>
          <w:szCs w:val="22"/>
        </w:rPr>
        <w:t xml:space="preserve">Balance limit enforcement (per account tier)</w:t>
      </w:r>
    </w:p>
    <w:p>
      <w:pPr>
        <w:pStyle w:val="ListParagraph"/>
        <w:numPr>
          <w:ilvl w:val="0"/>
          <w:numId w:val="1"/>
        </w:numPr>
        <w:spacing w:after="60"/>
      </w:pPr>
      <w:r>
        <w:rPr>
          <w:rFonts w:ascii="Calibri" w:cs="Calibri" w:eastAsia="Calibri" w:hAnsi="Calibri"/>
          <w:color w:val="333333"/>
          <w:sz w:val="22"/>
          <w:szCs w:val="22"/>
        </w:rPr>
        <w:t xml:space="preserve">Circular fraud detection (agent depositing and same customer cashing out within 24 hours at same agent)</w:t>
      </w:r>
    </w:p>
    <w:p>
      <w:pPr>
        <w:pStyle w:val="ListParagraph"/>
        <w:numPr>
          <w:ilvl w:val="0"/>
          <w:numId w:val="1"/>
        </w:numPr>
        <w:spacing w:after="60"/>
      </w:pPr>
      <w:r>
        <w:rPr>
          <w:rFonts w:ascii="Calibri" w:cs="Calibri" w:eastAsia="Calibri" w:hAnsi="Calibri"/>
          <w:color w:val="333333"/>
          <w:sz w:val="22"/>
          <w:szCs w:val="22"/>
        </w:rPr>
        <w:t xml:space="preserve">Velocity controls (maximum 3 deposits/withdrawals per customer per agent per day)</w:t>
      </w:r>
    </w:p>
    <w:p>
      <w:pPr>
        <w:pStyle w:val="ListParagraph"/>
        <w:numPr>
          <w:ilvl w:val="0"/>
          <w:numId w:val="1"/>
        </w:numPr>
        <w:spacing w:after="60"/>
      </w:pPr>
      <w:r>
        <w:rPr>
          <w:rFonts w:ascii="Calibri" w:cs="Calibri" w:eastAsia="Calibri" w:hAnsi="Calibri"/>
          <w:color w:val="333333"/>
          <w:sz w:val="22"/>
          <w:szCs w:val="22"/>
        </w:rPr>
        <w:t xml:space="preserve">Agent daily transfer caps (K50,000 for agent-to-agent transfers)</w:t>
      </w:r>
    </w:p>
    <w:p>
      <w:pPr>
        <w:pStyle w:val="ListParagraph"/>
        <w:numPr>
          <w:ilvl w:val="0"/>
          <w:numId w:val="1"/>
        </w:numPr>
        <w:spacing w:after="60"/>
      </w:pPr>
      <w:r>
        <w:rPr>
          <w:rFonts w:ascii="Calibri" w:cs="Calibri" w:eastAsia="Calibri" w:hAnsi="Calibri"/>
          <w:color w:val="333333"/>
          <w:sz w:val="22"/>
          <w:szCs w:val="22"/>
        </w:rPr>
        <w:t xml:space="preserve">Duplicate transaction detection</w:t>
      </w:r>
    </w:p>
    <w:p>
      <w:pPr>
        <w:pStyle w:val="ListParagraph"/>
        <w:numPr>
          <w:ilvl w:val="0"/>
          <w:numId w:val="1"/>
        </w:numPr>
        <w:spacing w:after="60"/>
      </w:pPr>
      <w:r>
        <w:rPr>
          <w:rFonts w:ascii="Calibri" w:cs="Calibri" w:eastAsia="Calibri" w:hAnsi="Calibri"/>
          <w:color w:val="333333"/>
          <w:sz w:val="22"/>
          <w:szCs w:val="22"/>
        </w:rPr>
        <w:t xml:space="preserve">Account freeze capability for immediate intervention</w:t>
      </w:r>
    </w:p>
    <w:p>
      <w:pPr>
        <w:pStyle w:val="Heading2"/>
        <w:spacing w:after="120" w:before="300"/>
      </w:pPr>
      <w:r>
        <w:rPr>
          <w:rFonts w:ascii="Calibri" w:cs="Calibri" w:eastAsia="Calibri" w:hAnsi="Calibri"/>
          <w:b/>
          <w:bCs/>
          <w:color w:val="0A6E3C"/>
          <w:sz w:val="26"/>
          <w:szCs w:val="26"/>
        </w:rPr>
        <w:t xml:space="preserve">6.2 Suspicious Activity Indicators</w:t>
      </w:r>
    </w:p>
    <w:p>
      <w:pPr>
        <w:spacing w:after="120" w:before="0"/>
        <w:jc w:val="both"/>
      </w:pPr>
      <w:r>
        <w:rPr>
          <w:rFonts w:ascii="Calibri" w:cs="Calibri" w:eastAsia="Calibri" w:hAnsi="Calibri"/>
          <w:b w:val="false"/>
          <w:bCs w:val="false"/>
          <w:i w:val="false"/>
          <w:iCs w:val="false"/>
          <w:color w:val="333333"/>
          <w:sz w:val="22"/>
          <w:szCs w:val="22"/>
        </w:rPr>
        <w:t xml:space="preserve">The following indicators may trigger further investigation:</w:t>
      </w:r>
    </w:p>
    <w:p>
      <w:pPr>
        <w:pStyle w:val="ListParagraph"/>
        <w:numPr>
          <w:ilvl w:val="0"/>
          <w:numId w:val="1"/>
        </w:numPr>
        <w:spacing w:after="60"/>
      </w:pPr>
      <w:r>
        <w:rPr>
          <w:rFonts w:ascii="Calibri" w:cs="Calibri" w:eastAsia="Calibri" w:hAnsi="Calibri"/>
          <w:color w:val="333333"/>
          <w:sz w:val="22"/>
          <w:szCs w:val="22"/>
        </w:rPr>
        <w:t xml:space="preserve">Transactions just below reporting thresholds (structuring)</w:t>
      </w:r>
    </w:p>
    <w:p>
      <w:pPr>
        <w:pStyle w:val="ListParagraph"/>
        <w:numPr>
          <w:ilvl w:val="0"/>
          <w:numId w:val="1"/>
        </w:numPr>
        <w:spacing w:after="60"/>
      </w:pPr>
      <w:r>
        <w:rPr>
          <w:rFonts w:ascii="Calibri" w:cs="Calibri" w:eastAsia="Calibri" w:hAnsi="Calibri"/>
          <w:color w:val="333333"/>
          <w:sz w:val="22"/>
          <w:szCs w:val="22"/>
        </w:rPr>
        <w:t xml:space="preserve">Rapid successive transactions to/from the same counterparty</w:t>
      </w:r>
    </w:p>
    <w:p>
      <w:pPr>
        <w:pStyle w:val="ListParagraph"/>
        <w:numPr>
          <w:ilvl w:val="0"/>
          <w:numId w:val="1"/>
        </w:numPr>
        <w:spacing w:after="60"/>
      </w:pPr>
      <w:r>
        <w:rPr>
          <w:rFonts w:ascii="Calibri" w:cs="Calibri" w:eastAsia="Calibri" w:hAnsi="Calibri"/>
          <w:color w:val="333333"/>
          <w:sz w:val="22"/>
          <w:szCs w:val="22"/>
        </w:rPr>
        <w:t xml:space="preserve">Multiple deposits from different agents in a short period</w:t>
      </w:r>
    </w:p>
    <w:p>
      <w:pPr>
        <w:pStyle w:val="ListParagraph"/>
        <w:numPr>
          <w:ilvl w:val="0"/>
          <w:numId w:val="1"/>
        </w:numPr>
        <w:spacing w:after="60"/>
      </w:pPr>
      <w:r>
        <w:rPr>
          <w:rFonts w:ascii="Calibri" w:cs="Calibri" w:eastAsia="Calibri" w:hAnsi="Calibri"/>
          <w:color w:val="333333"/>
          <w:sz w:val="22"/>
          <w:szCs w:val="22"/>
        </w:rPr>
        <w:t xml:space="preserve">Transactions inconsistent with the customer known profile</w:t>
      </w:r>
    </w:p>
    <w:p>
      <w:pPr>
        <w:pStyle w:val="ListParagraph"/>
        <w:numPr>
          <w:ilvl w:val="0"/>
          <w:numId w:val="1"/>
        </w:numPr>
        <w:spacing w:after="60"/>
      </w:pPr>
      <w:r>
        <w:rPr>
          <w:rFonts w:ascii="Calibri" w:cs="Calibri" w:eastAsia="Calibri" w:hAnsi="Calibri"/>
          <w:color w:val="333333"/>
          <w:sz w:val="22"/>
          <w:szCs w:val="22"/>
        </w:rPr>
        <w:t xml:space="preserve">Large cash-in deposits followed by immediate P2P transfers</w:t>
      </w:r>
    </w:p>
    <w:p>
      <w:pPr>
        <w:pStyle w:val="ListParagraph"/>
        <w:numPr>
          <w:ilvl w:val="0"/>
          <w:numId w:val="1"/>
        </w:numPr>
        <w:spacing w:after="60"/>
      </w:pPr>
      <w:r>
        <w:rPr>
          <w:rFonts w:ascii="Calibri" w:cs="Calibri" w:eastAsia="Calibri" w:hAnsi="Calibri"/>
          <w:color w:val="333333"/>
          <w:sz w:val="22"/>
          <w:szCs w:val="22"/>
        </w:rPr>
        <w:t xml:space="preserve">Multiple account attempts from the same device or phone number</w:t>
      </w:r>
    </w:p>
    <w:p>
      <w:pPr>
        <w:pStyle w:val="ListParagraph"/>
        <w:numPr>
          <w:ilvl w:val="0"/>
          <w:numId w:val="1"/>
        </w:numPr>
        <w:spacing w:after="60"/>
      </w:pPr>
      <w:r>
        <w:rPr>
          <w:rFonts w:ascii="Calibri" w:cs="Calibri" w:eastAsia="Calibri" w:hAnsi="Calibri"/>
          <w:color w:val="333333"/>
          <w:sz w:val="22"/>
          <w:szCs w:val="22"/>
        </w:rPr>
        <w:t xml:space="preserve">Customer refusal to provide required KYC documentation</w:t>
      </w:r>
    </w:p>
    <w:p>
      <w:pPr>
        <w:pStyle w:val="Heading2"/>
        <w:spacing w:after="120" w:before="300"/>
      </w:pPr>
      <w:r>
        <w:rPr>
          <w:rFonts w:ascii="Calibri" w:cs="Calibri" w:eastAsia="Calibri" w:hAnsi="Calibri"/>
          <w:b/>
          <w:bCs/>
          <w:color w:val="0A6E3C"/>
          <w:sz w:val="26"/>
          <w:szCs w:val="26"/>
        </w:rPr>
        <w:t xml:space="preserve">6.3 Manual Review Process</w:t>
      </w:r>
    </w:p>
    <w:p>
      <w:pPr>
        <w:spacing w:after="120" w:before="0"/>
        <w:jc w:val="both"/>
      </w:pPr>
      <w:r>
        <w:rPr>
          <w:rFonts w:ascii="Calibri" w:cs="Calibri" w:eastAsia="Calibri" w:hAnsi="Calibri"/>
          <w:b w:val="false"/>
          <w:bCs w:val="false"/>
          <w:i w:val="false"/>
          <w:iCs w:val="false"/>
          <w:color w:val="333333"/>
          <w:sz w:val="22"/>
          <w:szCs w:val="22"/>
        </w:rPr>
        <w:t xml:space="preserve">When suspicious activity is detected:</w:t>
      </w:r>
    </w:p>
    <w:p>
      <w:pPr>
        <w:pStyle w:val="ListParagraph"/>
        <w:numPr>
          <w:ilvl w:val="0"/>
          <w:numId w:val="1"/>
        </w:numPr>
        <w:spacing w:after="60"/>
      </w:pPr>
      <w:r>
        <w:rPr>
          <w:rFonts w:ascii="Calibri" w:cs="Calibri" w:eastAsia="Calibri" w:hAnsi="Calibri"/>
          <w:color w:val="333333"/>
          <w:sz w:val="22"/>
          <w:szCs w:val="22"/>
        </w:rPr>
        <w:t xml:space="preserve">1. The account is flagged for review (and may be frozen if risk is high)</w:t>
      </w:r>
    </w:p>
    <w:p>
      <w:pPr>
        <w:pStyle w:val="ListParagraph"/>
        <w:numPr>
          <w:ilvl w:val="0"/>
          <w:numId w:val="1"/>
        </w:numPr>
        <w:spacing w:after="60"/>
      </w:pPr>
      <w:r>
        <w:rPr>
          <w:rFonts w:ascii="Calibri" w:cs="Calibri" w:eastAsia="Calibri" w:hAnsi="Calibri"/>
          <w:color w:val="333333"/>
          <w:sz w:val="22"/>
          <w:szCs w:val="22"/>
        </w:rPr>
        <w:t xml:space="preserve">2. The CCO/MLRO reviews the account history and transaction patterns</w:t>
      </w:r>
    </w:p>
    <w:p>
      <w:pPr>
        <w:pStyle w:val="ListParagraph"/>
        <w:numPr>
          <w:ilvl w:val="0"/>
          <w:numId w:val="1"/>
        </w:numPr>
        <w:spacing w:after="60"/>
      </w:pPr>
      <w:r>
        <w:rPr>
          <w:rFonts w:ascii="Calibri" w:cs="Calibri" w:eastAsia="Calibri" w:hAnsi="Calibri"/>
          <w:color w:val="333333"/>
          <w:sz w:val="22"/>
          <w:szCs w:val="22"/>
        </w:rPr>
        <w:t xml:space="preserve">3. Additional information may be requested from the customer</w:t>
      </w:r>
    </w:p>
    <w:p>
      <w:pPr>
        <w:pStyle w:val="ListParagraph"/>
        <w:numPr>
          <w:ilvl w:val="0"/>
          <w:numId w:val="1"/>
        </w:numPr>
        <w:spacing w:after="60"/>
      </w:pPr>
      <w:r>
        <w:rPr>
          <w:rFonts w:ascii="Calibri" w:cs="Calibri" w:eastAsia="Calibri" w:hAnsi="Calibri"/>
          <w:color w:val="333333"/>
          <w:sz w:val="22"/>
          <w:szCs w:val="22"/>
        </w:rPr>
        <w:t xml:space="preserve">4. If suspicion is confirmed, a Suspicious Transaction Report (STR) is filed with the FIC</w:t>
      </w:r>
    </w:p>
    <w:p>
      <w:pPr>
        <w:pStyle w:val="ListParagraph"/>
        <w:numPr>
          <w:ilvl w:val="0"/>
          <w:numId w:val="1"/>
        </w:numPr>
        <w:spacing w:after="60"/>
      </w:pPr>
      <w:r>
        <w:rPr>
          <w:rFonts w:ascii="Calibri" w:cs="Calibri" w:eastAsia="Calibri" w:hAnsi="Calibri"/>
          <w:color w:val="333333"/>
          <w:sz w:val="22"/>
          <w:szCs w:val="22"/>
        </w:rPr>
        <w:t xml:space="preserve">5. The account may remain frozen pending further instruction from FIC or law enforcement</w:t>
      </w:r>
    </w:p>
    <w:p>
      <w:pPr>
        <w:pStyle w:val="ListParagraph"/>
        <w:numPr>
          <w:ilvl w:val="0"/>
          <w:numId w:val="1"/>
        </w:numPr>
        <w:spacing w:after="60"/>
      </w:pPr>
      <w:r>
        <w:rPr>
          <w:rFonts w:ascii="Calibri" w:cs="Calibri" w:eastAsia="Calibri" w:hAnsi="Calibri"/>
          <w:color w:val="333333"/>
          <w:sz w:val="22"/>
          <w:szCs w:val="22"/>
        </w:rPr>
        <w:t xml:space="preserve">6. All review actions and decisions are documented</w:t>
      </w:r>
    </w:p>
    <w:p>
      <w:pPr>
        <w:pStyle w:val="Heading1"/>
        <w:spacing w:after="120" w:before="300"/>
      </w:pPr>
      <w:r>
        <w:rPr>
          <w:rFonts w:ascii="Calibri" w:cs="Calibri" w:eastAsia="Calibri" w:hAnsi="Calibri"/>
          <w:b/>
          <w:bCs/>
          <w:color w:val="0A6E3C"/>
          <w:sz w:val="32"/>
          <w:szCs w:val="32"/>
        </w:rPr>
        <w:t xml:space="preserve">7. REPORTING OBLIGATIONS</w:t>
      </w:r>
    </w:p>
    <w:p>
      <w:pPr>
        <w:pStyle w:val="Heading2"/>
        <w:spacing w:after="120" w:before="300"/>
      </w:pPr>
      <w:r>
        <w:rPr>
          <w:rFonts w:ascii="Calibri" w:cs="Calibri" w:eastAsia="Calibri" w:hAnsi="Calibri"/>
          <w:b/>
          <w:bCs/>
          <w:color w:val="0A6E3C"/>
          <w:sz w:val="26"/>
          <w:szCs w:val="26"/>
        </w:rPr>
        <w:t xml:space="preserve">7.1 Suspicious Transaction Reports (STRs)</w:t>
      </w:r>
    </w:p>
    <w:p>
      <w:pPr>
        <w:spacing w:after="120" w:before="0"/>
        <w:jc w:val="both"/>
      </w:pPr>
      <w:r>
        <w:rPr>
          <w:rFonts w:ascii="Calibri" w:cs="Calibri" w:eastAsia="Calibri" w:hAnsi="Calibri"/>
          <w:b w:val="false"/>
          <w:bCs w:val="false"/>
          <w:i w:val="false"/>
          <w:iCs w:val="false"/>
          <w:color w:val="333333"/>
          <w:sz w:val="22"/>
          <w:szCs w:val="22"/>
        </w:rPr>
        <w:t xml:space="preserve">Monde will file STRs with the Financial Intelligence Centre when:</w:t>
      </w:r>
    </w:p>
    <w:p>
      <w:pPr>
        <w:pStyle w:val="ListParagraph"/>
        <w:numPr>
          <w:ilvl w:val="0"/>
          <w:numId w:val="1"/>
        </w:numPr>
        <w:spacing w:after="60"/>
      </w:pPr>
      <w:r>
        <w:rPr>
          <w:rFonts w:ascii="Calibri" w:cs="Calibri" w:eastAsia="Calibri" w:hAnsi="Calibri"/>
          <w:color w:val="333333"/>
          <w:sz w:val="22"/>
          <w:szCs w:val="22"/>
        </w:rPr>
        <w:t xml:space="preserve">A transaction or series of transactions is suspected to involve proceeds of crime</w:t>
      </w:r>
    </w:p>
    <w:p>
      <w:pPr>
        <w:pStyle w:val="ListParagraph"/>
        <w:numPr>
          <w:ilvl w:val="0"/>
          <w:numId w:val="1"/>
        </w:numPr>
        <w:spacing w:after="60"/>
      </w:pPr>
      <w:r>
        <w:rPr>
          <w:rFonts w:ascii="Calibri" w:cs="Calibri" w:eastAsia="Calibri" w:hAnsi="Calibri"/>
          <w:color w:val="333333"/>
          <w:sz w:val="22"/>
          <w:szCs w:val="22"/>
        </w:rPr>
        <w:t xml:space="preserve">A transaction or attempted transaction appears to have no legitimate economic purpose</w:t>
      </w:r>
    </w:p>
    <w:p>
      <w:pPr>
        <w:pStyle w:val="ListParagraph"/>
        <w:numPr>
          <w:ilvl w:val="0"/>
          <w:numId w:val="1"/>
        </w:numPr>
        <w:spacing w:after="60"/>
      </w:pPr>
      <w:r>
        <w:rPr>
          <w:rFonts w:ascii="Calibri" w:cs="Calibri" w:eastAsia="Calibri" w:hAnsi="Calibri"/>
          <w:color w:val="333333"/>
          <w:sz w:val="22"/>
          <w:szCs w:val="22"/>
        </w:rPr>
        <w:t xml:space="preserve">A customer is suspected of engaging in money laundering or terrorist financing</w:t>
      </w:r>
    </w:p>
    <w:p>
      <w:pPr>
        <w:pStyle w:val="ListParagraph"/>
        <w:numPr>
          <w:ilvl w:val="0"/>
          <w:numId w:val="1"/>
        </w:numPr>
        <w:spacing w:after="60"/>
      </w:pPr>
      <w:r>
        <w:rPr>
          <w:rFonts w:ascii="Calibri" w:cs="Calibri" w:eastAsia="Calibri" w:hAnsi="Calibri"/>
          <w:color w:val="333333"/>
          <w:sz w:val="22"/>
          <w:szCs w:val="22"/>
        </w:rPr>
        <w:t xml:space="preserve">The customer refuses to provide required identification or documentation</w:t>
      </w:r>
    </w:p>
    <w:p>
      <w:pPr>
        <w:spacing w:after="120" w:before="0"/>
        <w:jc w:val="both"/>
      </w:pPr>
      <w:r>
        <w:rPr>
          <w:rFonts w:ascii="Calibri" w:cs="Calibri" w:eastAsia="Calibri" w:hAnsi="Calibri"/>
          <w:b w:val="false"/>
          <w:bCs w:val="false"/>
          <w:i w:val="false"/>
          <w:iCs w:val="false"/>
          <w:color w:val="333333"/>
          <w:sz w:val="22"/>
          <w:szCs w:val="22"/>
        </w:rPr>
        <w:t xml:space="preserve">STRs will be filed promptly and within the timeframes prescribed by the FIC.</w:t>
      </w:r>
    </w:p>
    <w:p>
      <w:pPr>
        <w:pStyle w:val="Heading2"/>
        <w:spacing w:after="120" w:before="300"/>
      </w:pPr>
      <w:r>
        <w:rPr>
          <w:rFonts w:ascii="Calibri" w:cs="Calibri" w:eastAsia="Calibri" w:hAnsi="Calibri"/>
          <w:b/>
          <w:bCs/>
          <w:color w:val="0A6E3C"/>
          <w:sz w:val="26"/>
          <w:szCs w:val="26"/>
        </w:rPr>
        <w:t xml:space="preserve">7.2 Large Transaction Reports</w:t>
      </w:r>
    </w:p>
    <w:p>
      <w:pPr>
        <w:spacing w:after="120" w:before="0"/>
        <w:jc w:val="both"/>
      </w:pPr>
      <w:r>
        <w:rPr>
          <w:rFonts w:ascii="Calibri" w:cs="Calibri" w:eastAsia="Calibri" w:hAnsi="Calibri"/>
          <w:b w:val="false"/>
          <w:bCs w:val="false"/>
          <w:i w:val="false"/>
          <w:iCs w:val="false"/>
          <w:color w:val="333333"/>
          <w:sz w:val="22"/>
          <w:szCs w:val="22"/>
        </w:rPr>
        <w:t xml:space="preserve">Monde will file reports for transactions exceeding thresholds prescribed by the Bank of Zambia and FIC. The current threshold and reporting procedures will be implemented as directed by the regulatory authorities.</w:t>
      </w:r>
    </w:p>
    <w:p>
      <w:pPr>
        <w:pStyle w:val="Heading2"/>
        <w:spacing w:after="120" w:before="300"/>
      </w:pPr>
      <w:r>
        <w:rPr>
          <w:rFonts w:ascii="Calibri" w:cs="Calibri" w:eastAsia="Calibri" w:hAnsi="Calibri"/>
          <w:b/>
          <w:bCs/>
          <w:color w:val="0A6E3C"/>
          <w:sz w:val="26"/>
          <w:szCs w:val="26"/>
        </w:rPr>
        <w:t xml:space="preserve">7.3 Cash Transaction Reports</w:t>
      </w:r>
    </w:p>
    <w:p>
      <w:pPr>
        <w:spacing w:after="120" w:before="0"/>
        <w:jc w:val="both"/>
      </w:pPr>
      <w:r>
        <w:rPr>
          <w:rFonts w:ascii="Calibri" w:cs="Calibri" w:eastAsia="Calibri" w:hAnsi="Calibri"/>
          <w:b w:val="false"/>
          <w:bCs w:val="false"/>
          <w:i w:val="false"/>
          <w:iCs w:val="false"/>
          <w:color w:val="333333"/>
          <w:sz w:val="22"/>
          <w:szCs w:val="22"/>
        </w:rPr>
        <w:t xml:space="preserve">Agent cash-in and cash-out transactions exceeding prescribed thresholds will be reported to the FIC as required.</w:t>
      </w:r>
    </w:p>
    <w:p>
      <w:pPr>
        <w:pStyle w:val="Heading2"/>
        <w:spacing w:after="120" w:before="300"/>
      </w:pPr>
      <w:r>
        <w:rPr>
          <w:rFonts w:ascii="Calibri" w:cs="Calibri" w:eastAsia="Calibri" w:hAnsi="Calibri"/>
          <w:b/>
          <w:bCs/>
          <w:color w:val="0A6E3C"/>
          <w:sz w:val="26"/>
          <w:szCs w:val="26"/>
        </w:rPr>
        <w:t xml:space="preserve">7.4 Tipping-Off Prohibition</w:t>
      </w:r>
    </w:p>
    <w:p>
      <w:pPr>
        <w:spacing w:after="120" w:before="0"/>
        <w:jc w:val="both"/>
      </w:pPr>
      <w:r>
        <w:rPr>
          <w:rFonts w:ascii="Calibri" w:cs="Calibri" w:eastAsia="Calibri" w:hAnsi="Calibri"/>
          <w:b w:val="false"/>
          <w:bCs w:val="false"/>
          <w:i w:val="false"/>
          <w:iCs w:val="false"/>
          <w:color w:val="333333"/>
          <w:sz w:val="22"/>
          <w:szCs w:val="22"/>
        </w:rPr>
        <w:t xml:space="preserve">Monde employees and agents are strictly prohibited from disclosing to any person (including the customer) that an STR has been filed or that an investigation is being conducted. Violation of this prohibition is a criminal offence under the Financial Intelligence Centre Act.</w:t>
      </w:r>
    </w:p>
    <w:p>
      <w:r>
        <w:br w:type="page"/>
      </w:r>
    </w:p>
    <w:p>
      <w:pPr>
        <w:pStyle w:val="Heading1"/>
        <w:spacing w:after="120" w:before="300"/>
      </w:pPr>
      <w:r>
        <w:rPr>
          <w:rFonts w:ascii="Calibri" w:cs="Calibri" w:eastAsia="Calibri" w:hAnsi="Calibri"/>
          <w:b/>
          <w:bCs/>
          <w:color w:val="0A6E3C"/>
          <w:sz w:val="32"/>
          <w:szCs w:val="32"/>
        </w:rPr>
        <w:t xml:space="preserve">8. SANCTIONS SCREENING</w:t>
      </w:r>
    </w:p>
    <w:p>
      <w:pPr>
        <w:spacing w:after="120" w:before="0"/>
        <w:jc w:val="both"/>
      </w:pPr>
      <w:r>
        <w:rPr>
          <w:rFonts w:ascii="Calibri" w:cs="Calibri" w:eastAsia="Calibri" w:hAnsi="Calibri"/>
          <w:b w:val="false"/>
          <w:bCs w:val="false"/>
          <w:i w:val="false"/>
          <w:iCs w:val="false"/>
          <w:color w:val="333333"/>
          <w:sz w:val="22"/>
          <w:szCs w:val="22"/>
        </w:rPr>
        <w:t xml:space="preserve">Monde will implement screening against:</w:t>
      </w:r>
    </w:p>
    <w:p>
      <w:pPr>
        <w:pStyle w:val="ListParagraph"/>
        <w:numPr>
          <w:ilvl w:val="0"/>
          <w:numId w:val="1"/>
        </w:numPr>
        <w:spacing w:after="60"/>
      </w:pPr>
      <w:r>
        <w:rPr>
          <w:rFonts w:ascii="Calibri" w:cs="Calibri" w:eastAsia="Calibri" w:hAnsi="Calibri"/>
          <w:color w:val="333333"/>
          <w:sz w:val="22"/>
          <w:szCs w:val="22"/>
        </w:rPr>
        <w:t xml:space="preserve">United Nations Security Council Consolidated Sanctions List</w:t>
      </w:r>
    </w:p>
    <w:p>
      <w:pPr>
        <w:pStyle w:val="ListParagraph"/>
        <w:numPr>
          <w:ilvl w:val="0"/>
          <w:numId w:val="1"/>
        </w:numPr>
        <w:spacing w:after="60"/>
      </w:pPr>
      <w:r>
        <w:rPr>
          <w:rFonts w:ascii="Calibri" w:cs="Calibri" w:eastAsia="Calibri" w:hAnsi="Calibri"/>
          <w:color w:val="333333"/>
          <w:sz w:val="22"/>
          <w:szCs w:val="22"/>
        </w:rPr>
        <w:t xml:space="preserve">Financial Intelligence Centre designated persons list</w:t>
      </w:r>
    </w:p>
    <w:p>
      <w:pPr>
        <w:pStyle w:val="ListParagraph"/>
        <w:numPr>
          <w:ilvl w:val="0"/>
          <w:numId w:val="1"/>
        </w:numPr>
        <w:spacing w:after="60"/>
      </w:pPr>
      <w:r>
        <w:rPr>
          <w:rFonts w:ascii="Calibri" w:cs="Calibri" w:eastAsia="Calibri" w:hAnsi="Calibri"/>
          <w:color w:val="333333"/>
          <w:sz w:val="22"/>
          <w:szCs w:val="22"/>
        </w:rPr>
        <w:t xml:space="preserve">Any other sanctions lists as directed by the Bank of Zambia</w:t>
      </w:r>
    </w:p>
    <w:p>
      <w:pPr>
        <w:spacing w:after="120" w:before="0"/>
        <w:jc w:val="both"/>
      </w:pPr>
      <w:r>
        <w:rPr>
          <w:rFonts w:ascii="Calibri" w:cs="Calibri" w:eastAsia="Calibri" w:hAnsi="Calibri"/>
          <w:b w:val="false"/>
          <w:bCs w:val="false"/>
          <w:i w:val="false"/>
          <w:iCs w:val="false"/>
          <w:color w:val="333333"/>
          <w:sz w:val="22"/>
          <w:szCs w:val="22"/>
        </w:rPr>
        <w:t xml:space="preserve">Screening will be conducted:</w:t>
      </w:r>
    </w:p>
    <w:p>
      <w:pPr>
        <w:pStyle w:val="ListParagraph"/>
        <w:numPr>
          <w:ilvl w:val="0"/>
          <w:numId w:val="1"/>
        </w:numPr>
        <w:spacing w:after="60"/>
      </w:pPr>
      <w:r>
        <w:rPr>
          <w:rFonts w:ascii="Calibri" w:cs="Calibri" w:eastAsia="Calibri" w:hAnsi="Calibri"/>
          <w:color w:val="333333"/>
          <w:sz w:val="22"/>
          <w:szCs w:val="22"/>
        </w:rPr>
        <w:t xml:space="preserve">At customer onboarding (for Gold and Platinum tier upgrades)</w:t>
      </w:r>
    </w:p>
    <w:p>
      <w:pPr>
        <w:pStyle w:val="ListParagraph"/>
        <w:numPr>
          <w:ilvl w:val="0"/>
          <w:numId w:val="1"/>
        </w:numPr>
        <w:spacing w:after="60"/>
      </w:pPr>
      <w:r>
        <w:rPr>
          <w:rFonts w:ascii="Calibri" w:cs="Calibri" w:eastAsia="Calibri" w:hAnsi="Calibri"/>
          <w:color w:val="333333"/>
          <w:sz w:val="22"/>
          <w:szCs w:val="22"/>
        </w:rPr>
        <w:t xml:space="preserve">Periodically for all existing customers (quarterly)</w:t>
      </w:r>
    </w:p>
    <w:p>
      <w:pPr>
        <w:pStyle w:val="ListParagraph"/>
        <w:numPr>
          <w:ilvl w:val="0"/>
          <w:numId w:val="1"/>
        </w:numPr>
        <w:spacing w:after="60"/>
      </w:pPr>
      <w:r>
        <w:rPr>
          <w:rFonts w:ascii="Calibri" w:cs="Calibri" w:eastAsia="Calibri" w:hAnsi="Calibri"/>
          <w:color w:val="333333"/>
          <w:sz w:val="22"/>
          <w:szCs w:val="22"/>
        </w:rPr>
        <w:t xml:space="preserve">When sanctions lists are updated</w:t>
      </w:r>
    </w:p>
    <w:p>
      <w:pPr>
        <w:pStyle w:val="Heading1"/>
        <w:spacing w:after="120" w:before="300"/>
      </w:pPr>
      <w:r>
        <w:rPr>
          <w:rFonts w:ascii="Calibri" w:cs="Calibri" w:eastAsia="Calibri" w:hAnsi="Calibri"/>
          <w:b/>
          <w:bCs/>
          <w:color w:val="0A6E3C"/>
          <w:sz w:val="32"/>
          <w:szCs w:val="32"/>
        </w:rPr>
        <w:t xml:space="preserve">9. RECORD KEEPING</w:t>
      </w:r>
    </w:p>
    <w:p>
      <w:pPr>
        <w:spacing w:after="120" w:before="0"/>
        <w:jc w:val="both"/>
      </w:pPr>
      <w:r>
        <w:rPr>
          <w:rFonts w:ascii="Calibri" w:cs="Calibri" w:eastAsia="Calibri" w:hAnsi="Calibri"/>
          <w:b w:val="false"/>
          <w:bCs w:val="false"/>
          <w:i w:val="false"/>
          <w:iCs w:val="false"/>
          <w:color w:val="333333"/>
          <w:sz w:val="22"/>
          <w:szCs w:val="22"/>
        </w:rPr>
        <w:t xml:space="preserve">Monde maintains the following records in compliance with regulatory requirements:</w:t>
      </w:r>
    </w:p>
    <w:p>
      <w:pPr>
        <w:pStyle w:val="ListParagraph"/>
        <w:numPr>
          <w:ilvl w:val="0"/>
          <w:numId w:val="1"/>
        </w:numPr>
        <w:spacing w:after="60"/>
      </w:pPr>
      <w:r>
        <w:rPr>
          <w:rFonts w:ascii="Calibri" w:cs="Calibri" w:eastAsia="Calibri" w:hAnsi="Calibri"/>
          <w:color w:val="333333"/>
          <w:sz w:val="22"/>
          <w:szCs w:val="22"/>
        </w:rPr>
        <w:t xml:space="preserve">Customer identification records: Retained for the duration of the business relationship plus 7 years after account closure</w:t>
      </w:r>
    </w:p>
    <w:p>
      <w:pPr>
        <w:pStyle w:val="ListParagraph"/>
        <w:numPr>
          <w:ilvl w:val="0"/>
          <w:numId w:val="1"/>
        </w:numPr>
        <w:spacing w:after="60"/>
      </w:pPr>
      <w:r>
        <w:rPr>
          <w:rFonts w:ascii="Calibri" w:cs="Calibri" w:eastAsia="Calibri" w:hAnsi="Calibri"/>
          <w:color w:val="333333"/>
          <w:sz w:val="22"/>
          <w:szCs w:val="22"/>
        </w:rPr>
        <w:t xml:space="preserve">Transaction records: Retained for a minimum of 10 years from the date of the transaction</w:t>
      </w:r>
    </w:p>
    <w:p>
      <w:pPr>
        <w:pStyle w:val="ListParagraph"/>
        <w:numPr>
          <w:ilvl w:val="0"/>
          <w:numId w:val="1"/>
        </w:numPr>
        <w:spacing w:after="60"/>
      </w:pPr>
      <w:r>
        <w:rPr>
          <w:rFonts w:ascii="Calibri" w:cs="Calibri" w:eastAsia="Calibri" w:hAnsi="Calibri"/>
          <w:color w:val="333333"/>
          <w:sz w:val="22"/>
          <w:szCs w:val="22"/>
        </w:rPr>
        <w:t xml:space="preserve">STRs and related documentation: Retained indefinitely</w:t>
      </w:r>
    </w:p>
    <w:p>
      <w:pPr>
        <w:pStyle w:val="ListParagraph"/>
        <w:numPr>
          <w:ilvl w:val="0"/>
          <w:numId w:val="1"/>
        </w:numPr>
        <w:spacing w:after="60"/>
      </w:pPr>
      <w:r>
        <w:rPr>
          <w:rFonts w:ascii="Calibri" w:cs="Calibri" w:eastAsia="Calibri" w:hAnsi="Calibri"/>
          <w:color w:val="333333"/>
          <w:sz w:val="22"/>
          <w:szCs w:val="22"/>
        </w:rPr>
        <w:t xml:space="preserve">Internal investigation records: Retained for a minimum of 10 years</w:t>
      </w:r>
    </w:p>
    <w:p>
      <w:pPr>
        <w:pStyle w:val="ListParagraph"/>
        <w:numPr>
          <w:ilvl w:val="0"/>
          <w:numId w:val="1"/>
        </w:numPr>
        <w:spacing w:after="60"/>
      </w:pPr>
      <w:r>
        <w:rPr>
          <w:rFonts w:ascii="Calibri" w:cs="Calibri" w:eastAsia="Calibri" w:hAnsi="Calibri"/>
          <w:color w:val="333333"/>
          <w:sz w:val="22"/>
          <w:szCs w:val="22"/>
        </w:rPr>
        <w:t xml:space="preserve">Training records: Retained for the duration of employment plus 5 years</w:t>
      </w:r>
    </w:p>
    <w:p>
      <w:pPr>
        <w:spacing w:after="120" w:before="0"/>
        <w:jc w:val="both"/>
      </w:pPr>
      <w:r>
        <w:rPr>
          <w:rFonts w:ascii="Calibri" w:cs="Calibri" w:eastAsia="Calibri" w:hAnsi="Calibri"/>
          <w:b w:val="false"/>
          <w:bCs w:val="false"/>
          <w:i w:val="false"/>
          <w:iCs w:val="false"/>
          <w:color w:val="333333"/>
          <w:sz w:val="22"/>
          <w:szCs w:val="22"/>
        </w:rPr>
        <w:t xml:space="preserve">All records are stored in encrypted form in the Monde database with automated backups and are available for inspection by the Bank of Zambia, FIC, and other authorised bodies upon request.</w:t>
      </w:r>
    </w:p>
    <w:p>
      <w:pPr>
        <w:pStyle w:val="Heading1"/>
        <w:spacing w:after="120" w:before="300"/>
      </w:pPr>
      <w:r>
        <w:rPr>
          <w:rFonts w:ascii="Calibri" w:cs="Calibri" w:eastAsia="Calibri" w:hAnsi="Calibri"/>
          <w:b/>
          <w:bCs/>
          <w:color w:val="0A6E3C"/>
          <w:sz w:val="32"/>
          <w:szCs w:val="32"/>
        </w:rPr>
        <w:t xml:space="preserve">10. STAFF TRAINING</w:t>
      </w:r>
    </w:p>
    <w:p>
      <w:pPr>
        <w:pStyle w:val="Heading2"/>
        <w:spacing w:after="120" w:before="300"/>
      </w:pPr>
      <w:r>
        <w:rPr>
          <w:rFonts w:ascii="Calibri" w:cs="Calibri" w:eastAsia="Calibri" w:hAnsi="Calibri"/>
          <w:b/>
          <w:bCs/>
          <w:color w:val="0A6E3C"/>
          <w:sz w:val="26"/>
          <w:szCs w:val="26"/>
        </w:rPr>
        <w:t xml:space="preserve">10.1 Training Programme</w:t>
      </w:r>
    </w:p>
    <w:p>
      <w:pPr>
        <w:spacing w:after="120" w:before="0"/>
        <w:jc w:val="both"/>
      </w:pPr>
      <w:r>
        <w:rPr>
          <w:rFonts w:ascii="Calibri" w:cs="Calibri" w:eastAsia="Calibri" w:hAnsi="Calibri"/>
          <w:b w:val="false"/>
          <w:bCs w:val="false"/>
          <w:i w:val="false"/>
          <w:iCs w:val="false"/>
          <w:color w:val="333333"/>
          <w:sz w:val="22"/>
          <w:szCs w:val="22"/>
        </w:rPr>
        <w:t xml:space="preserve">All Monde employees and agents are required to complete AML/CFT training:</w:t>
      </w:r>
    </w:p>
    <w:p>
      <w:pPr>
        <w:pStyle w:val="ListParagraph"/>
        <w:numPr>
          <w:ilvl w:val="0"/>
          <w:numId w:val="1"/>
        </w:numPr>
        <w:spacing w:after="60"/>
      </w:pPr>
      <w:r>
        <w:rPr>
          <w:rFonts w:ascii="Calibri" w:cs="Calibri" w:eastAsia="Calibri" w:hAnsi="Calibri"/>
          <w:color w:val="333333"/>
          <w:sz w:val="22"/>
          <w:szCs w:val="22"/>
        </w:rPr>
        <w:t xml:space="preserve">Initial Training: Within 30 days of employment/engagement, covering AML/CFT laws, this policy, red flags, and reporting procedures</w:t>
      </w:r>
    </w:p>
    <w:p>
      <w:pPr>
        <w:pStyle w:val="ListParagraph"/>
        <w:numPr>
          <w:ilvl w:val="0"/>
          <w:numId w:val="1"/>
        </w:numPr>
        <w:spacing w:after="60"/>
      </w:pPr>
      <w:r>
        <w:rPr>
          <w:rFonts w:ascii="Calibri" w:cs="Calibri" w:eastAsia="Calibri" w:hAnsi="Calibri"/>
          <w:color w:val="333333"/>
          <w:sz w:val="22"/>
          <w:szCs w:val="22"/>
        </w:rPr>
        <w:t xml:space="preserve">Annual Refresher: All staff complete annual refresher training</w:t>
      </w:r>
    </w:p>
    <w:p>
      <w:pPr>
        <w:pStyle w:val="ListParagraph"/>
        <w:numPr>
          <w:ilvl w:val="0"/>
          <w:numId w:val="1"/>
        </w:numPr>
        <w:spacing w:after="60"/>
      </w:pPr>
      <w:r>
        <w:rPr>
          <w:rFonts w:ascii="Calibri" w:cs="Calibri" w:eastAsia="Calibri" w:hAnsi="Calibri"/>
          <w:color w:val="333333"/>
          <w:sz w:val="22"/>
          <w:szCs w:val="22"/>
        </w:rPr>
        <w:t xml:space="preserve">Role-Specific Training: Additional training for staff in high-risk roles (compliance, customer service, agent management)</w:t>
      </w:r>
    </w:p>
    <w:p>
      <w:pPr>
        <w:pStyle w:val="ListParagraph"/>
        <w:numPr>
          <w:ilvl w:val="0"/>
          <w:numId w:val="1"/>
        </w:numPr>
        <w:spacing w:after="60"/>
      </w:pPr>
      <w:r>
        <w:rPr>
          <w:rFonts w:ascii="Calibri" w:cs="Calibri" w:eastAsia="Calibri" w:hAnsi="Calibri"/>
          <w:color w:val="333333"/>
          <w:sz w:val="22"/>
          <w:szCs w:val="22"/>
        </w:rPr>
        <w:t xml:space="preserve">Agent Training: All agents complete mandatory training before activation, covering AML/CFT obligations, customer identification requirements, and reporting procedures</w:t>
      </w:r>
    </w:p>
    <w:p>
      <w:pPr>
        <w:pStyle w:val="Heading2"/>
        <w:spacing w:after="120" w:before="300"/>
      </w:pPr>
      <w:r>
        <w:rPr>
          <w:rFonts w:ascii="Calibri" w:cs="Calibri" w:eastAsia="Calibri" w:hAnsi="Calibri"/>
          <w:b/>
          <w:bCs/>
          <w:color w:val="0A6E3C"/>
          <w:sz w:val="26"/>
          <w:szCs w:val="26"/>
        </w:rPr>
        <w:t xml:space="preserve">10.2 Training Records</w:t>
      </w:r>
    </w:p>
    <w:p>
      <w:pPr>
        <w:spacing w:after="120" w:before="0"/>
        <w:jc w:val="both"/>
      </w:pPr>
      <w:r>
        <w:rPr>
          <w:rFonts w:ascii="Calibri" w:cs="Calibri" w:eastAsia="Calibri" w:hAnsi="Calibri"/>
          <w:b w:val="false"/>
          <w:bCs w:val="false"/>
          <w:i w:val="false"/>
          <w:iCs w:val="false"/>
          <w:color w:val="333333"/>
          <w:sz w:val="22"/>
          <w:szCs w:val="22"/>
        </w:rPr>
        <w:t xml:space="preserve">Records of all training sessions are maintained, including:</w:t>
      </w:r>
    </w:p>
    <w:p>
      <w:pPr>
        <w:pStyle w:val="ListParagraph"/>
        <w:numPr>
          <w:ilvl w:val="0"/>
          <w:numId w:val="1"/>
        </w:numPr>
        <w:spacing w:after="60"/>
      </w:pPr>
      <w:r>
        <w:rPr>
          <w:rFonts w:ascii="Calibri" w:cs="Calibri" w:eastAsia="Calibri" w:hAnsi="Calibri"/>
          <w:color w:val="333333"/>
          <w:sz w:val="22"/>
          <w:szCs w:val="22"/>
        </w:rPr>
        <w:t xml:space="preserve">Date and content of training</w:t>
      </w:r>
    </w:p>
    <w:p>
      <w:pPr>
        <w:pStyle w:val="ListParagraph"/>
        <w:numPr>
          <w:ilvl w:val="0"/>
          <w:numId w:val="1"/>
        </w:numPr>
        <w:spacing w:after="60"/>
      </w:pPr>
      <w:r>
        <w:rPr>
          <w:rFonts w:ascii="Calibri" w:cs="Calibri" w:eastAsia="Calibri" w:hAnsi="Calibri"/>
          <w:color w:val="333333"/>
          <w:sz w:val="22"/>
          <w:szCs w:val="22"/>
        </w:rPr>
        <w:t xml:space="preserve">Names and roles of attendees</w:t>
      </w:r>
    </w:p>
    <w:p>
      <w:pPr>
        <w:pStyle w:val="ListParagraph"/>
        <w:numPr>
          <w:ilvl w:val="0"/>
          <w:numId w:val="1"/>
        </w:numPr>
        <w:spacing w:after="60"/>
      </w:pPr>
      <w:r>
        <w:rPr>
          <w:rFonts w:ascii="Calibri" w:cs="Calibri" w:eastAsia="Calibri" w:hAnsi="Calibri"/>
          <w:color w:val="333333"/>
          <w:sz w:val="22"/>
          <w:szCs w:val="22"/>
        </w:rPr>
        <w:t xml:space="preserve">Assessment results (where applicable)</w:t>
      </w:r>
    </w:p>
    <w:p>
      <w:pPr>
        <w:pStyle w:val="ListParagraph"/>
        <w:numPr>
          <w:ilvl w:val="0"/>
          <w:numId w:val="1"/>
        </w:numPr>
        <w:spacing w:after="60"/>
      </w:pPr>
      <w:r>
        <w:rPr>
          <w:rFonts w:ascii="Calibri" w:cs="Calibri" w:eastAsia="Calibri" w:hAnsi="Calibri"/>
          <w:color w:val="333333"/>
          <w:sz w:val="22"/>
          <w:szCs w:val="22"/>
        </w:rPr>
        <w:t xml:space="preserve">Trainer qualifications</w:t>
      </w:r>
    </w:p>
    <w:p>
      <w:pPr>
        <w:pStyle w:val="Heading1"/>
        <w:spacing w:after="120" w:before="300"/>
      </w:pPr>
      <w:r>
        <w:rPr>
          <w:rFonts w:ascii="Calibri" w:cs="Calibri" w:eastAsia="Calibri" w:hAnsi="Calibri"/>
          <w:b/>
          <w:bCs/>
          <w:color w:val="0A6E3C"/>
          <w:sz w:val="32"/>
          <w:szCs w:val="32"/>
        </w:rPr>
        <w:t xml:space="preserve">11. POLICY REVIEW AND UPDATES</w:t>
      </w:r>
    </w:p>
    <w:p>
      <w:pPr>
        <w:spacing w:after="120" w:before="0"/>
        <w:jc w:val="both"/>
      </w:pPr>
      <w:r>
        <w:rPr>
          <w:rFonts w:ascii="Calibri" w:cs="Calibri" w:eastAsia="Calibri" w:hAnsi="Calibri"/>
          <w:b w:val="false"/>
          <w:bCs w:val="false"/>
          <w:i w:val="false"/>
          <w:iCs w:val="false"/>
          <w:color w:val="333333"/>
          <w:sz w:val="22"/>
          <w:szCs w:val="22"/>
        </w:rPr>
        <w:t xml:space="preserve">This AML/CFT policy will be reviewed:</w:t>
      </w:r>
    </w:p>
    <w:p>
      <w:pPr>
        <w:pStyle w:val="ListParagraph"/>
        <w:numPr>
          <w:ilvl w:val="0"/>
          <w:numId w:val="1"/>
        </w:numPr>
        <w:spacing w:after="60"/>
      </w:pPr>
      <w:r>
        <w:rPr>
          <w:rFonts w:ascii="Calibri" w:cs="Calibri" w:eastAsia="Calibri" w:hAnsi="Calibri"/>
          <w:color w:val="333333"/>
          <w:sz w:val="22"/>
          <w:szCs w:val="22"/>
        </w:rPr>
        <w:t xml:space="preserve">Annually by the CCO and approved by the Board of Directors</w:t>
      </w:r>
    </w:p>
    <w:p>
      <w:pPr>
        <w:pStyle w:val="ListParagraph"/>
        <w:numPr>
          <w:ilvl w:val="0"/>
          <w:numId w:val="1"/>
        </w:numPr>
        <w:spacing w:after="60"/>
      </w:pPr>
      <w:r>
        <w:rPr>
          <w:rFonts w:ascii="Calibri" w:cs="Calibri" w:eastAsia="Calibri" w:hAnsi="Calibri"/>
          <w:color w:val="333333"/>
          <w:sz w:val="22"/>
          <w:szCs w:val="22"/>
        </w:rPr>
        <w:t xml:space="preserve">Whenever there are material changes to AML/CFT laws or regulations</w:t>
      </w:r>
    </w:p>
    <w:p>
      <w:pPr>
        <w:pStyle w:val="ListParagraph"/>
        <w:numPr>
          <w:ilvl w:val="0"/>
          <w:numId w:val="1"/>
        </w:numPr>
        <w:spacing w:after="60"/>
      </w:pPr>
      <w:r>
        <w:rPr>
          <w:rFonts w:ascii="Calibri" w:cs="Calibri" w:eastAsia="Calibri" w:hAnsi="Calibri"/>
          <w:color w:val="333333"/>
          <w:sz w:val="22"/>
          <w:szCs w:val="22"/>
        </w:rPr>
        <w:t xml:space="preserve">Following any significant compliance incident or regulatory finding</w:t>
      </w:r>
    </w:p>
    <w:p>
      <w:pPr>
        <w:pStyle w:val="ListParagraph"/>
        <w:numPr>
          <w:ilvl w:val="0"/>
          <w:numId w:val="1"/>
        </w:numPr>
        <w:spacing w:after="60"/>
      </w:pPr>
      <w:r>
        <w:rPr>
          <w:rFonts w:ascii="Calibri" w:cs="Calibri" w:eastAsia="Calibri" w:hAnsi="Calibri"/>
          <w:color w:val="333333"/>
          <w:sz w:val="22"/>
          <w:szCs w:val="22"/>
        </w:rPr>
        <w:t xml:space="preserve">When new products or services are introduced</w:t>
      </w:r>
    </w:p>
    <w:p>
      <w:pPr>
        <w:pStyle w:val="ListParagraph"/>
        <w:numPr>
          <w:ilvl w:val="0"/>
          <w:numId w:val="1"/>
        </w:numPr>
        <w:spacing w:after="60"/>
      </w:pPr>
      <w:r>
        <w:rPr>
          <w:rFonts w:ascii="Calibri" w:cs="Calibri" w:eastAsia="Calibri" w:hAnsi="Calibri"/>
          <w:color w:val="333333"/>
          <w:sz w:val="22"/>
          <w:szCs w:val="22"/>
        </w:rPr>
        <w:t xml:space="preserve">When the risk assessment identifies changes in the risk profile</w:t>
      </w:r>
    </w:p>
    <w:p>
      <w:pPr>
        <w:spacing w:after="120" w:before="0"/>
        <w:jc w:val="both"/>
      </w:pPr>
      <w:r>
        <w:rPr>
          <w:rFonts w:ascii="Calibri" w:cs="Calibri" w:eastAsia="Calibri" w:hAnsi="Calibri"/>
          <w:b w:val="false"/>
          <w:bCs w:val="false"/>
          <w:i w:val="false"/>
          <w:iCs w:val="false"/>
          <w:color w:val="333333"/>
          <w:sz w:val="22"/>
          <w:szCs w:val="22"/>
        </w:rPr>
        <w:t xml:space="preserve">All policy updates will be communicated to staff and agents, and additional training will be provided as necessary.</w:t>
      </w:r>
    </w:p>
    <w:p>
      <w:pPr>
        <w:pStyle w:val="Heading1"/>
        <w:spacing w:after="120" w:before="300"/>
      </w:pPr>
      <w:r>
        <w:rPr>
          <w:rFonts w:ascii="Calibri" w:cs="Calibri" w:eastAsia="Calibri" w:hAnsi="Calibri"/>
          <w:b/>
          <w:bCs/>
          <w:color w:val="0A6E3C"/>
          <w:sz w:val="32"/>
          <w:szCs w:val="32"/>
        </w:rPr>
        <w:t xml:space="preserve">12. COMPLIANCE MONITORING</w:t>
      </w:r>
    </w:p>
    <w:p>
      <w:pPr>
        <w:spacing w:after="120" w:before="0"/>
        <w:jc w:val="both"/>
      </w:pPr>
      <w:r>
        <w:rPr>
          <w:rFonts w:ascii="Calibri" w:cs="Calibri" w:eastAsia="Calibri" w:hAnsi="Calibri"/>
          <w:b w:val="false"/>
          <w:bCs w:val="false"/>
          <w:i w:val="false"/>
          <w:iCs w:val="false"/>
          <w:color w:val="333333"/>
          <w:sz w:val="22"/>
          <w:szCs w:val="22"/>
        </w:rPr>
        <w:t xml:space="preserve">The CCO will conduct regular compliance monitoring activities:</w:t>
      </w:r>
    </w:p>
    <w:p>
      <w:pPr>
        <w:pStyle w:val="ListParagraph"/>
        <w:numPr>
          <w:ilvl w:val="0"/>
          <w:numId w:val="1"/>
        </w:numPr>
        <w:spacing w:after="60"/>
      </w:pPr>
      <w:r>
        <w:rPr>
          <w:rFonts w:ascii="Calibri" w:cs="Calibri" w:eastAsia="Calibri" w:hAnsi="Calibri"/>
          <w:color w:val="333333"/>
          <w:sz w:val="22"/>
          <w:szCs w:val="22"/>
        </w:rPr>
        <w:t xml:space="preserve">Quarterly review of transaction monitoring alerts and outcomes</w:t>
      </w:r>
    </w:p>
    <w:p>
      <w:pPr>
        <w:pStyle w:val="ListParagraph"/>
        <w:numPr>
          <w:ilvl w:val="0"/>
          <w:numId w:val="1"/>
        </w:numPr>
        <w:spacing w:after="60"/>
      </w:pPr>
      <w:r>
        <w:rPr>
          <w:rFonts w:ascii="Calibri" w:cs="Calibri" w:eastAsia="Calibri" w:hAnsi="Calibri"/>
          <w:color w:val="333333"/>
          <w:sz w:val="22"/>
          <w:szCs w:val="22"/>
        </w:rPr>
        <w:t xml:space="preserve">Annual independent audit of AML/CFT compliance</w:t>
      </w:r>
    </w:p>
    <w:p>
      <w:pPr>
        <w:pStyle w:val="ListParagraph"/>
        <w:numPr>
          <w:ilvl w:val="0"/>
          <w:numId w:val="1"/>
        </w:numPr>
        <w:spacing w:after="60"/>
      </w:pPr>
      <w:r>
        <w:rPr>
          <w:rFonts w:ascii="Calibri" w:cs="Calibri" w:eastAsia="Calibri" w:hAnsi="Calibri"/>
          <w:color w:val="333333"/>
          <w:sz w:val="22"/>
          <w:szCs w:val="22"/>
        </w:rPr>
        <w:t xml:space="preserve">Regular testing of monitoring systems and controls</w:t>
      </w:r>
    </w:p>
    <w:p>
      <w:pPr>
        <w:pStyle w:val="ListParagraph"/>
        <w:numPr>
          <w:ilvl w:val="0"/>
          <w:numId w:val="1"/>
        </w:numPr>
        <w:spacing w:after="60"/>
      </w:pPr>
      <w:r>
        <w:rPr>
          <w:rFonts w:ascii="Calibri" w:cs="Calibri" w:eastAsia="Calibri" w:hAnsi="Calibri"/>
          <w:color w:val="333333"/>
          <w:sz w:val="22"/>
          <w:szCs w:val="22"/>
        </w:rPr>
        <w:t xml:space="preserve">Agent compliance audits (at least annually for each agent)</w:t>
      </w:r>
    </w:p>
    <w:p>
      <w:pPr>
        <w:pStyle w:val="ListParagraph"/>
        <w:numPr>
          <w:ilvl w:val="0"/>
          <w:numId w:val="1"/>
        </w:numPr>
        <w:spacing w:after="60"/>
      </w:pPr>
      <w:r>
        <w:rPr>
          <w:rFonts w:ascii="Calibri" w:cs="Calibri" w:eastAsia="Calibri" w:hAnsi="Calibri"/>
          <w:color w:val="333333"/>
          <w:sz w:val="22"/>
          <w:szCs w:val="22"/>
        </w:rPr>
        <w:t xml:space="preserve">Board reporting on compliance status, STR filings, and risk assessment updates</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2026-03-20T08:47:50.912Z</dcterms:created>
  <dcterms:modified xsi:type="dcterms:W3CDTF">2026-03-20T08:47:50.912Z</dcterms:modified>
</cp:coreProperties>
</file>

<file path=docProps/custom.xml><?xml version="1.0" encoding="utf-8"?>
<Properties xmlns="http://schemas.openxmlformats.org/officeDocument/2006/custom-properties" xmlns:vt="http://schemas.openxmlformats.org/officeDocument/2006/docPropsVTypes"/>
</file>