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Organisational Structure</w:t>
      </w:r>
    </w:p>
    <w:p>
      <w:pPr>
        <w:spacing w:after="200" w:before="0"/>
        <w:jc w:val="center"/>
      </w:pPr>
      <w:r>
        <w:rPr>
          <w:rFonts w:ascii="Calibri" w:cs="Calibri" w:eastAsia="Calibri" w:hAnsi="Calibri"/>
          <w:b/>
          <w:bCs/>
          <w:color w:val="666666"/>
          <w:sz w:val="28"/>
          <w:szCs w:val="28"/>
        </w:rPr>
        <w:t xml:space="preserve">Corporate Structure, Staffing
and Outsourcing Arrangements</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describes the organisational structure of Monde Limited, including the corporate hierarchy, staffing plan, outsourcing arrangements, and the relationship between internal departments. This structure is designed to ensure effective governance, regulatory compliance, and operational efficiency.</w:t>
      </w:r>
    </w:p>
    <w:p>
      <w:pPr>
        <w:pStyle w:val="Heading1"/>
        <w:spacing w:after="120" w:before="300"/>
      </w:pPr>
      <w:r>
        <w:rPr>
          <w:rFonts w:ascii="Calibri" w:cs="Calibri" w:eastAsia="Calibri" w:hAnsi="Calibri"/>
          <w:b/>
          <w:bCs/>
          <w:color w:val="0A6E3C"/>
          <w:sz w:val="32"/>
          <w:szCs w:val="32"/>
        </w:rPr>
        <w:t xml:space="preserve">2. CORPORATE STRUCTURE</w:t>
      </w:r>
    </w:p>
    <w:p>
      <w:pPr>
        <w:pStyle w:val="Heading2"/>
        <w:spacing w:after="120" w:before="300"/>
      </w:pPr>
      <w:r>
        <w:rPr>
          <w:rFonts w:ascii="Calibri" w:cs="Calibri" w:eastAsia="Calibri" w:hAnsi="Calibri"/>
          <w:b/>
          <w:bCs/>
          <w:color w:val="0A6E3C"/>
          <w:sz w:val="26"/>
          <w:szCs w:val="26"/>
        </w:rPr>
        <w:t xml:space="preserve">2.1 Legal Entity</w:t>
      </w:r>
    </w:p>
    <w:p>
      <w:pPr>
        <w:spacing w:after="120" w:before="0"/>
        <w:jc w:val="both"/>
      </w:pPr>
      <w:r>
        <w:rPr>
          <w:rFonts w:ascii="Calibri" w:cs="Calibri" w:eastAsia="Calibri" w:hAnsi="Calibri"/>
          <w:b w:val="false"/>
          <w:bCs w:val="false"/>
          <w:i w:val="false"/>
          <w:iCs w:val="false"/>
          <w:color w:val="333333"/>
          <w:sz w:val="22"/>
          <w:szCs w:val="22"/>
        </w:rPr>
        <w:t xml:space="preserve">Monde Limited is a private limited company to be incorporated under the laws of the Republic of Zambia and registered with the Patents and Companies Registration Agency (PACRA). The company is headquartered in Lusaka, Zambia.</w:t>
      </w:r>
    </w:p>
    <w:p>
      <w:pPr>
        <w:pStyle w:val="Heading2"/>
        <w:spacing w:after="120" w:before="300"/>
      </w:pPr>
      <w:r>
        <w:rPr>
          <w:rFonts w:ascii="Calibri" w:cs="Calibri" w:eastAsia="Calibri" w:hAnsi="Calibri"/>
          <w:b/>
          <w:bCs/>
          <w:color w:val="0A6E3C"/>
          <w:sz w:val="26"/>
          <w:szCs w:val="26"/>
        </w:rPr>
        <w:t xml:space="preserve">2.2 Shareholding Structure</w:t>
      </w:r>
    </w:p>
    <w:p>
      <w:pPr>
        <w:spacing w:after="120" w:before="0"/>
        <w:jc w:val="both"/>
      </w:pPr>
      <w:r>
        <w:rPr>
          <w:rFonts w:ascii="Calibri" w:cs="Calibri" w:eastAsia="Calibri" w:hAnsi="Calibri"/>
          <w:b w:val="false"/>
          <w:bCs w:val="false"/>
          <w:i w:val="false"/>
          <w:iCs w:val="false"/>
          <w:color w:val="333333"/>
          <w:sz w:val="22"/>
          <w:szCs w:val="22"/>
        </w:rPr>
        <w:t xml:space="preserve">The shareholding structure of Monde Limited will be disclosed in full in the application form and accompanying documentation. All shareholders will be subject to fit-and-proper assessments as required by the Bank of Zambia. Details of ultimate beneficial owners will be provided with the formal application.</w:t>
      </w:r>
    </w:p>
    <w:p>
      <w:pPr>
        <w:pStyle w:val="Heading2"/>
        <w:spacing w:after="120" w:before="300"/>
      </w:pPr>
      <w:r>
        <w:rPr>
          <w:rFonts w:ascii="Calibri" w:cs="Calibri" w:eastAsia="Calibri" w:hAnsi="Calibri"/>
          <w:b/>
          <w:bCs/>
          <w:color w:val="0A6E3C"/>
          <w:sz w:val="26"/>
          <w:szCs w:val="26"/>
        </w:rPr>
        <w:t xml:space="preserve">2.3 Branches and Points of Service</w:t>
      </w:r>
    </w:p>
    <w:p>
      <w:pPr>
        <w:spacing w:after="120" w:before="0"/>
        <w:jc w:val="both"/>
      </w:pPr>
      <w:r>
        <w:rPr>
          <w:rFonts w:ascii="Calibri" w:cs="Calibri" w:eastAsia="Calibri" w:hAnsi="Calibri"/>
          <w:b w:val="false"/>
          <w:bCs w:val="false"/>
          <w:i w:val="false"/>
          <w:iCs w:val="false"/>
          <w:color w:val="333333"/>
          <w:sz w:val="22"/>
          <w:szCs w:val="22"/>
        </w:rPr>
        <w:t xml:space="preserve">Monde will initially operate from a single head office in Lusaka. The digital nature of the platform means that services are accessible nationwide through the mobile application. Physical service delivery is extended through the agent network.</w:t>
      </w:r>
    </w:p>
    <w:p>
      <w:pPr>
        <w:spacing w:after="120" w:before="0"/>
        <w:jc w:val="both"/>
      </w:pPr>
      <w:r>
        <w:rPr>
          <w:rFonts w:ascii="Calibri" w:cs="Calibri" w:eastAsia="Calibri" w:hAnsi="Calibri"/>
          <w:b w:val="false"/>
          <w:bCs w:val="false"/>
          <w:i w:val="false"/>
          <w:iCs w:val="false"/>
          <w:color w:val="333333"/>
          <w:sz w:val="22"/>
          <w:szCs w:val="22"/>
        </w:rPr>
        <w:t xml:space="preserve">Planned expansion:</w:t>
      </w:r>
    </w:p>
    <w:p>
      <w:pPr>
        <w:pStyle w:val="ListParagraph"/>
        <w:numPr>
          <w:ilvl w:val="0"/>
          <w:numId w:val="1"/>
        </w:numPr>
        <w:spacing w:after="60"/>
      </w:pPr>
      <w:r>
        <w:rPr>
          <w:rFonts w:ascii="Calibri" w:cs="Calibri" w:eastAsia="Calibri" w:hAnsi="Calibri"/>
          <w:color w:val="333333"/>
          <w:sz w:val="22"/>
          <w:szCs w:val="22"/>
        </w:rPr>
        <w:t xml:space="preserve">Year 1: Head office in Lusaka; agent network in Lusaka and Copperbelt</w:t>
      </w:r>
    </w:p>
    <w:p>
      <w:pPr>
        <w:pStyle w:val="ListParagraph"/>
        <w:numPr>
          <w:ilvl w:val="0"/>
          <w:numId w:val="1"/>
        </w:numPr>
        <w:spacing w:after="60"/>
      </w:pPr>
      <w:r>
        <w:rPr>
          <w:rFonts w:ascii="Calibri" w:cs="Calibri" w:eastAsia="Calibri" w:hAnsi="Calibri"/>
          <w:color w:val="333333"/>
          <w:sz w:val="22"/>
          <w:szCs w:val="22"/>
        </w:rPr>
        <w:t xml:space="preserve">Year 2: Regional coordination office in Ndola (Copperbelt); agent expansion to Southern and Central provinces</w:t>
      </w:r>
    </w:p>
    <w:p>
      <w:pPr>
        <w:pStyle w:val="ListParagraph"/>
        <w:numPr>
          <w:ilvl w:val="0"/>
          <w:numId w:val="1"/>
        </w:numPr>
        <w:spacing w:after="60"/>
      </w:pPr>
      <w:r>
        <w:rPr>
          <w:rFonts w:ascii="Calibri" w:cs="Calibri" w:eastAsia="Calibri" w:hAnsi="Calibri"/>
          <w:color w:val="333333"/>
          <w:sz w:val="22"/>
          <w:szCs w:val="22"/>
        </w:rPr>
        <w:t xml:space="preserve">Year 3: Nationwide agent coverage across all 10 provinces</w:t>
      </w:r>
    </w:p>
    <w:p>
      <w:pPr>
        <w:pStyle w:val="Heading1"/>
        <w:spacing w:after="120" w:before="300"/>
      </w:pPr>
      <w:r>
        <w:rPr>
          <w:rFonts w:ascii="Calibri" w:cs="Calibri" w:eastAsia="Calibri" w:hAnsi="Calibri"/>
          <w:b/>
          <w:bCs/>
          <w:color w:val="0A6E3C"/>
          <w:sz w:val="32"/>
          <w:szCs w:val="32"/>
        </w:rPr>
        <w:t xml:space="preserve">3. ORGANISATIONAL CHART</w:t>
      </w:r>
    </w:p>
    <w:p>
      <w:pPr>
        <w:spacing w:after="120" w:before="0"/>
        <w:jc w:val="both"/>
      </w:pPr>
      <w:r>
        <w:rPr>
          <w:rFonts w:ascii="Calibri" w:cs="Calibri" w:eastAsia="Calibri" w:hAnsi="Calibri"/>
          <w:b/>
          <w:bCs/>
          <w:i/>
          <w:iCs/>
          <w:color w:val="333333"/>
          <w:sz w:val="22"/>
          <w:szCs w:val="22"/>
        </w:rPr>
        <w:t xml:space="preserve">[ORGANISATIONAL CHART]</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Board of Directors</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Chief Executive Officer (CEO)</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w:t>
      </w:r>
    </w:p>
    <w:p>
      <w:pPr>
        <w:spacing w:after="120" w:before="0"/>
        <w:jc w:val="both"/>
      </w:pPr>
      <w:r>
        <w:rPr>
          <w:rFonts w:ascii="Calibri" w:cs="Calibri" w:eastAsia="Calibri" w:hAnsi="Calibri"/>
          <w:b w:val="false"/>
          <w:bCs w:val="false"/>
          <w:i w:val="false"/>
          <w:iCs w:val="false"/>
          <w:color w:val="333333"/>
          <w:sz w:val="22"/>
          <w:szCs w:val="22"/>
        </w:rPr>
        <w:t xml:space="preserve">|                |                |                |</w:t>
      </w:r>
    </w:p>
    <w:p>
      <w:pPr>
        <w:spacing w:after="120" w:before="0"/>
        <w:jc w:val="both"/>
      </w:pPr>
      <w:r>
        <w:rPr>
          <w:rFonts w:ascii="Calibri" w:cs="Calibri" w:eastAsia="Calibri" w:hAnsi="Calibri"/>
          <w:b w:val="false"/>
          <w:bCs w:val="false"/>
          <w:i w:val="false"/>
          <w:iCs w:val="false"/>
          <w:color w:val="333333"/>
          <w:sz w:val="22"/>
          <w:szCs w:val="22"/>
        </w:rPr>
        <w:t xml:space="preserve">CFO          CCO          CITO          COO</w:t>
      </w:r>
    </w:p>
    <w:p>
      <w:pPr>
        <w:spacing w:after="120" w:before="0"/>
        <w:jc w:val="both"/>
      </w:pPr>
      <w:r>
        <w:rPr>
          <w:rFonts w:ascii="Calibri" w:cs="Calibri" w:eastAsia="Calibri" w:hAnsi="Calibri"/>
          <w:b w:val="false"/>
          <w:bCs w:val="false"/>
          <w:i w:val="false"/>
          <w:iCs w:val="false"/>
          <w:color w:val="333333"/>
          <w:sz w:val="22"/>
          <w:szCs w:val="22"/>
        </w:rPr>
        <w:t xml:space="preserve">|                |                |                |</w:t>
      </w:r>
    </w:p>
    <w:p>
      <w:pPr>
        <w:spacing w:after="120" w:before="0"/>
        <w:jc w:val="both"/>
      </w:pPr>
      <w:r>
        <w:rPr>
          <w:rFonts w:ascii="Calibri" w:cs="Calibri" w:eastAsia="Calibri" w:hAnsi="Calibri"/>
          <w:b w:val="false"/>
          <w:bCs w:val="false"/>
          <w:i w:val="false"/>
          <w:iCs w:val="false"/>
          <w:color w:val="333333"/>
          <w:sz w:val="22"/>
          <w:szCs w:val="22"/>
        </w:rPr>
        <w:t xml:space="preserve">Finance &amp;    Compliance   Technology   Operations</w:t>
      </w:r>
    </w:p>
    <w:p>
      <w:pPr>
        <w:spacing w:after="120" w:before="0"/>
        <w:jc w:val="both"/>
      </w:pPr>
      <w:r>
        <w:rPr>
          <w:rFonts w:ascii="Calibri" w:cs="Calibri" w:eastAsia="Calibri" w:hAnsi="Calibri"/>
          <w:b w:val="false"/>
          <w:bCs w:val="false"/>
          <w:i w:val="false"/>
          <w:iCs w:val="false"/>
          <w:color w:val="333333"/>
          <w:sz w:val="22"/>
          <w:szCs w:val="22"/>
        </w:rPr>
        <w:t xml:space="preserve">Accounts     &amp; AML        &amp; Dev        &amp; Agents</w:t>
      </w:r>
    </w:p>
    <w:p>
      <w:pPr>
        <w:spacing w:after="200"/>
      </w:pPr>
    </w:p>
    <w:p>
      <w:pPr>
        <w:spacing w:after="120" w:before="0"/>
        <w:jc w:val="both"/>
      </w:pPr>
      <w:r>
        <w:rPr>
          <w:rFonts w:ascii="Calibri" w:cs="Calibri" w:eastAsia="Calibri" w:hAnsi="Calibri"/>
          <w:b w:val="false"/>
          <w:bCs w:val="false"/>
          <w:i/>
          <w:iCs/>
          <w:color w:val="333333"/>
          <w:sz w:val="22"/>
          <w:szCs w:val="22"/>
        </w:rPr>
        <w:t xml:space="preserve">Note: A formal visual organisational chart will be prepared for the Bank of Zambia submission.</w:t>
      </w:r>
    </w:p>
    <w:p>
      <w:r>
        <w:br w:type="page"/>
      </w:r>
    </w:p>
    <w:p>
      <w:pPr>
        <w:pStyle w:val="Heading1"/>
        <w:spacing w:after="120" w:before="300"/>
      </w:pPr>
      <w:r>
        <w:rPr>
          <w:rFonts w:ascii="Calibri" w:cs="Calibri" w:eastAsia="Calibri" w:hAnsi="Calibri"/>
          <w:b/>
          <w:bCs/>
          <w:color w:val="0A6E3C"/>
          <w:sz w:val="32"/>
          <w:szCs w:val="32"/>
        </w:rPr>
        <w:t xml:space="preserve">4. SENIOR MANAGEMENT POSITIONS</w:t>
      </w:r>
    </w:p>
    <w:p>
      <w:pPr>
        <w:pStyle w:val="Heading2"/>
        <w:spacing w:after="120" w:before="300"/>
      </w:pPr>
      <w:r>
        <w:rPr>
          <w:rFonts w:ascii="Calibri" w:cs="Calibri" w:eastAsia="Calibri" w:hAnsi="Calibri"/>
          <w:b/>
          <w:bCs/>
          <w:color w:val="0A6E3C"/>
          <w:sz w:val="26"/>
          <w:szCs w:val="26"/>
        </w:rPr>
        <w:t xml:space="preserve">4.1 Chief Executive Officer (CEO)</w:t>
      </w:r>
    </w:p>
    <w:p>
      <w:pPr>
        <w:spacing w:after="120" w:before="0"/>
        <w:jc w:val="both"/>
      </w:pPr>
      <w:r>
        <w:rPr>
          <w:rFonts w:ascii="Calibri" w:cs="Calibri" w:eastAsia="Calibri" w:hAnsi="Calibri"/>
          <w:b w:val="false"/>
          <w:bCs w:val="false"/>
          <w:i w:val="false"/>
          <w:iCs w:val="false"/>
          <w:color w:val="333333"/>
          <w:sz w:val="22"/>
          <w:szCs w:val="22"/>
        </w:rPr>
        <w:t xml:space="preserve">The CEO is responsible for:</w:t>
      </w:r>
    </w:p>
    <w:p>
      <w:pPr>
        <w:pStyle w:val="ListParagraph"/>
        <w:numPr>
          <w:ilvl w:val="0"/>
          <w:numId w:val="1"/>
        </w:numPr>
        <w:spacing w:after="60"/>
      </w:pPr>
      <w:r>
        <w:rPr>
          <w:rFonts w:ascii="Calibri" w:cs="Calibri" w:eastAsia="Calibri" w:hAnsi="Calibri"/>
          <w:color w:val="333333"/>
          <w:sz w:val="22"/>
          <w:szCs w:val="22"/>
        </w:rPr>
        <w:t xml:space="preserve">Overall strategic direction and management of Monde</w:t>
      </w:r>
    </w:p>
    <w:p>
      <w:pPr>
        <w:pStyle w:val="ListParagraph"/>
        <w:numPr>
          <w:ilvl w:val="0"/>
          <w:numId w:val="1"/>
        </w:numPr>
        <w:spacing w:after="60"/>
      </w:pPr>
      <w:r>
        <w:rPr>
          <w:rFonts w:ascii="Calibri" w:cs="Calibri" w:eastAsia="Calibri" w:hAnsi="Calibri"/>
          <w:color w:val="333333"/>
          <w:sz w:val="22"/>
          <w:szCs w:val="22"/>
        </w:rPr>
        <w:t xml:space="preserve">Reporting to and liaising with the Board of Directors</w:t>
      </w:r>
    </w:p>
    <w:p>
      <w:pPr>
        <w:pStyle w:val="ListParagraph"/>
        <w:numPr>
          <w:ilvl w:val="0"/>
          <w:numId w:val="1"/>
        </w:numPr>
        <w:spacing w:after="60"/>
      </w:pPr>
      <w:r>
        <w:rPr>
          <w:rFonts w:ascii="Calibri" w:cs="Calibri" w:eastAsia="Calibri" w:hAnsi="Calibri"/>
          <w:color w:val="333333"/>
          <w:sz w:val="22"/>
          <w:szCs w:val="22"/>
        </w:rPr>
        <w:t xml:space="preserve">Representing Monde to regulators, partners, and stakeholders</w:t>
      </w:r>
    </w:p>
    <w:p>
      <w:pPr>
        <w:pStyle w:val="ListParagraph"/>
        <w:numPr>
          <w:ilvl w:val="0"/>
          <w:numId w:val="1"/>
        </w:numPr>
        <w:spacing w:after="60"/>
      </w:pPr>
      <w:r>
        <w:rPr>
          <w:rFonts w:ascii="Calibri" w:cs="Calibri" w:eastAsia="Calibri" w:hAnsi="Calibri"/>
          <w:color w:val="333333"/>
          <w:sz w:val="22"/>
          <w:szCs w:val="22"/>
        </w:rPr>
        <w:t xml:space="preserve">Ensuring compliance with all regulatory requirements</w:t>
      </w:r>
    </w:p>
    <w:p>
      <w:pPr>
        <w:pStyle w:val="ListParagraph"/>
        <w:numPr>
          <w:ilvl w:val="0"/>
          <w:numId w:val="1"/>
        </w:numPr>
        <w:spacing w:after="60"/>
      </w:pPr>
      <w:r>
        <w:rPr>
          <w:rFonts w:ascii="Calibri" w:cs="Calibri" w:eastAsia="Calibri" w:hAnsi="Calibri"/>
          <w:color w:val="333333"/>
          <w:sz w:val="22"/>
          <w:szCs w:val="22"/>
        </w:rPr>
        <w:t xml:space="preserve">Overseeing all senior management functions</w:t>
      </w:r>
    </w:p>
    <w:p>
      <w:pPr>
        <w:pStyle w:val="ListParagraph"/>
        <w:numPr>
          <w:ilvl w:val="0"/>
          <w:numId w:val="1"/>
        </w:numPr>
        <w:spacing w:after="60"/>
      </w:pPr>
      <w:r>
        <w:rPr>
          <w:rFonts w:ascii="Calibri" w:cs="Calibri" w:eastAsia="Calibri" w:hAnsi="Calibri"/>
          <w:color w:val="333333"/>
          <w:sz w:val="22"/>
          <w:szCs w:val="22"/>
        </w:rPr>
        <w:t xml:space="preserve">Setting and monitoring key performance indicators</w:t>
      </w:r>
    </w:p>
    <w:p>
      <w:pPr>
        <w:pStyle w:val="Heading2"/>
        <w:spacing w:after="120" w:before="300"/>
      </w:pPr>
      <w:r>
        <w:rPr>
          <w:rFonts w:ascii="Calibri" w:cs="Calibri" w:eastAsia="Calibri" w:hAnsi="Calibri"/>
          <w:b/>
          <w:bCs/>
          <w:color w:val="0A6E3C"/>
          <w:sz w:val="26"/>
          <w:szCs w:val="26"/>
        </w:rPr>
        <w:t xml:space="preserve">4.2 Chief Financial Officer (CFO)</w:t>
      </w:r>
    </w:p>
    <w:p>
      <w:pPr>
        <w:spacing w:after="120" w:before="0"/>
        <w:jc w:val="both"/>
      </w:pPr>
      <w:r>
        <w:rPr>
          <w:rFonts w:ascii="Calibri" w:cs="Calibri" w:eastAsia="Calibri" w:hAnsi="Calibri"/>
          <w:b w:val="false"/>
          <w:bCs w:val="false"/>
          <w:i w:val="false"/>
          <w:iCs w:val="false"/>
          <w:color w:val="333333"/>
          <w:sz w:val="22"/>
          <w:szCs w:val="22"/>
        </w:rPr>
        <w:t xml:space="preserve">The CFO is responsible for:</w:t>
      </w:r>
    </w:p>
    <w:p>
      <w:pPr>
        <w:pStyle w:val="ListParagraph"/>
        <w:numPr>
          <w:ilvl w:val="0"/>
          <w:numId w:val="1"/>
        </w:numPr>
        <w:spacing w:after="60"/>
      </w:pPr>
      <w:r>
        <w:rPr>
          <w:rFonts w:ascii="Calibri" w:cs="Calibri" w:eastAsia="Calibri" w:hAnsi="Calibri"/>
          <w:color w:val="333333"/>
          <w:sz w:val="22"/>
          <w:szCs w:val="22"/>
        </w:rPr>
        <w:t xml:space="preserve">Financial planning, budgeting, and forecasting</w:t>
      </w:r>
    </w:p>
    <w:p>
      <w:pPr>
        <w:pStyle w:val="ListParagraph"/>
        <w:numPr>
          <w:ilvl w:val="0"/>
          <w:numId w:val="1"/>
        </w:numPr>
        <w:spacing w:after="60"/>
      </w:pPr>
      <w:r>
        <w:rPr>
          <w:rFonts w:ascii="Calibri" w:cs="Calibri" w:eastAsia="Calibri" w:hAnsi="Calibri"/>
          <w:color w:val="333333"/>
          <w:sz w:val="22"/>
          <w:szCs w:val="22"/>
        </w:rPr>
        <w:t xml:space="preserve">Financial reporting and preparation of statutory accounts</w:t>
      </w:r>
    </w:p>
    <w:p>
      <w:pPr>
        <w:pStyle w:val="ListParagraph"/>
        <w:numPr>
          <w:ilvl w:val="0"/>
          <w:numId w:val="1"/>
        </w:numPr>
        <w:spacing w:after="60"/>
      </w:pPr>
      <w:r>
        <w:rPr>
          <w:rFonts w:ascii="Calibri" w:cs="Calibri" w:eastAsia="Calibri" w:hAnsi="Calibri"/>
          <w:color w:val="333333"/>
          <w:sz w:val="22"/>
          <w:szCs w:val="22"/>
        </w:rPr>
        <w:t xml:space="preserve">Cash flow management and treasury operations</w:t>
      </w:r>
    </w:p>
    <w:p>
      <w:pPr>
        <w:pStyle w:val="ListParagraph"/>
        <w:numPr>
          <w:ilvl w:val="0"/>
          <w:numId w:val="1"/>
        </w:numPr>
        <w:spacing w:after="60"/>
      </w:pPr>
      <w:r>
        <w:rPr>
          <w:rFonts w:ascii="Calibri" w:cs="Calibri" w:eastAsia="Calibri" w:hAnsi="Calibri"/>
          <w:color w:val="333333"/>
          <w:sz w:val="22"/>
          <w:szCs w:val="22"/>
        </w:rPr>
        <w:t xml:space="preserve">Liaison with external auditors (ZICA-registered)</w:t>
      </w:r>
    </w:p>
    <w:p>
      <w:pPr>
        <w:pStyle w:val="ListParagraph"/>
        <w:numPr>
          <w:ilvl w:val="0"/>
          <w:numId w:val="1"/>
        </w:numPr>
        <w:spacing w:after="60"/>
      </w:pPr>
      <w:r>
        <w:rPr>
          <w:rFonts w:ascii="Calibri" w:cs="Calibri" w:eastAsia="Calibri" w:hAnsi="Calibri"/>
          <w:color w:val="333333"/>
          <w:sz w:val="22"/>
          <w:szCs w:val="22"/>
        </w:rPr>
        <w:t xml:space="preserve">Management of the customer funds trust account</w:t>
      </w:r>
    </w:p>
    <w:p>
      <w:pPr>
        <w:pStyle w:val="ListParagraph"/>
        <w:numPr>
          <w:ilvl w:val="0"/>
          <w:numId w:val="1"/>
        </w:numPr>
        <w:spacing w:after="60"/>
      </w:pPr>
      <w:r>
        <w:rPr>
          <w:rFonts w:ascii="Calibri" w:cs="Calibri" w:eastAsia="Calibri" w:hAnsi="Calibri"/>
          <w:color w:val="333333"/>
          <w:sz w:val="22"/>
          <w:szCs w:val="22"/>
        </w:rPr>
        <w:t xml:space="preserve">Revenue reconciliation and fee management</w:t>
      </w:r>
    </w:p>
    <w:p>
      <w:pPr>
        <w:pStyle w:val="ListParagraph"/>
        <w:numPr>
          <w:ilvl w:val="0"/>
          <w:numId w:val="1"/>
        </w:numPr>
        <w:spacing w:after="60"/>
      </w:pPr>
      <w:r>
        <w:rPr>
          <w:rFonts w:ascii="Calibri" w:cs="Calibri" w:eastAsia="Calibri" w:hAnsi="Calibri"/>
          <w:color w:val="333333"/>
          <w:sz w:val="22"/>
          <w:szCs w:val="22"/>
        </w:rPr>
        <w:t xml:space="preserve">Tax compliance and reporting</w:t>
      </w:r>
    </w:p>
    <w:p>
      <w:pPr>
        <w:pStyle w:val="Heading2"/>
        <w:spacing w:after="120" w:before="300"/>
      </w:pPr>
      <w:r>
        <w:rPr>
          <w:rFonts w:ascii="Calibri" w:cs="Calibri" w:eastAsia="Calibri" w:hAnsi="Calibri"/>
          <w:b/>
          <w:bCs/>
          <w:color w:val="0A6E3C"/>
          <w:sz w:val="26"/>
          <w:szCs w:val="26"/>
        </w:rPr>
        <w:t xml:space="preserve">4.3 Chief Compliance Officer (CCO)</w:t>
      </w:r>
    </w:p>
    <w:p>
      <w:pPr>
        <w:spacing w:after="120" w:before="0"/>
        <w:jc w:val="both"/>
      </w:pPr>
      <w:r>
        <w:rPr>
          <w:rFonts w:ascii="Calibri" w:cs="Calibri" w:eastAsia="Calibri" w:hAnsi="Calibri"/>
          <w:b w:val="false"/>
          <w:bCs w:val="false"/>
          <w:i w:val="false"/>
          <w:iCs w:val="false"/>
          <w:color w:val="333333"/>
          <w:sz w:val="22"/>
          <w:szCs w:val="22"/>
        </w:rPr>
        <w:t xml:space="preserve">The CCO serves as the designated Money Laundering Reporting Officer (MLRO) and is responsible for:</w:t>
      </w:r>
    </w:p>
    <w:p>
      <w:pPr>
        <w:pStyle w:val="ListParagraph"/>
        <w:numPr>
          <w:ilvl w:val="0"/>
          <w:numId w:val="1"/>
        </w:numPr>
        <w:spacing w:after="60"/>
      </w:pPr>
      <w:r>
        <w:rPr>
          <w:rFonts w:ascii="Calibri" w:cs="Calibri" w:eastAsia="Calibri" w:hAnsi="Calibri"/>
          <w:color w:val="333333"/>
          <w:sz w:val="22"/>
          <w:szCs w:val="22"/>
        </w:rPr>
        <w:t xml:space="preserve">AML/CFT programme implementation and management</w:t>
      </w:r>
    </w:p>
    <w:p>
      <w:pPr>
        <w:pStyle w:val="ListParagraph"/>
        <w:numPr>
          <w:ilvl w:val="0"/>
          <w:numId w:val="1"/>
        </w:numPr>
        <w:spacing w:after="60"/>
      </w:pPr>
      <w:r>
        <w:rPr>
          <w:rFonts w:ascii="Calibri" w:cs="Calibri" w:eastAsia="Calibri" w:hAnsi="Calibri"/>
          <w:color w:val="333333"/>
          <w:sz w:val="22"/>
          <w:szCs w:val="22"/>
        </w:rPr>
        <w:t xml:space="preserve">Filing Suspicious Transaction Reports with the Financial Intelligence Centre</w:t>
      </w:r>
    </w:p>
    <w:p>
      <w:pPr>
        <w:pStyle w:val="ListParagraph"/>
        <w:numPr>
          <w:ilvl w:val="0"/>
          <w:numId w:val="1"/>
        </w:numPr>
        <w:spacing w:after="60"/>
      </w:pPr>
      <w:r>
        <w:rPr>
          <w:rFonts w:ascii="Calibri" w:cs="Calibri" w:eastAsia="Calibri" w:hAnsi="Calibri"/>
          <w:color w:val="333333"/>
          <w:sz w:val="22"/>
          <w:szCs w:val="22"/>
        </w:rPr>
        <w:t xml:space="preserve">Conducting risk assessments and compliance monitoring</w:t>
      </w:r>
    </w:p>
    <w:p>
      <w:pPr>
        <w:pStyle w:val="ListParagraph"/>
        <w:numPr>
          <w:ilvl w:val="0"/>
          <w:numId w:val="1"/>
        </w:numPr>
        <w:spacing w:after="60"/>
      </w:pPr>
      <w:r>
        <w:rPr>
          <w:rFonts w:ascii="Calibri" w:cs="Calibri" w:eastAsia="Calibri" w:hAnsi="Calibri"/>
          <w:color w:val="333333"/>
          <w:sz w:val="22"/>
          <w:szCs w:val="22"/>
        </w:rPr>
        <w:t xml:space="preserve">Staff and agent AML/CFT training</w:t>
      </w:r>
    </w:p>
    <w:p>
      <w:pPr>
        <w:pStyle w:val="ListParagraph"/>
        <w:numPr>
          <w:ilvl w:val="0"/>
          <w:numId w:val="1"/>
        </w:numPr>
        <w:spacing w:after="60"/>
      </w:pPr>
      <w:r>
        <w:rPr>
          <w:rFonts w:ascii="Calibri" w:cs="Calibri" w:eastAsia="Calibri" w:hAnsi="Calibri"/>
          <w:color w:val="333333"/>
          <w:sz w:val="22"/>
          <w:szCs w:val="22"/>
        </w:rPr>
        <w:t xml:space="preserve">Regulatory reporting to the Bank of Zambia</w:t>
      </w:r>
    </w:p>
    <w:p>
      <w:pPr>
        <w:pStyle w:val="ListParagraph"/>
        <w:numPr>
          <w:ilvl w:val="0"/>
          <w:numId w:val="1"/>
        </w:numPr>
        <w:spacing w:after="60"/>
      </w:pPr>
      <w:r>
        <w:rPr>
          <w:rFonts w:ascii="Calibri" w:cs="Calibri" w:eastAsia="Calibri" w:hAnsi="Calibri"/>
          <w:color w:val="333333"/>
          <w:sz w:val="22"/>
          <w:szCs w:val="22"/>
        </w:rPr>
        <w:t xml:space="preserve">Handling customer complaints and dispute resolution</w:t>
      </w:r>
    </w:p>
    <w:p>
      <w:pPr>
        <w:pStyle w:val="ListParagraph"/>
        <w:numPr>
          <w:ilvl w:val="0"/>
          <w:numId w:val="1"/>
        </w:numPr>
        <w:spacing w:after="60"/>
      </w:pPr>
      <w:r>
        <w:rPr>
          <w:rFonts w:ascii="Calibri" w:cs="Calibri" w:eastAsia="Calibri" w:hAnsi="Calibri"/>
          <w:color w:val="333333"/>
          <w:sz w:val="22"/>
          <w:szCs w:val="22"/>
        </w:rPr>
        <w:t xml:space="preserve">Ensuring compliance with the National Payment Systems Act and all related regulations</w:t>
      </w:r>
    </w:p>
    <w:p>
      <w:pPr>
        <w:pStyle w:val="ListParagraph"/>
        <w:numPr>
          <w:ilvl w:val="0"/>
          <w:numId w:val="1"/>
        </w:numPr>
        <w:spacing w:after="60"/>
      </w:pPr>
      <w:r>
        <w:rPr>
          <w:rFonts w:ascii="Calibri" w:cs="Calibri" w:eastAsia="Calibri" w:hAnsi="Calibri"/>
          <w:color w:val="333333"/>
          <w:sz w:val="22"/>
          <w:szCs w:val="22"/>
        </w:rPr>
        <w:t xml:space="preserve">Data protection and privacy compliance</w:t>
      </w:r>
    </w:p>
    <w:p>
      <w:pPr>
        <w:pStyle w:val="Heading2"/>
        <w:spacing w:after="120" w:before="300"/>
      </w:pPr>
      <w:r>
        <w:rPr>
          <w:rFonts w:ascii="Calibri" w:cs="Calibri" w:eastAsia="Calibri" w:hAnsi="Calibri"/>
          <w:b/>
          <w:bCs/>
          <w:color w:val="0A6E3C"/>
          <w:sz w:val="26"/>
          <w:szCs w:val="26"/>
        </w:rPr>
        <w:t xml:space="preserve">4.4 Chief Information Technology Officer (CITO)</w:t>
      </w:r>
    </w:p>
    <w:p>
      <w:pPr>
        <w:spacing w:after="120" w:before="0"/>
        <w:jc w:val="both"/>
      </w:pPr>
      <w:r>
        <w:rPr>
          <w:rFonts w:ascii="Calibri" w:cs="Calibri" w:eastAsia="Calibri" w:hAnsi="Calibri"/>
          <w:b w:val="false"/>
          <w:bCs w:val="false"/>
          <w:i w:val="false"/>
          <w:iCs w:val="false"/>
          <w:color w:val="333333"/>
          <w:sz w:val="22"/>
          <w:szCs w:val="22"/>
        </w:rPr>
        <w:t xml:space="preserve">The CITO is responsible for:</w:t>
      </w:r>
    </w:p>
    <w:p>
      <w:pPr>
        <w:pStyle w:val="ListParagraph"/>
        <w:numPr>
          <w:ilvl w:val="0"/>
          <w:numId w:val="1"/>
        </w:numPr>
        <w:spacing w:after="60"/>
      </w:pPr>
      <w:r>
        <w:rPr>
          <w:rFonts w:ascii="Calibri" w:cs="Calibri" w:eastAsia="Calibri" w:hAnsi="Calibri"/>
          <w:color w:val="333333"/>
          <w:sz w:val="22"/>
          <w:szCs w:val="22"/>
        </w:rPr>
        <w:t xml:space="preserve">Technology strategy and system architecture</w:t>
      </w:r>
    </w:p>
    <w:p>
      <w:pPr>
        <w:pStyle w:val="ListParagraph"/>
        <w:numPr>
          <w:ilvl w:val="0"/>
          <w:numId w:val="1"/>
        </w:numPr>
        <w:spacing w:after="60"/>
      </w:pPr>
      <w:r>
        <w:rPr>
          <w:rFonts w:ascii="Calibri" w:cs="Calibri" w:eastAsia="Calibri" w:hAnsi="Calibri"/>
          <w:color w:val="333333"/>
          <w:sz w:val="22"/>
          <w:szCs w:val="22"/>
        </w:rPr>
        <w:t xml:space="preserve">Application development and maintenance</w:t>
      </w:r>
    </w:p>
    <w:p>
      <w:pPr>
        <w:pStyle w:val="ListParagraph"/>
        <w:numPr>
          <w:ilvl w:val="0"/>
          <w:numId w:val="1"/>
        </w:numPr>
        <w:spacing w:after="60"/>
      </w:pPr>
      <w:r>
        <w:rPr>
          <w:rFonts w:ascii="Calibri" w:cs="Calibri" w:eastAsia="Calibri" w:hAnsi="Calibri"/>
          <w:color w:val="333333"/>
          <w:sz w:val="22"/>
          <w:szCs w:val="22"/>
        </w:rPr>
        <w:t xml:space="preserve">Information security and cybersecurity management</w:t>
      </w:r>
    </w:p>
    <w:p>
      <w:pPr>
        <w:pStyle w:val="ListParagraph"/>
        <w:numPr>
          <w:ilvl w:val="0"/>
          <w:numId w:val="1"/>
        </w:numPr>
        <w:spacing w:after="60"/>
      </w:pPr>
      <w:r>
        <w:rPr>
          <w:rFonts w:ascii="Calibri" w:cs="Calibri" w:eastAsia="Calibri" w:hAnsi="Calibri"/>
          <w:color w:val="333333"/>
          <w:sz w:val="22"/>
          <w:szCs w:val="22"/>
        </w:rPr>
        <w:t xml:space="preserve">Infrastructure management and cloud operations</w:t>
      </w:r>
    </w:p>
    <w:p>
      <w:pPr>
        <w:pStyle w:val="ListParagraph"/>
        <w:numPr>
          <w:ilvl w:val="0"/>
          <w:numId w:val="1"/>
        </w:numPr>
        <w:spacing w:after="60"/>
      </w:pPr>
      <w:r>
        <w:rPr>
          <w:rFonts w:ascii="Calibri" w:cs="Calibri" w:eastAsia="Calibri" w:hAnsi="Calibri"/>
          <w:color w:val="333333"/>
          <w:sz w:val="22"/>
          <w:szCs w:val="22"/>
        </w:rPr>
        <w:t xml:space="preserve">Disaster recovery and business continuity (technology)</w:t>
      </w:r>
    </w:p>
    <w:p>
      <w:pPr>
        <w:pStyle w:val="ListParagraph"/>
        <w:numPr>
          <w:ilvl w:val="0"/>
          <w:numId w:val="1"/>
        </w:numPr>
        <w:spacing w:after="60"/>
      </w:pPr>
      <w:r>
        <w:rPr>
          <w:rFonts w:ascii="Calibri" w:cs="Calibri" w:eastAsia="Calibri" w:hAnsi="Calibri"/>
          <w:color w:val="333333"/>
          <w:sz w:val="22"/>
          <w:szCs w:val="22"/>
        </w:rPr>
        <w:t xml:space="preserve">Third-party technology provider management</w:t>
      </w:r>
    </w:p>
    <w:p>
      <w:pPr>
        <w:pStyle w:val="ListParagraph"/>
        <w:numPr>
          <w:ilvl w:val="0"/>
          <w:numId w:val="1"/>
        </w:numPr>
        <w:spacing w:after="60"/>
      </w:pPr>
      <w:r>
        <w:rPr>
          <w:rFonts w:ascii="Calibri" w:cs="Calibri" w:eastAsia="Calibri" w:hAnsi="Calibri"/>
          <w:color w:val="333333"/>
          <w:sz w:val="22"/>
          <w:szCs w:val="22"/>
        </w:rPr>
        <w:t xml:space="preserve">System monitoring, incident response, and resolution</w:t>
      </w:r>
    </w:p>
    <w:p>
      <w:pPr>
        <w:pStyle w:val="ListParagraph"/>
        <w:numPr>
          <w:ilvl w:val="0"/>
          <w:numId w:val="1"/>
        </w:numPr>
        <w:spacing w:after="60"/>
      </w:pPr>
      <w:r>
        <w:rPr>
          <w:rFonts w:ascii="Calibri" w:cs="Calibri" w:eastAsia="Calibri" w:hAnsi="Calibri"/>
          <w:color w:val="333333"/>
          <w:sz w:val="22"/>
          <w:szCs w:val="22"/>
        </w:rPr>
        <w:t xml:space="preserve">Technology risk management</w:t>
      </w:r>
    </w:p>
    <w:p>
      <w:pPr>
        <w:pStyle w:val="Heading1"/>
        <w:spacing w:after="120" w:before="300"/>
      </w:pPr>
      <w:r>
        <w:rPr>
          <w:rFonts w:ascii="Calibri" w:cs="Calibri" w:eastAsia="Calibri" w:hAnsi="Calibri"/>
          <w:b/>
          <w:bCs/>
          <w:color w:val="0A6E3C"/>
          <w:sz w:val="32"/>
          <w:szCs w:val="32"/>
        </w:rPr>
        <w:t xml:space="preserve">5. DEPARTMENTAL STRUCTURE</w:t>
      </w:r>
    </w:p>
    <w:p>
      <w:pPr>
        <w:pStyle w:val="Heading2"/>
        <w:spacing w:after="120" w:before="300"/>
      </w:pPr>
      <w:r>
        <w:rPr>
          <w:rFonts w:ascii="Calibri" w:cs="Calibri" w:eastAsia="Calibri" w:hAnsi="Calibri"/>
          <w:b/>
          <w:bCs/>
          <w:color w:val="0A6E3C"/>
          <w:sz w:val="26"/>
          <w:szCs w:val="26"/>
        </w:rPr>
        <w:t xml:space="preserve">5.1 Finance and Administration</w:t>
      </w:r>
    </w:p>
    <w:p>
      <w:pPr>
        <w:spacing w:after="120" w:before="0"/>
        <w:jc w:val="both"/>
      </w:pPr>
      <w:r>
        <w:rPr>
          <w:rFonts w:ascii="Calibri" w:cs="Calibri" w:eastAsia="Calibri" w:hAnsi="Calibri"/>
          <w:b w:val="false"/>
          <w:bCs w:val="false"/>
          <w:i w:val="false"/>
          <w:iCs w:val="false"/>
          <w:color w:val="333333"/>
          <w:sz w:val="22"/>
          <w:szCs w:val="22"/>
        </w:rPr>
        <w:t xml:space="preserve">Reporting to the CFO:</w:t>
      </w:r>
    </w:p>
    <w:p>
      <w:pPr>
        <w:pStyle w:val="ListParagraph"/>
        <w:numPr>
          <w:ilvl w:val="0"/>
          <w:numId w:val="1"/>
        </w:numPr>
        <w:spacing w:after="60"/>
      </w:pPr>
      <w:r>
        <w:rPr>
          <w:rFonts w:ascii="Calibri" w:cs="Calibri" w:eastAsia="Calibri" w:hAnsi="Calibri"/>
          <w:color w:val="333333"/>
          <w:sz w:val="22"/>
          <w:szCs w:val="22"/>
        </w:rPr>
        <w:t xml:space="preserve">Financial accountant(s)</w:t>
      </w:r>
    </w:p>
    <w:p>
      <w:pPr>
        <w:pStyle w:val="ListParagraph"/>
        <w:numPr>
          <w:ilvl w:val="0"/>
          <w:numId w:val="1"/>
        </w:numPr>
        <w:spacing w:after="60"/>
      </w:pPr>
      <w:r>
        <w:rPr>
          <w:rFonts w:ascii="Calibri" w:cs="Calibri" w:eastAsia="Calibri" w:hAnsi="Calibri"/>
          <w:color w:val="333333"/>
          <w:sz w:val="22"/>
          <w:szCs w:val="22"/>
        </w:rPr>
        <w:t xml:space="preserve">Administrative support staff</w:t>
      </w:r>
    </w:p>
    <w:p>
      <w:pPr>
        <w:spacing w:after="120" w:before="0"/>
        <w:jc w:val="both"/>
      </w:pPr>
      <w:r>
        <w:rPr>
          <w:rFonts w:ascii="Calibri" w:cs="Calibri" w:eastAsia="Calibri" w:hAnsi="Calibri"/>
          <w:b w:val="false"/>
          <w:bCs w:val="false"/>
          <w:i w:val="false"/>
          <w:iCs w:val="false"/>
          <w:color w:val="333333"/>
          <w:sz w:val="22"/>
          <w:szCs w:val="22"/>
        </w:rPr>
        <w:t xml:space="preserve">Functions: Bookkeeping, payroll, accounts payable/receivable, bank reconciliation, statutory reporting.</w:t>
      </w:r>
    </w:p>
    <w:p>
      <w:pPr>
        <w:pStyle w:val="Heading2"/>
        <w:spacing w:after="120" w:before="300"/>
      </w:pPr>
      <w:r>
        <w:rPr>
          <w:rFonts w:ascii="Calibri" w:cs="Calibri" w:eastAsia="Calibri" w:hAnsi="Calibri"/>
          <w:b/>
          <w:bCs/>
          <w:color w:val="0A6E3C"/>
          <w:sz w:val="26"/>
          <w:szCs w:val="26"/>
        </w:rPr>
        <w:t xml:space="preserve">5.2 Compliance and Legal</w:t>
      </w:r>
    </w:p>
    <w:p>
      <w:pPr>
        <w:spacing w:after="120" w:before="0"/>
        <w:jc w:val="both"/>
      </w:pPr>
      <w:r>
        <w:rPr>
          <w:rFonts w:ascii="Calibri" w:cs="Calibri" w:eastAsia="Calibri" w:hAnsi="Calibri"/>
          <w:b w:val="false"/>
          <w:bCs w:val="false"/>
          <w:i w:val="false"/>
          <w:iCs w:val="false"/>
          <w:color w:val="333333"/>
          <w:sz w:val="22"/>
          <w:szCs w:val="22"/>
        </w:rPr>
        <w:t xml:space="preserve">Reporting to the CCO:</w:t>
      </w:r>
    </w:p>
    <w:p>
      <w:pPr>
        <w:pStyle w:val="ListParagraph"/>
        <w:numPr>
          <w:ilvl w:val="0"/>
          <w:numId w:val="1"/>
        </w:numPr>
        <w:spacing w:after="60"/>
      </w:pPr>
      <w:r>
        <w:rPr>
          <w:rFonts w:ascii="Calibri" w:cs="Calibri" w:eastAsia="Calibri" w:hAnsi="Calibri"/>
          <w:color w:val="333333"/>
          <w:sz w:val="22"/>
          <w:szCs w:val="22"/>
        </w:rPr>
        <w:t xml:space="preserve">Compliance analyst(s)</w:t>
      </w:r>
    </w:p>
    <w:p>
      <w:pPr>
        <w:spacing w:after="120" w:before="0"/>
        <w:jc w:val="both"/>
      </w:pPr>
      <w:r>
        <w:rPr>
          <w:rFonts w:ascii="Calibri" w:cs="Calibri" w:eastAsia="Calibri" w:hAnsi="Calibri"/>
          <w:b w:val="false"/>
          <w:bCs w:val="false"/>
          <w:i w:val="false"/>
          <w:iCs w:val="false"/>
          <w:color w:val="333333"/>
          <w:sz w:val="22"/>
          <w:szCs w:val="22"/>
        </w:rPr>
        <w:t xml:space="preserve">Functions: Transaction monitoring, KYC verification, STR preparation, regulatory correspondence, legal coordination.</w:t>
      </w:r>
    </w:p>
    <w:p>
      <w:pPr>
        <w:pStyle w:val="Heading2"/>
        <w:spacing w:after="120" w:before="300"/>
      </w:pPr>
      <w:r>
        <w:rPr>
          <w:rFonts w:ascii="Calibri" w:cs="Calibri" w:eastAsia="Calibri" w:hAnsi="Calibri"/>
          <w:b/>
          <w:bCs/>
          <w:color w:val="0A6E3C"/>
          <w:sz w:val="26"/>
          <w:szCs w:val="26"/>
        </w:rPr>
        <w:t xml:space="preserve">5.3 Technology and Development</w:t>
      </w:r>
    </w:p>
    <w:p>
      <w:pPr>
        <w:spacing w:after="120" w:before="0"/>
        <w:jc w:val="both"/>
      </w:pPr>
      <w:r>
        <w:rPr>
          <w:rFonts w:ascii="Calibri" w:cs="Calibri" w:eastAsia="Calibri" w:hAnsi="Calibri"/>
          <w:b w:val="false"/>
          <w:bCs w:val="false"/>
          <w:i w:val="false"/>
          <w:iCs w:val="false"/>
          <w:color w:val="333333"/>
          <w:sz w:val="22"/>
          <w:szCs w:val="22"/>
        </w:rPr>
        <w:t xml:space="preserve">Reporting to the CITO:</w:t>
      </w:r>
    </w:p>
    <w:p>
      <w:pPr>
        <w:pStyle w:val="ListParagraph"/>
        <w:numPr>
          <w:ilvl w:val="0"/>
          <w:numId w:val="1"/>
        </w:numPr>
        <w:spacing w:after="60"/>
      </w:pPr>
      <w:r>
        <w:rPr>
          <w:rFonts w:ascii="Calibri" w:cs="Calibri" w:eastAsia="Calibri" w:hAnsi="Calibri"/>
          <w:color w:val="333333"/>
          <w:sz w:val="22"/>
          <w:szCs w:val="22"/>
        </w:rPr>
        <w:t xml:space="preserve">Software developer(s)</w:t>
      </w:r>
    </w:p>
    <w:p>
      <w:pPr>
        <w:pStyle w:val="ListParagraph"/>
        <w:numPr>
          <w:ilvl w:val="0"/>
          <w:numId w:val="1"/>
        </w:numPr>
        <w:spacing w:after="60"/>
      </w:pPr>
      <w:r>
        <w:rPr>
          <w:rFonts w:ascii="Calibri" w:cs="Calibri" w:eastAsia="Calibri" w:hAnsi="Calibri"/>
          <w:color w:val="333333"/>
          <w:sz w:val="22"/>
          <w:szCs w:val="22"/>
        </w:rPr>
        <w:t xml:space="preserve">Quality assurance / testing</w:t>
      </w:r>
    </w:p>
    <w:p>
      <w:pPr>
        <w:spacing w:after="120" w:before="0"/>
        <w:jc w:val="both"/>
      </w:pPr>
      <w:r>
        <w:rPr>
          <w:rFonts w:ascii="Calibri" w:cs="Calibri" w:eastAsia="Calibri" w:hAnsi="Calibri"/>
          <w:b w:val="false"/>
          <w:bCs w:val="false"/>
          <w:i w:val="false"/>
          <w:iCs w:val="false"/>
          <w:color w:val="333333"/>
          <w:sz w:val="22"/>
          <w:szCs w:val="22"/>
        </w:rPr>
        <w:t xml:space="preserve">Functions: Application development, bug fixes, feature implementation, system monitoring, database administration, security patching.</w:t>
      </w:r>
    </w:p>
    <w:p>
      <w:pPr>
        <w:pStyle w:val="Heading2"/>
        <w:spacing w:after="120" w:before="300"/>
      </w:pPr>
      <w:r>
        <w:rPr>
          <w:rFonts w:ascii="Calibri" w:cs="Calibri" w:eastAsia="Calibri" w:hAnsi="Calibri"/>
          <w:b/>
          <w:bCs/>
          <w:color w:val="0A6E3C"/>
          <w:sz w:val="26"/>
          <w:szCs w:val="26"/>
        </w:rPr>
        <w:t xml:space="preserve">5.4 Operations and Agent Management</w:t>
      </w:r>
    </w:p>
    <w:p>
      <w:pPr>
        <w:spacing w:after="120" w:before="0"/>
        <w:jc w:val="both"/>
      </w:pPr>
      <w:r>
        <w:rPr>
          <w:rFonts w:ascii="Calibri" w:cs="Calibri" w:eastAsia="Calibri" w:hAnsi="Calibri"/>
          <w:b w:val="false"/>
          <w:bCs w:val="false"/>
          <w:i w:val="false"/>
          <w:iCs w:val="false"/>
          <w:color w:val="333333"/>
          <w:sz w:val="22"/>
          <w:szCs w:val="22"/>
        </w:rPr>
        <w:t xml:space="preserve">Reporting to the CEO (or Chief Operating Officer when appointed):</w:t>
      </w:r>
    </w:p>
    <w:p>
      <w:pPr>
        <w:pStyle w:val="ListParagraph"/>
        <w:numPr>
          <w:ilvl w:val="0"/>
          <w:numId w:val="1"/>
        </w:numPr>
        <w:spacing w:after="60"/>
      </w:pPr>
      <w:r>
        <w:rPr>
          <w:rFonts w:ascii="Calibri" w:cs="Calibri" w:eastAsia="Calibri" w:hAnsi="Calibri"/>
          <w:color w:val="333333"/>
          <w:sz w:val="22"/>
          <w:szCs w:val="22"/>
        </w:rPr>
        <w:t xml:space="preserve">Customer support agents</w:t>
      </w:r>
    </w:p>
    <w:p>
      <w:pPr>
        <w:pStyle w:val="ListParagraph"/>
        <w:numPr>
          <w:ilvl w:val="0"/>
          <w:numId w:val="1"/>
        </w:numPr>
        <w:spacing w:after="60"/>
      </w:pPr>
      <w:r>
        <w:rPr>
          <w:rFonts w:ascii="Calibri" w:cs="Calibri" w:eastAsia="Calibri" w:hAnsi="Calibri"/>
          <w:color w:val="333333"/>
          <w:sz w:val="22"/>
          <w:szCs w:val="22"/>
        </w:rPr>
        <w:t xml:space="preserve">Agent network managers</w:t>
      </w:r>
    </w:p>
    <w:p>
      <w:pPr>
        <w:spacing w:after="120" w:before="0"/>
        <w:jc w:val="both"/>
      </w:pPr>
      <w:r>
        <w:rPr>
          <w:rFonts w:ascii="Calibri" w:cs="Calibri" w:eastAsia="Calibri" w:hAnsi="Calibri"/>
          <w:b w:val="false"/>
          <w:bCs w:val="false"/>
          <w:i w:val="false"/>
          <w:iCs w:val="false"/>
          <w:color w:val="333333"/>
          <w:sz w:val="22"/>
          <w:szCs w:val="22"/>
        </w:rPr>
        <w:t xml:space="preserve">Functions: Customer service, agent onboarding and training, agent performance monitoring, complaint handling, field operations.</w:t>
      </w:r>
    </w:p>
    <w:p>
      <w:r>
        <w:br w:type="page"/>
      </w:r>
    </w:p>
    <w:p>
      <w:pPr>
        <w:pStyle w:val="Heading1"/>
        <w:spacing w:after="120" w:before="300"/>
      </w:pPr>
      <w:r>
        <w:rPr>
          <w:rFonts w:ascii="Calibri" w:cs="Calibri" w:eastAsia="Calibri" w:hAnsi="Calibri"/>
          <w:b/>
          <w:bCs/>
          <w:color w:val="0A6E3C"/>
          <w:sz w:val="32"/>
          <w:szCs w:val="32"/>
        </w:rPr>
        <w:t xml:space="preserve">6. STAFFING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color="0A6E3C" w:val="solid"/>
          </w:tcPr>
          <w:p>
            <w:pPr>
              <w:jc w:val="center"/>
            </w:pPr>
            <w:r>
              <w:rPr>
                <w:rFonts w:ascii="Calibri" w:cs="Calibri" w:eastAsia="Calibri" w:hAnsi="Calibri"/>
                <w:b/>
                <w:bCs/>
                <w:color w:val="FFFFFF"/>
                <w:sz w:val="20"/>
                <w:szCs w:val="20"/>
              </w:rPr>
              <w:t xml:space="preserve">Position</w:t>
            </w:r>
          </w:p>
        </w:tc>
        <w:tc>
          <w:tcPr>
            <w:tcW w:type="pct" w:w="20%"/>
            <w:shd w:color="0A6E3C" w:val="solid"/>
          </w:tcPr>
          <w:p>
            <w:pPr>
              <w:jc w:val="center"/>
            </w:pPr>
            <w:r>
              <w:rPr>
                <w:rFonts w:ascii="Calibri" w:cs="Calibri" w:eastAsia="Calibri" w:hAnsi="Calibri"/>
                <w:b/>
                <w:bCs/>
                <w:color w:val="FFFFFF"/>
                <w:sz w:val="20"/>
                <w:szCs w:val="20"/>
              </w:rPr>
              <w:t xml:space="preserve">Year 1</w:t>
            </w:r>
          </w:p>
        </w:tc>
        <w:tc>
          <w:tcPr>
            <w:tcW w:type="pct" w:w="20%"/>
            <w:shd w:color="0A6E3C" w:val="solid"/>
          </w:tcPr>
          <w:p>
            <w:pPr>
              <w:jc w:val="center"/>
            </w:pPr>
            <w:r>
              <w:rPr>
                <w:rFonts w:ascii="Calibri" w:cs="Calibri" w:eastAsia="Calibri" w:hAnsi="Calibri"/>
                <w:b/>
                <w:bCs/>
                <w:color w:val="FFFFFF"/>
                <w:sz w:val="20"/>
                <w:szCs w:val="20"/>
              </w:rPr>
              <w:t xml:space="preserve">Year 2</w:t>
            </w:r>
          </w:p>
        </w:tc>
        <w:tc>
          <w:tcPr>
            <w:tcW w:type="pct" w:w="20%"/>
            <w:shd w:color="0A6E3C" w:val="solid"/>
          </w:tcPr>
          <w:p>
            <w:pPr>
              <w:jc w:val="center"/>
            </w:pPr>
            <w:r>
              <w:rPr>
                <w:rFonts w:ascii="Calibri" w:cs="Calibri" w:eastAsia="Calibri" w:hAnsi="Calibri"/>
                <w:b/>
                <w:bCs/>
                <w:color w:val="FFFFFF"/>
                <w:sz w:val="20"/>
                <w:szCs w:val="20"/>
              </w:rPr>
              <w:t xml:space="preserve">Year 3</w:t>
            </w:r>
          </w:p>
        </w:tc>
        <w:tc>
          <w:tcPr>
            <w:tcW w:type="pct" w:w="20%"/>
            <w:shd w:color="0A6E3C" w:val="solid"/>
          </w:tcPr>
          <w:p>
            <w:pPr>
              <w:jc w:val="center"/>
            </w:pPr>
            <w:r>
              <w:rPr>
                <w:rFonts w:ascii="Calibri" w:cs="Calibri" w:eastAsia="Calibri" w:hAnsi="Calibri"/>
                <w:b/>
                <w:bCs/>
                <w:color w:val="FFFFFF"/>
                <w:sz w:val="20"/>
                <w:szCs w:val="20"/>
              </w:rPr>
              <w:t xml:space="preserve">Employment Type</w:t>
            </w:r>
          </w:p>
        </w:tc>
      </w:tr>
      <w:tr>
        <w:tc>
          <w:tcPr>
            <w:tcW w:type="pct" w:w="20%"/>
          </w:tcPr>
          <w:p>
            <w:r>
              <w:rPr>
                <w:rFonts w:ascii="Calibri" w:cs="Calibri" w:eastAsia="Calibri" w:hAnsi="Calibri"/>
                <w:color w:val="333333"/>
                <w:sz w:val="20"/>
                <w:szCs w:val="20"/>
              </w:rPr>
              <w:t xml:space="preserve">Chief Executive Officer</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Chief Financial Officer</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Chief Compliance Officer</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Chief Information Technology Officer</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Software Developers</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3</w:t>
            </w:r>
          </w:p>
        </w:tc>
        <w:tc>
          <w:tcPr>
            <w:tcW w:type="pct" w:w="20%"/>
          </w:tcPr>
          <w:p>
            <w:r>
              <w:rPr>
                <w:rFonts w:ascii="Calibri" w:cs="Calibri" w:eastAsia="Calibri" w:hAnsi="Calibri"/>
                <w:color w:val="333333"/>
                <w:sz w:val="20"/>
                <w:szCs w:val="20"/>
              </w:rPr>
              <w:t xml:space="preserve">5</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Customer Support Agents</w:t>
            </w:r>
          </w:p>
        </w:tc>
        <w:tc>
          <w:tcPr>
            <w:tcW w:type="pct" w:w="20%"/>
          </w:tcPr>
          <w:p>
            <w:r>
              <w:rPr>
                <w:rFonts w:ascii="Calibri" w:cs="Calibri" w:eastAsia="Calibri" w:hAnsi="Calibri"/>
                <w:color w:val="333333"/>
                <w:sz w:val="20"/>
                <w:szCs w:val="20"/>
              </w:rPr>
              <w:t xml:space="preserve">2</w:t>
            </w:r>
          </w:p>
        </w:tc>
        <w:tc>
          <w:tcPr>
            <w:tcW w:type="pct" w:w="20%"/>
          </w:tcPr>
          <w:p>
            <w:r>
              <w:rPr>
                <w:rFonts w:ascii="Calibri" w:cs="Calibri" w:eastAsia="Calibri" w:hAnsi="Calibri"/>
                <w:color w:val="333333"/>
                <w:sz w:val="20"/>
                <w:szCs w:val="20"/>
              </w:rPr>
              <w:t xml:space="preserve">5</w:t>
            </w:r>
          </w:p>
        </w:tc>
        <w:tc>
          <w:tcPr>
            <w:tcW w:type="pct" w:w="20%"/>
          </w:tcPr>
          <w:p>
            <w:r>
              <w:rPr>
                <w:rFonts w:ascii="Calibri" w:cs="Calibri" w:eastAsia="Calibri" w:hAnsi="Calibri"/>
                <w:color w:val="333333"/>
                <w:sz w:val="20"/>
                <w:szCs w:val="20"/>
              </w:rPr>
              <w:t xml:space="preserve">10</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Agent Network Managers</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2</w:t>
            </w:r>
          </w:p>
        </w:tc>
        <w:tc>
          <w:tcPr>
            <w:tcW w:type="pct" w:w="20%"/>
          </w:tcPr>
          <w:p>
            <w:r>
              <w:rPr>
                <w:rFonts w:ascii="Calibri" w:cs="Calibri" w:eastAsia="Calibri" w:hAnsi="Calibri"/>
                <w:color w:val="333333"/>
                <w:sz w:val="20"/>
                <w:szCs w:val="20"/>
              </w:rPr>
              <w:t xml:space="preserve">4</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Financial Accountant</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2</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Compliance Analyst</w:t>
            </w:r>
          </w:p>
        </w:tc>
        <w:tc>
          <w:tcPr>
            <w:tcW w:type="pct" w:w="20%"/>
          </w:tcPr>
          <w:p>
            <w:r>
              <w:rPr>
                <w:rFonts w:ascii="Calibri" w:cs="Calibri" w:eastAsia="Calibri" w:hAnsi="Calibri"/>
                <w:color w:val="333333"/>
                <w:sz w:val="20"/>
                <w:szCs w:val="20"/>
              </w:rPr>
              <w:t xml:space="preserve">0</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2</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Marketing Manager</w:t>
            </w:r>
          </w:p>
        </w:tc>
        <w:tc>
          <w:tcPr>
            <w:tcW w:type="pct" w:w="20%"/>
          </w:tcPr>
          <w:p>
            <w:r>
              <w:rPr>
                <w:rFonts w:ascii="Calibri" w:cs="Calibri" w:eastAsia="Calibri" w:hAnsi="Calibri"/>
                <w:color w:val="333333"/>
                <w:sz w:val="20"/>
                <w:szCs w:val="20"/>
              </w:rPr>
              <w:t xml:space="preserve">0</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2</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Administrative Support</w:t>
            </w:r>
          </w:p>
        </w:tc>
        <w:tc>
          <w:tcPr>
            <w:tcW w:type="pct" w:w="20%"/>
          </w:tcPr>
          <w:p>
            <w:r>
              <w:rPr>
                <w:rFonts w:ascii="Calibri" w:cs="Calibri" w:eastAsia="Calibri" w:hAnsi="Calibri"/>
                <w:color w:val="333333"/>
                <w:sz w:val="20"/>
                <w:szCs w:val="20"/>
              </w:rPr>
              <w:t xml:space="preserve">0</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1</w:t>
            </w:r>
          </w:p>
        </w:tc>
        <w:tc>
          <w:tcPr>
            <w:tcW w:type="pct" w:w="20%"/>
          </w:tcPr>
          <w:p>
            <w:r>
              <w:rPr>
                <w:rFonts w:ascii="Calibri" w:cs="Calibri" w:eastAsia="Calibri" w:hAnsi="Calibri"/>
                <w:color w:val="333333"/>
                <w:sz w:val="20"/>
                <w:szCs w:val="20"/>
              </w:rPr>
              <w:t xml:space="preserve">Full-time</w:t>
            </w:r>
          </w:p>
        </w:tc>
      </w:tr>
      <w:tr>
        <w:tc>
          <w:tcPr>
            <w:tcW w:type="pct" w:w="20%"/>
          </w:tcPr>
          <w:p>
            <w:r>
              <w:rPr>
                <w:rFonts w:ascii="Calibri" w:cs="Calibri" w:eastAsia="Calibri" w:hAnsi="Calibri"/>
                <w:color w:val="333333"/>
                <w:sz w:val="20"/>
                <w:szCs w:val="20"/>
              </w:rPr>
              <w:t xml:space="preserve">Total Headcount</w:t>
            </w:r>
          </w:p>
        </w:tc>
        <w:tc>
          <w:tcPr>
            <w:tcW w:type="pct" w:w="20%"/>
          </w:tcPr>
          <w:p>
            <w:r>
              <w:rPr>
                <w:rFonts w:ascii="Calibri" w:cs="Calibri" w:eastAsia="Calibri" w:hAnsi="Calibri"/>
                <w:color w:val="333333"/>
                <w:sz w:val="20"/>
                <w:szCs w:val="20"/>
              </w:rPr>
              <w:t xml:space="preserve">9</w:t>
            </w:r>
          </w:p>
        </w:tc>
        <w:tc>
          <w:tcPr>
            <w:tcW w:type="pct" w:w="20%"/>
          </w:tcPr>
          <w:p>
            <w:r>
              <w:rPr>
                <w:rFonts w:ascii="Calibri" w:cs="Calibri" w:eastAsia="Calibri" w:hAnsi="Calibri"/>
                <w:color w:val="333333"/>
                <w:sz w:val="20"/>
                <w:szCs w:val="20"/>
              </w:rPr>
              <w:t xml:space="preserve">18</w:t>
            </w:r>
          </w:p>
        </w:tc>
        <w:tc>
          <w:tcPr>
            <w:tcW w:type="pct" w:w="20%"/>
          </w:tcPr>
          <w:p>
            <w:r>
              <w:rPr>
                <w:rFonts w:ascii="Calibri" w:cs="Calibri" w:eastAsia="Calibri" w:hAnsi="Calibri"/>
                <w:color w:val="333333"/>
                <w:sz w:val="20"/>
                <w:szCs w:val="20"/>
              </w:rPr>
              <w:t xml:space="preserve">30</w:t>
            </w:r>
          </w:p>
        </w:tc>
        <w:tc>
          <w:tcPr>
            <w:tcW w:type="pct" w:w="20%"/>
          </w:tcPr>
          <w:p>
            <w:r>
              <w:rPr>
                <w:rFonts w:ascii="Calibri" w:cs="Calibri" w:eastAsia="Calibri" w:hAnsi="Calibri"/>
                <w:color w:val="333333"/>
                <w:sz w:val="20"/>
                <w:szCs w:val="20"/>
              </w:rPr>
              <w:t xml:space="preserve"/>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All senior management officers will be engaged in compliance with the Employment Act and other relevant Zambian labour laws. No officer will hold more than one senior management position at any time.</w:t>
      </w:r>
    </w:p>
    <w:p>
      <w:pPr>
        <w:pStyle w:val="Heading1"/>
        <w:spacing w:after="120" w:before="300"/>
      </w:pPr>
      <w:r>
        <w:rPr>
          <w:rFonts w:ascii="Calibri" w:cs="Calibri" w:eastAsia="Calibri" w:hAnsi="Calibri"/>
          <w:b/>
          <w:bCs/>
          <w:color w:val="0A6E3C"/>
          <w:sz w:val="32"/>
          <w:szCs w:val="32"/>
        </w:rPr>
        <w:t xml:space="preserve">7. OUTSOURCING ARRANGEMENTS</w:t>
      </w:r>
    </w:p>
    <w:p>
      <w:pPr>
        <w:pStyle w:val="Heading2"/>
        <w:spacing w:after="120" w:before="300"/>
      </w:pPr>
      <w:r>
        <w:rPr>
          <w:rFonts w:ascii="Calibri" w:cs="Calibri" w:eastAsia="Calibri" w:hAnsi="Calibri"/>
          <w:b/>
          <w:bCs/>
          <w:color w:val="0A6E3C"/>
          <w:sz w:val="26"/>
          <w:szCs w:val="26"/>
        </w:rPr>
        <w:t xml:space="preserve">7.1 Current Outsourcing</w:t>
      </w:r>
    </w:p>
    <w:p>
      <w:pPr>
        <w:spacing w:after="120" w:before="0"/>
        <w:jc w:val="both"/>
      </w:pPr>
      <w:r>
        <w:rPr>
          <w:rFonts w:ascii="Calibri" w:cs="Calibri" w:eastAsia="Calibri" w:hAnsi="Calibri"/>
          <w:b w:val="false"/>
          <w:bCs w:val="false"/>
          <w:i w:val="false"/>
          <w:iCs w:val="false"/>
          <w:color w:val="333333"/>
          <w:sz w:val="22"/>
          <w:szCs w:val="22"/>
        </w:rPr>
        <w:t xml:space="preserve">Monde outsources the following services to specialised third-party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Service</w:t>
            </w:r>
          </w:p>
        </w:tc>
        <w:tc>
          <w:tcPr>
            <w:tcW w:type="pct" w:w="25%"/>
            <w:shd w:color="0A6E3C" w:val="solid"/>
          </w:tcPr>
          <w:p>
            <w:pPr>
              <w:jc w:val="center"/>
            </w:pPr>
            <w:r>
              <w:rPr>
                <w:rFonts w:ascii="Calibri" w:cs="Calibri" w:eastAsia="Calibri" w:hAnsi="Calibri"/>
                <w:b/>
                <w:bCs/>
                <w:color w:val="FFFFFF"/>
                <w:sz w:val="20"/>
                <w:szCs w:val="20"/>
              </w:rPr>
              <w:t xml:space="preserve">Provider</w:t>
            </w:r>
          </w:p>
        </w:tc>
        <w:tc>
          <w:tcPr>
            <w:tcW w:type="pct" w:w="25%"/>
            <w:shd w:color="0A6E3C" w:val="solid"/>
          </w:tcPr>
          <w:p>
            <w:pPr>
              <w:jc w:val="center"/>
            </w:pPr>
            <w:r>
              <w:rPr>
                <w:rFonts w:ascii="Calibri" w:cs="Calibri" w:eastAsia="Calibri" w:hAnsi="Calibri"/>
                <w:b/>
                <w:bCs/>
                <w:color w:val="FFFFFF"/>
                <w:sz w:val="20"/>
                <w:szCs w:val="20"/>
              </w:rPr>
              <w:t xml:space="preserve">Description</w:t>
            </w:r>
          </w:p>
        </w:tc>
        <w:tc>
          <w:tcPr>
            <w:tcW w:type="pct" w:w="25%"/>
            <w:shd w:color="0A6E3C" w:val="solid"/>
          </w:tcPr>
          <w:p>
            <w:pPr>
              <w:jc w:val="center"/>
            </w:pPr>
            <w:r>
              <w:rPr>
                <w:rFonts w:ascii="Calibri" w:cs="Calibri" w:eastAsia="Calibri" w:hAnsi="Calibri"/>
                <w:b/>
                <w:bCs/>
                <w:color w:val="FFFFFF"/>
                <w:sz w:val="20"/>
                <w:szCs w:val="20"/>
              </w:rPr>
              <w:t xml:space="preserve">Jurisdiction</w:t>
            </w:r>
          </w:p>
        </w:tc>
      </w:tr>
      <w:tr>
        <w:tc>
          <w:tcPr>
            <w:tcW w:type="pct" w:w="25%"/>
          </w:tcPr>
          <w:p>
            <w:r>
              <w:rPr>
                <w:rFonts w:ascii="Calibri" w:cs="Calibri" w:eastAsia="Calibri" w:hAnsi="Calibri"/>
                <w:color w:val="333333"/>
                <w:sz w:val="20"/>
                <w:szCs w:val="20"/>
              </w:rPr>
              <w:t xml:space="preserve">Cloud Infrastructure &amp; Database</w:t>
            </w:r>
          </w:p>
        </w:tc>
        <w:tc>
          <w:tcPr>
            <w:tcW w:type="pct" w:w="25%"/>
          </w:tcPr>
          <w:p>
            <w:r>
              <w:rPr>
                <w:rFonts w:ascii="Calibri" w:cs="Calibri" w:eastAsia="Calibri" w:hAnsi="Calibri"/>
                <w:color w:val="333333"/>
                <w:sz w:val="20"/>
                <w:szCs w:val="20"/>
              </w:rPr>
              <w:t xml:space="preserve">Supabase (on AWS)</w:t>
            </w:r>
          </w:p>
        </w:tc>
        <w:tc>
          <w:tcPr>
            <w:tcW w:type="pct" w:w="25%"/>
          </w:tcPr>
          <w:p>
            <w:r>
              <w:rPr>
                <w:rFonts w:ascii="Calibri" w:cs="Calibri" w:eastAsia="Calibri" w:hAnsi="Calibri"/>
                <w:color w:val="333333"/>
                <w:sz w:val="20"/>
                <w:szCs w:val="20"/>
              </w:rPr>
              <w:t xml:space="preserve">Managed PostgreSQL database, authentication, Edge Functions, realtime engine</w:t>
            </w:r>
          </w:p>
        </w:tc>
        <w:tc>
          <w:tcPr>
            <w:tcW w:type="pct" w:w="25%"/>
          </w:tcPr>
          <w:p>
            <w:r>
              <w:rPr>
                <w:rFonts w:ascii="Calibri" w:cs="Calibri" w:eastAsia="Calibri" w:hAnsi="Calibri"/>
                <w:color w:val="333333"/>
                <w:sz w:val="20"/>
                <w:szCs w:val="20"/>
              </w:rPr>
              <w:t xml:space="preserve">USA (AWS region: af-south-1)</w:t>
            </w:r>
          </w:p>
        </w:tc>
      </w:tr>
      <w:tr>
        <w:tc>
          <w:tcPr>
            <w:tcW w:type="pct" w:w="25%"/>
          </w:tcPr>
          <w:p>
            <w:r>
              <w:rPr>
                <w:rFonts w:ascii="Calibri" w:cs="Calibri" w:eastAsia="Calibri" w:hAnsi="Calibri"/>
                <w:color w:val="333333"/>
                <w:sz w:val="20"/>
                <w:szCs w:val="20"/>
              </w:rPr>
              <w:t xml:space="preserve">Payment Gateway</w:t>
            </w:r>
          </w:p>
        </w:tc>
        <w:tc>
          <w:tcPr>
            <w:tcW w:type="pct" w:w="25%"/>
          </w:tcPr>
          <w:p>
            <w:r>
              <w:rPr>
                <w:rFonts w:ascii="Calibri" w:cs="Calibri" w:eastAsia="Calibri" w:hAnsi="Calibri"/>
                <w:color w:val="333333"/>
                <w:sz w:val="20"/>
                <w:szCs w:val="20"/>
              </w:rPr>
              <w:t xml:space="preserve">Lipila</w:t>
            </w:r>
          </w:p>
        </w:tc>
        <w:tc>
          <w:tcPr>
            <w:tcW w:type="pct" w:w="25%"/>
          </w:tcPr>
          <w:p>
            <w:r>
              <w:rPr>
                <w:rFonts w:ascii="Calibri" w:cs="Calibri" w:eastAsia="Calibri" w:hAnsi="Calibri"/>
                <w:color w:val="333333"/>
                <w:sz w:val="20"/>
                <w:szCs w:val="20"/>
              </w:rPr>
              <w:t xml:space="preserve">Mobile money and bank card collection/disbursement processing</w:t>
            </w:r>
          </w:p>
        </w:tc>
        <w:tc>
          <w:tcPr>
            <w:tcW w:type="pct" w:w="25%"/>
          </w:tcPr>
          <w:p>
            <w:r>
              <w:rPr>
                <w:rFonts w:ascii="Calibri" w:cs="Calibri" w:eastAsia="Calibri" w:hAnsi="Calibri"/>
                <w:color w:val="333333"/>
                <w:sz w:val="20"/>
                <w:szCs w:val="20"/>
              </w:rPr>
              <w:t xml:space="preserve">Zambia</w:t>
            </w:r>
          </w:p>
        </w:tc>
      </w:tr>
      <w:tr>
        <w:tc>
          <w:tcPr>
            <w:tcW w:type="pct" w:w="25%"/>
          </w:tcPr>
          <w:p>
            <w:r>
              <w:rPr>
                <w:rFonts w:ascii="Calibri" w:cs="Calibri" w:eastAsia="Calibri" w:hAnsi="Calibri"/>
                <w:color w:val="333333"/>
                <w:sz w:val="20"/>
                <w:szCs w:val="20"/>
              </w:rPr>
              <w:t xml:space="preserve">SMS Verification</w:t>
            </w:r>
          </w:p>
        </w:tc>
        <w:tc>
          <w:tcPr>
            <w:tcW w:type="pct" w:w="25%"/>
          </w:tcPr>
          <w:p>
            <w:r>
              <w:rPr>
                <w:rFonts w:ascii="Calibri" w:cs="Calibri" w:eastAsia="Calibri" w:hAnsi="Calibri"/>
                <w:color w:val="333333"/>
                <w:sz w:val="20"/>
                <w:szCs w:val="20"/>
              </w:rPr>
              <w:t xml:space="preserve">Twilio</w:t>
            </w:r>
          </w:p>
        </w:tc>
        <w:tc>
          <w:tcPr>
            <w:tcW w:type="pct" w:w="25%"/>
          </w:tcPr>
          <w:p>
            <w:r>
              <w:rPr>
                <w:rFonts w:ascii="Calibri" w:cs="Calibri" w:eastAsia="Calibri" w:hAnsi="Calibri"/>
                <w:color w:val="333333"/>
                <w:sz w:val="20"/>
                <w:szCs w:val="20"/>
              </w:rPr>
              <w:t xml:space="preserve">OTP delivery for phone number verification</w:t>
            </w:r>
          </w:p>
        </w:tc>
        <w:tc>
          <w:tcPr>
            <w:tcW w:type="pct" w:w="25%"/>
          </w:tcPr>
          <w:p>
            <w:r>
              <w:rPr>
                <w:rFonts w:ascii="Calibri" w:cs="Calibri" w:eastAsia="Calibri" w:hAnsi="Calibri"/>
                <w:color w:val="333333"/>
                <w:sz w:val="20"/>
                <w:szCs w:val="20"/>
              </w:rPr>
              <w:t xml:space="preserve">USA (global SMS network)</w:t>
            </w:r>
          </w:p>
        </w:tc>
      </w:tr>
      <w:tr>
        <w:tc>
          <w:tcPr>
            <w:tcW w:type="pct" w:w="25%"/>
          </w:tcPr>
          <w:p>
            <w:r>
              <w:rPr>
                <w:rFonts w:ascii="Calibri" w:cs="Calibri" w:eastAsia="Calibri" w:hAnsi="Calibri"/>
                <w:color w:val="333333"/>
                <w:sz w:val="20"/>
                <w:szCs w:val="20"/>
              </w:rPr>
              <w:t xml:space="preserve">App Distribution</w:t>
            </w:r>
          </w:p>
        </w:tc>
        <w:tc>
          <w:tcPr>
            <w:tcW w:type="pct" w:w="25%"/>
          </w:tcPr>
          <w:p>
            <w:r>
              <w:rPr>
                <w:rFonts w:ascii="Calibri" w:cs="Calibri" w:eastAsia="Calibri" w:hAnsi="Calibri"/>
                <w:color w:val="333333"/>
                <w:sz w:val="20"/>
                <w:szCs w:val="20"/>
              </w:rPr>
              <w:t xml:space="preserve">Google/Apple</w:t>
            </w:r>
          </w:p>
        </w:tc>
        <w:tc>
          <w:tcPr>
            <w:tcW w:type="pct" w:w="25%"/>
          </w:tcPr>
          <w:p>
            <w:r>
              <w:rPr>
                <w:rFonts w:ascii="Calibri" w:cs="Calibri" w:eastAsia="Calibri" w:hAnsi="Calibri"/>
                <w:color w:val="333333"/>
                <w:sz w:val="20"/>
                <w:szCs w:val="20"/>
              </w:rPr>
              <w:t xml:space="preserve">Google Play Store and Apple App Store for app distribution</w:t>
            </w:r>
          </w:p>
        </w:tc>
        <w:tc>
          <w:tcPr>
            <w:tcW w:type="pct" w:w="25%"/>
          </w:tcPr>
          <w:p>
            <w:r>
              <w:rPr>
                <w:rFonts w:ascii="Calibri" w:cs="Calibri" w:eastAsia="Calibri" w:hAnsi="Calibri"/>
                <w:color w:val="333333"/>
                <w:sz w:val="20"/>
                <w:szCs w:val="20"/>
              </w:rPr>
              <w:t xml:space="preserve">USA</w:t>
            </w:r>
          </w:p>
        </w:tc>
      </w:tr>
      <w:tr>
        <w:tc>
          <w:tcPr>
            <w:tcW w:type="pct" w:w="25%"/>
          </w:tcPr>
          <w:p>
            <w:r>
              <w:rPr>
                <w:rFonts w:ascii="Calibri" w:cs="Calibri" w:eastAsia="Calibri" w:hAnsi="Calibri"/>
                <w:color w:val="333333"/>
                <w:sz w:val="20"/>
                <w:szCs w:val="20"/>
              </w:rPr>
              <w:t xml:space="preserve">Build Infrastructure</w:t>
            </w:r>
          </w:p>
        </w:tc>
        <w:tc>
          <w:tcPr>
            <w:tcW w:type="pct" w:w="25%"/>
          </w:tcPr>
          <w:p>
            <w:r>
              <w:rPr>
                <w:rFonts w:ascii="Calibri" w:cs="Calibri" w:eastAsia="Calibri" w:hAnsi="Calibri"/>
                <w:color w:val="333333"/>
                <w:sz w:val="20"/>
                <w:szCs w:val="20"/>
              </w:rPr>
              <w:t xml:space="preserve">Expo (EAS)</w:t>
            </w:r>
          </w:p>
        </w:tc>
        <w:tc>
          <w:tcPr>
            <w:tcW w:type="pct" w:w="25%"/>
          </w:tcPr>
          <w:p>
            <w:r>
              <w:rPr>
                <w:rFonts w:ascii="Calibri" w:cs="Calibri" w:eastAsia="Calibri" w:hAnsi="Calibri"/>
                <w:color w:val="333333"/>
                <w:sz w:val="20"/>
                <w:szCs w:val="20"/>
              </w:rPr>
              <w:t xml:space="preserve">Application build and signing services</w:t>
            </w:r>
          </w:p>
        </w:tc>
        <w:tc>
          <w:tcPr>
            <w:tcW w:type="pct" w:w="25%"/>
          </w:tcPr>
          <w:p>
            <w:r>
              <w:rPr>
                <w:rFonts w:ascii="Calibri" w:cs="Calibri" w:eastAsia="Calibri" w:hAnsi="Calibri"/>
                <w:color w:val="333333"/>
                <w:sz w:val="20"/>
                <w:szCs w:val="20"/>
              </w:rPr>
              <w:t xml:space="preserve">USA</w:t>
            </w:r>
          </w:p>
        </w:tc>
      </w:tr>
    </w:tbl>
    <w:p>
      <w:pPr>
        <w:spacing w:after="200"/>
      </w:pPr>
    </w:p>
    <w:p>
      <w:pPr>
        <w:pStyle w:val="Heading2"/>
        <w:spacing w:after="120" w:before="300"/>
      </w:pPr>
      <w:r>
        <w:rPr>
          <w:rFonts w:ascii="Calibri" w:cs="Calibri" w:eastAsia="Calibri" w:hAnsi="Calibri"/>
          <w:b/>
          <w:bCs/>
          <w:color w:val="0A6E3C"/>
          <w:sz w:val="26"/>
          <w:szCs w:val="26"/>
        </w:rPr>
        <w:t xml:space="preserve">7.2 Outsourcing Risk Management</w:t>
      </w:r>
    </w:p>
    <w:p>
      <w:pPr>
        <w:spacing w:after="120" w:before="0"/>
        <w:jc w:val="both"/>
      </w:pPr>
      <w:r>
        <w:rPr>
          <w:rFonts w:ascii="Calibri" w:cs="Calibri" w:eastAsia="Calibri" w:hAnsi="Calibri"/>
          <w:b w:val="false"/>
          <w:bCs w:val="false"/>
          <w:i w:val="false"/>
          <w:iCs w:val="false"/>
          <w:color w:val="333333"/>
          <w:sz w:val="22"/>
          <w:szCs w:val="22"/>
        </w:rPr>
        <w:t xml:space="preserve">Monde manages outsourcing risks through:</w:t>
      </w:r>
    </w:p>
    <w:p>
      <w:pPr>
        <w:pStyle w:val="ListParagraph"/>
        <w:numPr>
          <w:ilvl w:val="0"/>
          <w:numId w:val="1"/>
        </w:numPr>
        <w:spacing w:after="60"/>
      </w:pPr>
      <w:r>
        <w:rPr>
          <w:rFonts w:ascii="Calibri" w:cs="Calibri" w:eastAsia="Calibri" w:hAnsi="Calibri"/>
          <w:color w:val="333333"/>
          <w:sz w:val="22"/>
          <w:szCs w:val="22"/>
        </w:rPr>
        <w:t xml:space="preserve">Service Level Agreements (SLAs) with all critical providers</w:t>
      </w:r>
    </w:p>
    <w:p>
      <w:pPr>
        <w:pStyle w:val="ListParagraph"/>
        <w:numPr>
          <w:ilvl w:val="0"/>
          <w:numId w:val="1"/>
        </w:numPr>
        <w:spacing w:after="60"/>
      </w:pPr>
      <w:r>
        <w:rPr>
          <w:rFonts w:ascii="Calibri" w:cs="Calibri" w:eastAsia="Calibri" w:hAnsi="Calibri"/>
          <w:color w:val="333333"/>
          <w:sz w:val="22"/>
          <w:szCs w:val="22"/>
        </w:rPr>
        <w:t xml:space="preserve">Regular performance monitoring and review</w:t>
      </w:r>
    </w:p>
    <w:p>
      <w:pPr>
        <w:pStyle w:val="ListParagraph"/>
        <w:numPr>
          <w:ilvl w:val="0"/>
          <w:numId w:val="1"/>
        </w:numPr>
        <w:spacing w:after="60"/>
      </w:pPr>
      <w:r>
        <w:rPr>
          <w:rFonts w:ascii="Calibri" w:cs="Calibri" w:eastAsia="Calibri" w:hAnsi="Calibri"/>
          <w:color w:val="333333"/>
          <w:sz w:val="22"/>
          <w:szCs w:val="22"/>
        </w:rPr>
        <w:t xml:space="preserve">Contingency planning for provider failure or discontinuation</w:t>
      </w:r>
    </w:p>
    <w:p>
      <w:pPr>
        <w:pStyle w:val="ListParagraph"/>
        <w:numPr>
          <w:ilvl w:val="0"/>
          <w:numId w:val="1"/>
        </w:numPr>
        <w:spacing w:after="60"/>
      </w:pPr>
      <w:r>
        <w:rPr>
          <w:rFonts w:ascii="Calibri" w:cs="Calibri" w:eastAsia="Calibri" w:hAnsi="Calibri"/>
          <w:color w:val="333333"/>
          <w:sz w:val="22"/>
          <w:szCs w:val="22"/>
        </w:rPr>
        <w:t xml:space="preserve">Data protection and confidentiality clauses in all provider agreements</w:t>
      </w:r>
    </w:p>
    <w:p>
      <w:pPr>
        <w:pStyle w:val="ListParagraph"/>
        <w:numPr>
          <w:ilvl w:val="0"/>
          <w:numId w:val="1"/>
        </w:numPr>
        <w:spacing w:after="60"/>
      </w:pPr>
      <w:r>
        <w:rPr>
          <w:rFonts w:ascii="Calibri" w:cs="Calibri" w:eastAsia="Calibri" w:hAnsi="Calibri"/>
          <w:color w:val="333333"/>
          <w:sz w:val="22"/>
          <w:szCs w:val="22"/>
        </w:rPr>
        <w:t xml:space="preserve">Compliance verification for providers handling customer data</w:t>
      </w:r>
    </w:p>
    <w:p>
      <w:pPr>
        <w:pStyle w:val="ListParagraph"/>
        <w:numPr>
          <w:ilvl w:val="0"/>
          <w:numId w:val="1"/>
        </w:numPr>
        <w:spacing w:after="60"/>
      </w:pPr>
      <w:r>
        <w:rPr>
          <w:rFonts w:ascii="Calibri" w:cs="Calibri" w:eastAsia="Calibri" w:hAnsi="Calibri"/>
          <w:color w:val="333333"/>
          <w:sz w:val="22"/>
          <w:szCs w:val="22"/>
        </w:rPr>
        <w:t xml:space="preserve">Board oversight of significant outsourcing arrangements</w:t>
      </w:r>
    </w:p>
    <w:p>
      <w:pPr>
        <w:pStyle w:val="Heading2"/>
        <w:spacing w:after="120" w:before="300"/>
      </w:pPr>
      <w:r>
        <w:rPr>
          <w:rFonts w:ascii="Calibri" w:cs="Calibri" w:eastAsia="Calibri" w:hAnsi="Calibri"/>
          <w:b/>
          <w:bCs/>
          <w:color w:val="0A6E3C"/>
          <w:sz w:val="26"/>
          <w:szCs w:val="26"/>
        </w:rPr>
        <w:t xml:space="preserve">7.3 Data Residency</w:t>
      </w:r>
    </w:p>
    <w:p>
      <w:pPr>
        <w:spacing w:after="120" w:before="0"/>
        <w:jc w:val="both"/>
      </w:pPr>
      <w:r>
        <w:rPr>
          <w:rFonts w:ascii="Calibri" w:cs="Calibri" w:eastAsia="Calibri" w:hAnsi="Calibri"/>
          <w:b w:val="false"/>
          <w:bCs w:val="false"/>
          <w:i w:val="false"/>
          <w:iCs w:val="false"/>
          <w:color w:val="333333"/>
          <w:sz w:val="22"/>
          <w:szCs w:val="22"/>
        </w:rPr>
        <w:t xml:space="preserve">While the primary database is hosted on AWS in the af-south-1 (Cape Town) region, customer data may transit through other jurisdictions for processing. Monde ensures:</w:t>
      </w:r>
    </w:p>
    <w:p>
      <w:pPr>
        <w:pStyle w:val="ListParagraph"/>
        <w:numPr>
          <w:ilvl w:val="0"/>
          <w:numId w:val="1"/>
        </w:numPr>
        <w:spacing w:after="60"/>
      </w:pPr>
      <w:r>
        <w:rPr>
          <w:rFonts w:ascii="Calibri" w:cs="Calibri" w:eastAsia="Calibri" w:hAnsi="Calibri"/>
          <w:color w:val="333333"/>
          <w:sz w:val="22"/>
          <w:szCs w:val="22"/>
        </w:rPr>
        <w:t xml:space="preserve">All data in transit is encrypted with TLS 1.3</w:t>
      </w:r>
    </w:p>
    <w:p>
      <w:pPr>
        <w:pStyle w:val="ListParagraph"/>
        <w:numPr>
          <w:ilvl w:val="0"/>
          <w:numId w:val="1"/>
        </w:numPr>
        <w:spacing w:after="60"/>
      </w:pPr>
      <w:r>
        <w:rPr>
          <w:rFonts w:ascii="Calibri" w:cs="Calibri" w:eastAsia="Calibri" w:hAnsi="Calibri"/>
          <w:color w:val="333333"/>
          <w:sz w:val="22"/>
          <w:szCs w:val="22"/>
        </w:rPr>
        <w:t xml:space="preserve">All data at rest is encrypted with AES-256</w:t>
      </w:r>
    </w:p>
    <w:p>
      <w:pPr>
        <w:pStyle w:val="ListParagraph"/>
        <w:numPr>
          <w:ilvl w:val="0"/>
          <w:numId w:val="1"/>
        </w:numPr>
        <w:spacing w:after="60"/>
      </w:pPr>
      <w:r>
        <w:rPr>
          <w:rFonts w:ascii="Calibri" w:cs="Calibri" w:eastAsia="Calibri" w:hAnsi="Calibri"/>
          <w:color w:val="333333"/>
          <w:sz w:val="22"/>
          <w:szCs w:val="22"/>
        </w:rPr>
        <w:t xml:space="preserve">Data processing agreements are in place with all providers</w:t>
      </w:r>
    </w:p>
    <w:p>
      <w:pPr>
        <w:pStyle w:val="ListParagraph"/>
        <w:numPr>
          <w:ilvl w:val="0"/>
          <w:numId w:val="1"/>
        </w:numPr>
        <w:spacing w:after="60"/>
      </w:pPr>
      <w:r>
        <w:rPr>
          <w:rFonts w:ascii="Calibri" w:cs="Calibri" w:eastAsia="Calibri" w:hAnsi="Calibri"/>
          <w:color w:val="333333"/>
          <w:sz w:val="22"/>
          <w:szCs w:val="22"/>
        </w:rPr>
        <w:t xml:space="preserve">No provider has standing access to decrypted customer financial data</w:t>
      </w:r>
    </w:p>
    <w:p>
      <w:pPr>
        <w:pStyle w:val="Heading1"/>
        <w:spacing w:after="120" w:before="300"/>
      </w:pPr>
      <w:r>
        <w:rPr>
          <w:rFonts w:ascii="Calibri" w:cs="Calibri" w:eastAsia="Calibri" w:hAnsi="Calibri"/>
          <w:b/>
          <w:bCs/>
          <w:color w:val="0A6E3C"/>
          <w:sz w:val="32"/>
          <w:szCs w:val="32"/>
        </w:rPr>
        <w:t xml:space="preserve">8. PARTICIPATION IN PAYMENT SYSTEMS</w:t>
      </w:r>
    </w:p>
    <w:p>
      <w:pPr>
        <w:spacing w:after="120" w:before="0"/>
        <w:jc w:val="both"/>
      </w:pPr>
      <w:r>
        <w:rPr>
          <w:rFonts w:ascii="Calibri" w:cs="Calibri" w:eastAsia="Calibri" w:hAnsi="Calibri"/>
          <w:b w:val="false"/>
          <w:bCs w:val="false"/>
          <w:i w:val="false"/>
          <w:iCs w:val="false"/>
          <w:color w:val="333333"/>
          <w:sz w:val="22"/>
          <w:szCs w:val="22"/>
        </w:rPr>
        <w:t xml:space="preserve">Monde is applying for designation as a payment system under the National Payment Systems Act, 2007. Monde does not currently participate in any other national or international payment system. Integration with external payment systems is facilitated through the Lipila payment gateway, which handles all interoperability with mobile money operators and banking institutions.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2026-03-20T08:48:00.637Z</dcterms:created>
  <dcterms:modified xsi:type="dcterms:W3CDTF">2026-03-20T08:48:00.638Z</dcterms:modified>
</cp:coreProperties>
</file>

<file path=docProps/custom.xml><?xml version="1.0" encoding="utf-8"?>
<Properties xmlns="http://schemas.openxmlformats.org/officeDocument/2006/custom-properties" xmlns:vt="http://schemas.openxmlformats.org/officeDocument/2006/docPropsVTypes"/>
</file>