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before="0"/>
        <w:jc w:val="center"/>
      </w:pPr>
      <w:r>
        <w:rPr>
          <w:rFonts w:ascii="Calibri" w:cs="Calibri" w:eastAsia="Calibri" w:hAnsi="Calibri"/>
          <w:b/>
          <w:bCs/>
          <w:color w:val="0A6E3C"/>
          <w:sz w:val="72"/>
          <w:szCs w:val="72"/>
        </w:rPr>
        <w:t xml:space="preserve">MONDE</w:t>
      </w:r>
    </w:p>
    <w:p>
      <w:pPr>
        <w:spacing w:after="200" w:before="0"/>
        <w:jc w:val="center"/>
      </w:pPr>
      <w:r>
        <w:rPr>
          <w:rFonts w:ascii="Calibri" w:cs="Calibri" w:eastAsia="Calibri" w:hAnsi="Calibri"/>
          <w:b/>
          <w:bCs/>
          <w:color w:val="666666"/>
          <w:sz w:val="36"/>
          <w:szCs w:val="36"/>
        </w:rPr>
        <w:t xml:space="preserve">Digital Payment System</w:t>
      </w:r>
    </w:p>
    <w:p>
      <w:pPr>
        <w:spacing w:after="400"/>
      </w:pPr>
    </w:p>
    <w:p>
      <w:pPr>
        <w:spacing w:after="200" w:before="0"/>
        <w:jc w:val="center"/>
      </w:pPr>
      <w:r>
        <w:rPr>
          <w:rFonts w:ascii="Calibri" w:cs="Calibri" w:eastAsia="Calibri" w:hAnsi="Calibri"/>
          <w:b/>
          <w:bCs/>
          <w:color w:val="0A6E3C"/>
          <w:sz w:val="40"/>
          <w:szCs w:val="40"/>
        </w:rPr>
        <w:t xml:space="preserve">Customer Transaction
Policies and Procedures</w:t>
      </w:r>
    </w:p>
    <w:p>
      <w:pPr>
        <w:spacing w:after="200" w:before="0"/>
        <w:jc w:val="center"/>
      </w:pPr>
      <w:r>
        <w:rPr>
          <w:rFonts w:ascii="Calibri" w:cs="Calibri" w:eastAsia="Calibri" w:hAnsi="Calibri"/>
          <w:b/>
          <w:bCs/>
          <w:color w:val="666666"/>
          <w:sz w:val="28"/>
          <w:szCs w:val="28"/>
        </w:rPr>
        <w:t xml:space="preserve">Policies Governing Customer
Transactions on the Monde Platform</w:t>
      </w:r>
    </w:p>
    <w:p>
      <w:pPr>
        <w:spacing w:after="600"/>
      </w:pPr>
    </w:p>
    <w:p>
      <w:pPr>
        <w:spacing w:after="120" w:before="0"/>
        <w:jc w:val="center"/>
      </w:pPr>
      <w:r>
        <w:rPr>
          <w:rFonts w:ascii="Calibri" w:cs="Calibri" w:eastAsia="Calibri" w:hAnsi="Calibri"/>
          <w:b w:val="false"/>
          <w:bCs w:val="false"/>
          <w:i w:val="false"/>
          <w:iCs w:val="false"/>
          <w:color w:val="666666"/>
          <w:sz w:val="22"/>
          <w:szCs w:val="22"/>
        </w:rPr>
        <w:t xml:space="preserve">Version: 1.0</w:t>
      </w:r>
    </w:p>
    <w:p>
      <w:pPr>
        <w:spacing w:after="120" w:before="0"/>
        <w:jc w:val="center"/>
      </w:pPr>
      <w:r>
        <w:rPr>
          <w:rFonts w:ascii="Calibri" w:cs="Calibri" w:eastAsia="Calibri" w:hAnsi="Calibri"/>
          <w:b w:val="false"/>
          <w:bCs w:val="false"/>
          <w:i w:val="false"/>
          <w:iCs w:val="false"/>
          <w:color w:val="666666"/>
          <w:sz w:val="22"/>
          <w:szCs w:val="22"/>
        </w:rPr>
        <w:t xml:space="preserve">Date: 20 March 2026</w:t>
      </w:r>
    </w:p>
    <w:p>
      <w:pPr>
        <w:spacing w:after="120" w:before="0"/>
        <w:jc w:val="center"/>
      </w:pPr>
      <w:r>
        <w:rPr>
          <w:rFonts w:ascii="Calibri" w:cs="Calibri" w:eastAsia="Calibri" w:hAnsi="Calibri"/>
          <w:b/>
          <w:bCs/>
          <w:i w:val="false"/>
          <w:iCs w:val="false"/>
          <w:color w:val="CC0000"/>
          <w:sz w:val="22"/>
          <w:szCs w:val="22"/>
        </w:rPr>
        <w:t xml:space="preserve">Classification: CONFIDENTIAL</w:t>
      </w:r>
    </w:p>
    <w:p>
      <w:pPr>
        <w:spacing w:after="400"/>
      </w:pPr>
    </w:p>
    <w:p>
      <w:pPr>
        <w:spacing w:after="120" w:before="0"/>
        <w:jc w:val="center"/>
      </w:pPr>
      <w:r>
        <w:rPr>
          <w:rFonts w:ascii="Calibri" w:cs="Calibri" w:eastAsia="Calibri" w:hAnsi="Calibri"/>
          <w:b w:val="false"/>
          <w:bCs w:val="false"/>
          <w:i/>
          <w:iCs/>
          <w:color w:val="666666"/>
          <w:sz w:val="22"/>
          <w:szCs w:val="22"/>
        </w:rPr>
        <w:t xml:space="preserve">Prepared for submission to the Bank of Zambia</w:t>
      </w:r>
    </w:p>
    <w:p>
      <w:pPr>
        <w:spacing w:after="120" w:before="0"/>
        <w:jc w:val="center"/>
      </w:pPr>
      <w:r>
        <w:rPr>
          <w:rFonts w:ascii="Calibri" w:cs="Calibri" w:eastAsia="Calibri" w:hAnsi="Calibri"/>
          <w:b w:val="false"/>
          <w:bCs w:val="false"/>
          <w:i/>
          <w:iCs/>
          <w:color w:val="666666"/>
          <w:sz w:val="22"/>
          <w:szCs w:val="22"/>
        </w:rPr>
        <w:t xml:space="preserve">Payment Systems Department</w:t>
      </w:r>
    </w:p>
    <w:p>
      <w:r>
        <w:br w:type="page"/>
      </w:r>
    </w:p>
    <w:p>
      <w:pPr>
        <w:pStyle w:val="Heading1"/>
        <w:spacing w:after="120" w:before="300"/>
      </w:pPr>
      <w:r>
        <w:rPr>
          <w:rFonts w:ascii="Calibri" w:cs="Calibri" w:eastAsia="Calibri" w:hAnsi="Calibri"/>
          <w:b/>
          <w:bCs/>
          <w:color w:val="0A6E3C"/>
          <w:sz w:val="32"/>
          <w:szCs w:val="32"/>
        </w:rPr>
        <w:t xml:space="preserve">CONFIDENTIALITY NOTICE</w:t>
      </w:r>
    </w:p>
    <w:p>
      <w:pPr>
        <w:spacing w:after="120" w:before="0"/>
        <w:jc w:val="both"/>
      </w:pPr>
      <w:r>
        <w:rPr>
          <w:rFonts w:ascii="Calibri" w:cs="Calibri" w:eastAsia="Calibri" w:hAnsi="Calibri"/>
          <w:b w:val="false"/>
          <w:bCs w:val="false"/>
          <w:i w:val="false"/>
          <w:iCs w:val="false"/>
          <w:color w:val="333333"/>
          <w:sz w:val="22"/>
          <w:szCs w:val="22"/>
        </w:rPr>
        <w:t xml:space="preserve">This document contains proprietary and confidential information belonging to Monde. The information contained herein is intended solely for the use of the Bank of Zambia in connection with the application for designation as a payment system under the National Payment Systems Act, 2007. Any reproduction, distribution, or disclosure of this document or its contents to any unauthorized party is strictly prohibited.</w:t>
      </w:r>
    </w:p>
    <w:p>
      <w:pPr>
        <w:spacing w:after="200"/>
      </w:pPr>
    </w:p>
    <w:p>
      <w:pPr>
        <w:pStyle w:val="Heading1"/>
        <w:spacing w:after="120" w:before="300"/>
      </w:pPr>
      <w:r>
        <w:rPr>
          <w:rFonts w:ascii="Calibri" w:cs="Calibri" w:eastAsia="Calibri" w:hAnsi="Calibri"/>
          <w:b/>
          <w:bCs/>
          <w:color w:val="0A6E3C"/>
          <w:sz w:val="32"/>
          <w:szCs w:val="32"/>
        </w:rPr>
        <w:t xml:space="preserve">1. INTRODUCTION</w:t>
      </w:r>
    </w:p>
    <w:p>
      <w:pPr>
        <w:spacing w:after="120" w:before="0"/>
        <w:jc w:val="both"/>
      </w:pPr>
      <w:r>
        <w:rPr>
          <w:rFonts w:ascii="Calibri" w:cs="Calibri" w:eastAsia="Calibri" w:hAnsi="Calibri"/>
          <w:b w:val="false"/>
          <w:bCs w:val="false"/>
          <w:i w:val="false"/>
          <w:iCs w:val="false"/>
          <w:color w:val="333333"/>
          <w:sz w:val="22"/>
          <w:szCs w:val="22"/>
        </w:rPr>
        <w:t xml:space="preserve">This document sets out the policies and procedures governing transactions between Monde and its customers. These policies ensure that all transactions are conducted in a fair, transparent, and secure manner, in compliance with the National Payment Systems Act, 2007, and the Bank of Zambia regulatory requirements.</w:t>
      </w:r>
    </w:p>
    <w:p>
      <w:pPr>
        <w:pStyle w:val="Heading1"/>
        <w:spacing w:after="120" w:before="300"/>
      </w:pPr>
      <w:r>
        <w:rPr>
          <w:rFonts w:ascii="Calibri" w:cs="Calibri" w:eastAsia="Calibri" w:hAnsi="Calibri"/>
          <w:b/>
          <w:bCs/>
          <w:color w:val="0A6E3C"/>
          <w:sz w:val="32"/>
          <w:szCs w:val="32"/>
        </w:rPr>
        <w:t xml:space="preserve">2. GENERAL TRANSACTION POLICIES</w:t>
      </w:r>
    </w:p>
    <w:p>
      <w:pPr>
        <w:pStyle w:val="Heading2"/>
        <w:spacing w:after="120" w:before="300"/>
      </w:pPr>
      <w:r>
        <w:rPr>
          <w:rFonts w:ascii="Calibri" w:cs="Calibri" w:eastAsia="Calibri" w:hAnsi="Calibri"/>
          <w:b/>
          <w:bCs/>
          <w:color w:val="0A6E3C"/>
          <w:sz w:val="26"/>
          <w:szCs w:val="26"/>
        </w:rPr>
        <w:t xml:space="preserve">2.1 Transaction Currency</w:t>
      </w:r>
    </w:p>
    <w:p>
      <w:pPr>
        <w:spacing w:after="120" w:before="0"/>
        <w:jc w:val="both"/>
      </w:pPr>
      <w:r>
        <w:rPr>
          <w:rFonts w:ascii="Calibri" w:cs="Calibri" w:eastAsia="Calibri" w:hAnsi="Calibri"/>
          <w:b w:val="false"/>
          <w:bCs w:val="false"/>
          <w:i w:val="false"/>
          <w:iCs w:val="false"/>
          <w:color w:val="333333"/>
          <w:sz w:val="22"/>
          <w:szCs w:val="22"/>
        </w:rPr>
        <w:t xml:space="preserve">All transactions on the Monde platform are denominated in Zambian Kwacha (ZMW). Monde does not support multi-currency transactions at this time.</w:t>
      </w:r>
    </w:p>
    <w:p>
      <w:pPr>
        <w:pStyle w:val="Heading2"/>
        <w:spacing w:after="120" w:before="300"/>
      </w:pPr>
      <w:r>
        <w:rPr>
          <w:rFonts w:ascii="Calibri" w:cs="Calibri" w:eastAsia="Calibri" w:hAnsi="Calibri"/>
          <w:b/>
          <w:bCs/>
          <w:color w:val="0A6E3C"/>
          <w:sz w:val="26"/>
          <w:szCs w:val="26"/>
        </w:rPr>
        <w:t xml:space="preserve">2.2 Transaction Confirmation</w:t>
      </w:r>
    </w:p>
    <w:p>
      <w:pPr>
        <w:spacing w:after="120" w:before="0"/>
        <w:jc w:val="both"/>
      </w:pPr>
      <w:r>
        <w:rPr>
          <w:rFonts w:ascii="Calibri" w:cs="Calibri" w:eastAsia="Calibri" w:hAnsi="Calibri"/>
          <w:b w:val="false"/>
          <w:bCs w:val="false"/>
          <w:i w:val="false"/>
          <w:iCs w:val="false"/>
          <w:color w:val="333333"/>
          <w:sz w:val="22"/>
          <w:szCs w:val="22"/>
        </w:rPr>
        <w:t xml:space="preserve">Every financial transaction requires explicit customer confirmation:</w:t>
      </w:r>
    </w:p>
    <w:p>
      <w:pPr>
        <w:pStyle w:val="ListParagraph"/>
        <w:numPr>
          <w:ilvl w:val="0"/>
          <w:numId w:val="1"/>
        </w:numPr>
        <w:spacing w:after="60"/>
      </w:pPr>
      <w:r>
        <w:rPr>
          <w:rFonts w:ascii="Calibri" w:cs="Calibri" w:eastAsia="Calibri" w:hAnsi="Calibri"/>
          <w:color w:val="333333"/>
          <w:sz w:val="22"/>
          <w:szCs w:val="22"/>
        </w:rPr>
        <w:t xml:space="preserve">The customer must review the transaction details (recipient, amount, fees) before confirming</w:t>
      </w:r>
    </w:p>
    <w:p>
      <w:pPr>
        <w:pStyle w:val="ListParagraph"/>
        <w:numPr>
          <w:ilvl w:val="0"/>
          <w:numId w:val="1"/>
        </w:numPr>
        <w:spacing w:after="60"/>
      </w:pPr>
      <w:r>
        <w:rPr>
          <w:rFonts w:ascii="Calibri" w:cs="Calibri" w:eastAsia="Calibri" w:hAnsi="Calibri"/>
          <w:color w:val="333333"/>
          <w:sz w:val="22"/>
          <w:szCs w:val="22"/>
        </w:rPr>
        <w:t xml:space="preserve">PIN verification is required for all financial transactions (send, top-up, withdraw, cash-out request)</w:t>
      </w:r>
    </w:p>
    <w:p>
      <w:pPr>
        <w:pStyle w:val="ListParagraph"/>
        <w:numPr>
          <w:ilvl w:val="0"/>
          <w:numId w:val="1"/>
        </w:numPr>
        <w:spacing w:after="60"/>
      </w:pPr>
      <w:r>
        <w:rPr>
          <w:rFonts w:ascii="Calibri" w:cs="Calibri" w:eastAsia="Calibri" w:hAnsi="Calibri"/>
          <w:color w:val="333333"/>
          <w:sz w:val="22"/>
          <w:szCs w:val="22"/>
        </w:rPr>
        <w:t xml:space="preserve">Once confirmed and processed, P2P transactions are final and irrevocable</w:t>
      </w:r>
    </w:p>
    <w:p>
      <w:pPr>
        <w:pStyle w:val="ListParagraph"/>
        <w:numPr>
          <w:ilvl w:val="0"/>
          <w:numId w:val="1"/>
        </w:numPr>
        <w:spacing w:after="60"/>
      </w:pPr>
      <w:r>
        <w:rPr>
          <w:rFonts w:ascii="Calibri" w:cs="Calibri" w:eastAsia="Calibri" w:hAnsi="Calibri"/>
          <w:color w:val="333333"/>
          <w:sz w:val="22"/>
          <w:szCs w:val="22"/>
        </w:rPr>
        <w:t xml:space="preserve">Top-up and withdrawal transactions are subject to external payment gateway processing and may be reversed if the external transaction fails</w:t>
      </w:r>
    </w:p>
    <w:p>
      <w:pPr>
        <w:pStyle w:val="Heading2"/>
        <w:spacing w:after="120" w:before="300"/>
      </w:pPr>
      <w:r>
        <w:rPr>
          <w:rFonts w:ascii="Calibri" w:cs="Calibri" w:eastAsia="Calibri" w:hAnsi="Calibri"/>
          <w:b/>
          <w:bCs/>
          <w:color w:val="0A6E3C"/>
          <w:sz w:val="26"/>
          <w:szCs w:val="26"/>
        </w:rPr>
        <w:t xml:space="preserve">2.3 Transaction Limits</w:t>
      </w:r>
    </w:p>
    <w:p>
      <w:pPr>
        <w:spacing w:after="120" w:before="0"/>
        <w:jc w:val="both"/>
      </w:pPr>
      <w:r>
        <w:rPr>
          <w:rFonts w:ascii="Calibri" w:cs="Calibri" w:eastAsia="Calibri" w:hAnsi="Calibri"/>
          <w:b w:val="false"/>
          <w:bCs w:val="false"/>
          <w:i w:val="false"/>
          <w:iCs w:val="false"/>
          <w:color w:val="333333"/>
          <w:sz w:val="22"/>
          <w:szCs w:val="22"/>
        </w:rPr>
        <w:t xml:space="preserve">Transaction limits are enforced based on the customer account tier: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Tier</w:t>
            </w:r>
          </w:p>
        </w:tc>
        <w:tc>
          <w:tcPr>
            <w:tcW w:type="pct" w:w="25%"/>
            <w:shd w:color="0A6E3C" w:val="solid"/>
          </w:tcPr>
          <w:p>
            <w:pPr>
              <w:jc w:val="center"/>
            </w:pPr>
            <w:r>
              <w:rPr>
                <w:rFonts w:ascii="Calibri" w:cs="Calibri" w:eastAsia="Calibri" w:hAnsi="Calibri"/>
                <w:b/>
                <w:bCs/>
                <w:color w:val="FFFFFF"/>
                <w:sz w:val="20"/>
                <w:szCs w:val="20"/>
              </w:rPr>
              <w:t xml:space="preserve">Maximum Wallet Balance</w:t>
            </w:r>
          </w:p>
        </w:tc>
        <w:tc>
          <w:tcPr>
            <w:tcW w:type="pct" w:w="25%"/>
            <w:shd w:color="0A6E3C" w:val="solid"/>
          </w:tcPr>
          <w:p>
            <w:pPr>
              <w:jc w:val="center"/>
            </w:pPr>
            <w:r>
              <w:rPr>
                <w:rFonts w:ascii="Calibri" w:cs="Calibri" w:eastAsia="Calibri" w:hAnsi="Calibri"/>
                <w:b/>
                <w:bCs/>
                <w:color w:val="FFFFFF"/>
                <w:sz w:val="20"/>
                <w:szCs w:val="20"/>
              </w:rPr>
              <w:t xml:space="preserve">Maximum Daily Transaction Volume</w:t>
            </w:r>
          </w:p>
        </w:tc>
        <w:tc>
          <w:tcPr>
            <w:tcW w:type="pct" w:w="25%"/>
            <w:shd w:color="0A6E3C" w:val="solid"/>
          </w:tcPr>
          <w:p>
            <w:pPr>
              <w:jc w:val="center"/>
            </w:pPr>
            <w:r>
              <w:rPr>
                <w:rFonts w:ascii="Calibri" w:cs="Calibri" w:eastAsia="Calibri" w:hAnsi="Calibri"/>
                <w:b/>
                <w:bCs/>
                <w:color w:val="FFFFFF"/>
                <w:sz w:val="20"/>
                <w:szCs w:val="20"/>
              </w:rPr>
              <w:t xml:space="preserve">Maximum Single Transaction</w:t>
            </w:r>
          </w:p>
        </w:tc>
      </w:tr>
      <w:tr>
        <w:tc>
          <w:tcPr>
            <w:tcW w:type="pct" w:w="25%"/>
          </w:tcPr>
          <w:p>
            <w:r>
              <w:rPr>
                <w:rFonts w:ascii="Calibri" w:cs="Calibri" w:eastAsia="Calibri" w:hAnsi="Calibri"/>
                <w:color w:val="333333"/>
                <w:sz w:val="20"/>
                <w:szCs w:val="20"/>
              </w:rPr>
              <w:t xml:space="preserve">Copper</w:t>
            </w:r>
          </w:p>
        </w:tc>
        <w:tc>
          <w:tcPr>
            <w:tcW w:type="pct" w:w="25%"/>
          </w:tcPr>
          <w:p>
            <w:r>
              <w:rPr>
                <w:rFonts w:ascii="Calibri" w:cs="Calibri" w:eastAsia="Calibri" w:hAnsi="Calibri"/>
                <w:color w:val="333333"/>
                <w:sz w:val="20"/>
                <w:szCs w:val="20"/>
              </w:rPr>
              <w:t xml:space="preserve">K100,000</w:t>
            </w:r>
          </w:p>
        </w:tc>
        <w:tc>
          <w:tcPr>
            <w:tcW w:type="pct" w:w="25%"/>
          </w:tcPr>
          <w:p>
            <w:r>
              <w:rPr>
                <w:rFonts w:ascii="Calibri" w:cs="Calibri" w:eastAsia="Calibri" w:hAnsi="Calibri"/>
                <w:color w:val="333333"/>
                <w:sz w:val="20"/>
                <w:szCs w:val="20"/>
              </w:rPr>
              <w:t xml:space="preserve">K20,000</w:t>
            </w:r>
          </w:p>
        </w:tc>
        <w:tc>
          <w:tcPr>
            <w:tcW w:type="pct" w:w="25%"/>
          </w:tcPr>
          <w:p>
            <w:r>
              <w:rPr>
                <w:rFonts w:ascii="Calibri" w:cs="Calibri" w:eastAsia="Calibri" w:hAnsi="Calibri"/>
                <w:color w:val="333333"/>
                <w:sz w:val="20"/>
                <w:szCs w:val="20"/>
              </w:rPr>
              <w:t xml:space="preserve">K50,000</w:t>
            </w:r>
          </w:p>
        </w:tc>
      </w:tr>
      <w:tr>
        <w:tc>
          <w:tcPr>
            <w:tcW w:type="pct" w:w="25%"/>
          </w:tcPr>
          <w:p>
            <w:r>
              <w:rPr>
                <w:rFonts w:ascii="Calibri" w:cs="Calibri" w:eastAsia="Calibri" w:hAnsi="Calibri"/>
                <w:color w:val="333333"/>
                <w:sz w:val="20"/>
                <w:szCs w:val="20"/>
              </w:rPr>
              <w:t xml:space="preserve">Gold</w:t>
            </w:r>
          </w:p>
        </w:tc>
        <w:tc>
          <w:tcPr>
            <w:tcW w:type="pct" w:w="25%"/>
          </w:tcPr>
          <w:p>
            <w:r>
              <w:rPr>
                <w:rFonts w:ascii="Calibri" w:cs="Calibri" w:eastAsia="Calibri" w:hAnsi="Calibri"/>
                <w:color w:val="333333"/>
                <w:sz w:val="20"/>
                <w:szCs w:val="20"/>
              </w:rPr>
              <w:t xml:space="preserve">K250,000</w:t>
            </w:r>
          </w:p>
        </w:tc>
        <w:tc>
          <w:tcPr>
            <w:tcW w:type="pct" w:w="25%"/>
          </w:tcPr>
          <w:p>
            <w:r>
              <w:rPr>
                <w:rFonts w:ascii="Calibri" w:cs="Calibri" w:eastAsia="Calibri" w:hAnsi="Calibri"/>
                <w:color w:val="333333"/>
                <w:sz w:val="20"/>
                <w:szCs w:val="20"/>
              </w:rPr>
              <w:t xml:space="preserve">K50,000</w:t>
            </w:r>
          </w:p>
        </w:tc>
        <w:tc>
          <w:tcPr>
            <w:tcW w:type="pct" w:w="25%"/>
          </w:tcPr>
          <w:p>
            <w:r>
              <w:rPr>
                <w:rFonts w:ascii="Calibri" w:cs="Calibri" w:eastAsia="Calibri" w:hAnsi="Calibri"/>
                <w:color w:val="333333"/>
                <w:sz w:val="20"/>
                <w:szCs w:val="20"/>
              </w:rPr>
              <w:t xml:space="preserve">K50,000</w:t>
            </w:r>
          </w:p>
        </w:tc>
      </w:tr>
      <w:tr>
        <w:tc>
          <w:tcPr>
            <w:tcW w:type="pct" w:w="25%"/>
          </w:tcPr>
          <w:p>
            <w:r>
              <w:rPr>
                <w:rFonts w:ascii="Calibri" w:cs="Calibri" w:eastAsia="Calibri" w:hAnsi="Calibri"/>
                <w:color w:val="333333"/>
                <w:sz w:val="20"/>
                <w:szCs w:val="20"/>
              </w:rPr>
              <w:t xml:space="preserve">Platinum</w:t>
            </w:r>
          </w:p>
        </w:tc>
        <w:tc>
          <w:tcPr>
            <w:tcW w:type="pct" w:w="25%"/>
          </w:tcPr>
          <w:p>
            <w:r>
              <w:rPr>
                <w:rFonts w:ascii="Calibri" w:cs="Calibri" w:eastAsia="Calibri" w:hAnsi="Calibri"/>
                <w:color w:val="333333"/>
                <w:sz w:val="20"/>
                <w:szCs w:val="20"/>
              </w:rPr>
              <w:t xml:space="preserve">K500,000</w:t>
            </w:r>
          </w:p>
        </w:tc>
        <w:tc>
          <w:tcPr>
            <w:tcW w:type="pct" w:w="25%"/>
          </w:tcPr>
          <w:p>
            <w:r>
              <w:rPr>
                <w:rFonts w:ascii="Calibri" w:cs="Calibri" w:eastAsia="Calibri" w:hAnsi="Calibri"/>
                <w:color w:val="333333"/>
                <w:sz w:val="20"/>
                <w:szCs w:val="20"/>
              </w:rPr>
              <w:t xml:space="preserve">K100,000</w:t>
            </w:r>
          </w:p>
        </w:tc>
        <w:tc>
          <w:tcPr>
            <w:tcW w:type="pct" w:w="25%"/>
          </w:tcPr>
          <w:p>
            <w:r>
              <w:rPr>
                <w:rFonts w:ascii="Calibri" w:cs="Calibri" w:eastAsia="Calibri" w:hAnsi="Calibri"/>
                <w:color w:val="333333"/>
                <w:sz w:val="20"/>
                <w:szCs w:val="20"/>
              </w:rPr>
              <w:t xml:space="preserve">K50,000</w:t>
            </w:r>
          </w:p>
        </w:tc>
      </w:tr>
    </w:tbl>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Limits are enforced at the database level and cannot be circumvented through the application. Exceeding a limit will result in the transaction being rejected with a clear error message to the customer.</w:t>
      </w:r>
    </w:p>
    <w:p>
      <w:pPr>
        <w:pStyle w:val="Heading2"/>
        <w:spacing w:after="120" w:before="300"/>
      </w:pPr>
      <w:r>
        <w:rPr>
          <w:rFonts w:ascii="Calibri" w:cs="Calibri" w:eastAsia="Calibri" w:hAnsi="Calibri"/>
          <w:b/>
          <w:bCs/>
          <w:color w:val="0A6E3C"/>
          <w:sz w:val="26"/>
          <w:szCs w:val="26"/>
        </w:rPr>
        <w:t xml:space="preserve">2.4 Transaction Fees</w:t>
      </w:r>
    </w:p>
    <w:p>
      <w:pPr>
        <w:spacing w:after="120" w:before="0"/>
        <w:jc w:val="both"/>
      </w:pPr>
      <w:r>
        <w:rPr>
          <w:rFonts w:ascii="Calibri" w:cs="Calibri" w:eastAsia="Calibri" w:hAnsi="Calibri"/>
          <w:b w:val="false"/>
          <w:bCs w:val="false"/>
          <w:i w:val="false"/>
          <w:iCs w:val="false"/>
          <w:color w:val="333333"/>
          <w:sz w:val="22"/>
          <w:szCs w:val="22"/>
        </w:rPr>
        <w:t xml:space="preserve">All applicable fees are disclosed to the customer before transaction confirmation. Fee details are provided in the separate document: "Product Pricing and Fee Structure." Key principles:</w:t>
      </w:r>
    </w:p>
    <w:p>
      <w:pPr>
        <w:pStyle w:val="ListParagraph"/>
        <w:numPr>
          <w:ilvl w:val="0"/>
          <w:numId w:val="1"/>
        </w:numPr>
        <w:spacing w:after="60"/>
      </w:pPr>
      <w:r>
        <w:rPr>
          <w:rFonts w:ascii="Calibri" w:cs="Calibri" w:eastAsia="Calibri" w:hAnsi="Calibri"/>
          <w:color w:val="333333"/>
          <w:sz w:val="22"/>
          <w:szCs w:val="22"/>
        </w:rPr>
        <w:t xml:space="preserve">Fees are deducted from the sender wallet at the time of transaction</w:t>
      </w:r>
    </w:p>
    <w:p>
      <w:pPr>
        <w:pStyle w:val="ListParagraph"/>
        <w:numPr>
          <w:ilvl w:val="0"/>
          <w:numId w:val="1"/>
        </w:numPr>
        <w:spacing w:after="60"/>
      </w:pPr>
      <w:r>
        <w:rPr>
          <w:rFonts w:ascii="Calibri" w:cs="Calibri" w:eastAsia="Calibri" w:hAnsi="Calibri"/>
          <w:color w:val="333333"/>
          <w:sz w:val="22"/>
          <w:szCs w:val="22"/>
        </w:rPr>
        <w:t xml:space="preserve">The customer sees the exact fee amount and total deduction before confirming</w:t>
      </w:r>
    </w:p>
    <w:p>
      <w:pPr>
        <w:pStyle w:val="ListParagraph"/>
        <w:numPr>
          <w:ilvl w:val="0"/>
          <w:numId w:val="1"/>
        </w:numPr>
        <w:spacing w:after="60"/>
      </w:pPr>
      <w:r>
        <w:rPr>
          <w:rFonts w:ascii="Calibri" w:cs="Calibri" w:eastAsia="Calibri" w:hAnsi="Calibri"/>
          <w:color w:val="333333"/>
          <w:sz w:val="22"/>
          <w:szCs w:val="22"/>
        </w:rPr>
        <w:t xml:space="preserve">Fee records are maintained in a dedicated fee tracking table for audit purposes</w:t>
      </w:r>
    </w:p>
    <w:p>
      <w:pPr>
        <w:pStyle w:val="ListParagraph"/>
        <w:numPr>
          <w:ilvl w:val="0"/>
          <w:numId w:val="1"/>
        </w:numPr>
        <w:spacing w:after="60"/>
      </w:pPr>
      <w:r>
        <w:rPr>
          <w:rFonts w:ascii="Calibri" w:cs="Calibri" w:eastAsia="Calibri" w:hAnsi="Calibri"/>
          <w:color w:val="333333"/>
          <w:sz w:val="22"/>
          <w:szCs w:val="22"/>
        </w:rPr>
        <w:t xml:space="preserve">No hidden or undisclosed fees are charged</w:t>
      </w:r>
    </w:p>
    <w:p>
      <w:pPr>
        <w:pStyle w:val="Heading1"/>
        <w:spacing w:after="120" w:before="300"/>
      </w:pPr>
      <w:r>
        <w:rPr>
          <w:rFonts w:ascii="Calibri" w:cs="Calibri" w:eastAsia="Calibri" w:hAnsi="Calibri"/>
          <w:b/>
          <w:bCs/>
          <w:color w:val="0A6E3C"/>
          <w:sz w:val="32"/>
          <w:szCs w:val="32"/>
        </w:rPr>
        <w:t xml:space="preserve">3. P2P PAYMENT POLICIES</w:t>
      </w:r>
    </w:p>
    <w:p>
      <w:pPr>
        <w:pStyle w:val="Heading2"/>
        <w:spacing w:after="120" w:before="300"/>
      </w:pPr>
      <w:r>
        <w:rPr>
          <w:rFonts w:ascii="Calibri" w:cs="Calibri" w:eastAsia="Calibri" w:hAnsi="Calibri"/>
          <w:b/>
          <w:bCs/>
          <w:color w:val="0A6E3C"/>
          <w:sz w:val="26"/>
          <w:szCs w:val="26"/>
        </w:rPr>
        <w:t xml:space="preserve">3.1 Sending Money</w:t>
      </w:r>
    </w:p>
    <w:p>
      <w:pPr>
        <w:spacing w:after="120" w:before="0"/>
        <w:jc w:val="both"/>
      </w:pPr>
      <w:r>
        <w:rPr>
          <w:rFonts w:ascii="Calibri" w:cs="Calibri" w:eastAsia="Calibri" w:hAnsi="Calibri"/>
          <w:b w:val="false"/>
          <w:bCs w:val="false"/>
          <w:i w:val="false"/>
          <w:iCs w:val="false"/>
          <w:color w:val="333333"/>
          <w:sz w:val="22"/>
          <w:szCs w:val="22"/>
        </w:rPr>
        <w:t xml:space="preserve">To send money, the customer must:</w:t>
      </w:r>
    </w:p>
    <w:p>
      <w:pPr>
        <w:pStyle w:val="ListParagraph"/>
        <w:numPr>
          <w:ilvl w:val="0"/>
          <w:numId w:val="1"/>
        </w:numPr>
        <w:spacing w:after="60"/>
      </w:pPr>
      <w:r>
        <w:rPr>
          <w:rFonts w:ascii="Calibri" w:cs="Calibri" w:eastAsia="Calibri" w:hAnsi="Calibri"/>
          <w:color w:val="333333"/>
          <w:sz w:val="22"/>
          <w:szCs w:val="22"/>
        </w:rPr>
        <w:t xml:space="preserve">Have sufficient balance to cover the payment amount plus any applicable fee</w:t>
      </w:r>
    </w:p>
    <w:p>
      <w:pPr>
        <w:pStyle w:val="ListParagraph"/>
        <w:numPr>
          <w:ilvl w:val="0"/>
          <w:numId w:val="1"/>
        </w:numPr>
        <w:spacing w:after="60"/>
      </w:pPr>
      <w:r>
        <w:rPr>
          <w:rFonts w:ascii="Calibri" w:cs="Calibri" w:eastAsia="Calibri" w:hAnsi="Calibri"/>
          <w:color w:val="333333"/>
          <w:sz w:val="22"/>
          <w:szCs w:val="22"/>
        </w:rPr>
        <w:t xml:space="preserve">Provide the recipient phone number, scan their QR code, or use NFC</w:t>
      </w:r>
    </w:p>
    <w:p>
      <w:pPr>
        <w:pStyle w:val="ListParagraph"/>
        <w:numPr>
          <w:ilvl w:val="0"/>
          <w:numId w:val="1"/>
        </w:numPr>
        <w:spacing w:after="60"/>
      </w:pPr>
      <w:r>
        <w:rPr>
          <w:rFonts w:ascii="Calibri" w:cs="Calibri" w:eastAsia="Calibri" w:hAnsi="Calibri"/>
          <w:color w:val="333333"/>
          <w:sz w:val="22"/>
          <w:szCs w:val="22"/>
        </w:rPr>
        <w:t xml:space="preserve">Confirm the transaction with their PIN</w:t>
      </w:r>
    </w:p>
    <w:p>
      <w:pPr>
        <w:spacing w:after="120" w:before="0"/>
        <w:jc w:val="both"/>
      </w:pPr>
      <w:r>
        <w:rPr>
          <w:rFonts w:ascii="Calibri" w:cs="Calibri" w:eastAsia="Calibri" w:hAnsi="Calibri"/>
          <w:b w:val="false"/>
          <w:bCs w:val="false"/>
          <w:i w:val="false"/>
          <w:iCs w:val="false"/>
          <w:color w:val="333333"/>
          <w:sz w:val="22"/>
          <w:szCs w:val="22"/>
        </w:rPr>
        <w:t xml:space="preserve">Restrictions:</w:t>
      </w:r>
    </w:p>
    <w:p>
      <w:pPr>
        <w:pStyle w:val="ListParagraph"/>
        <w:numPr>
          <w:ilvl w:val="0"/>
          <w:numId w:val="1"/>
        </w:numPr>
        <w:spacing w:after="60"/>
      </w:pPr>
      <w:r>
        <w:rPr>
          <w:rFonts w:ascii="Calibri" w:cs="Calibri" w:eastAsia="Calibri" w:hAnsi="Calibri"/>
          <w:color w:val="333333"/>
          <w:sz w:val="22"/>
          <w:szCs w:val="22"/>
        </w:rPr>
        <w:t xml:space="preserve">Customers cannot send money to themselves</w:t>
      </w:r>
    </w:p>
    <w:p>
      <w:pPr>
        <w:pStyle w:val="ListParagraph"/>
        <w:numPr>
          <w:ilvl w:val="0"/>
          <w:numId w:val="1"/>
        </w:numPr>
        <w:spacing w:after="60"/>
      </w:pPr>
      <w:r>
        <w:rPr>
          <w:rFonts w:ascii="Calibri" w:cs="Calibri" w:eastAsia="Calibri" w:hAnsi="Calibri"/>
          <w:color w:val="333333"/>
          <w:sz w:val="22"/>
          <w:szCs w:val="22"/>
        </w:rPr>
        <w:t xml:space="preserve">Agent accounts are blocked from using P2P send (agents must use agent-specific functions)</w:t>
      </w:r>
    </w:p>
    <w:p>
      <w:pPr>
        <w:pStyle w:val="ListParagraph"/>
        <w:numPr>
          <w:ilvl w:val="0"/>
          <w:numId w:val="1"/>
        </w:numPr>
        <w:spacing w:after="60"/>
      </w:pPr>
      <w:r>
        <w:rPr>
          <w:rFonts w:ascii="Calibri" w:cs="Calibri" w:eastAsia="Calibri" w:hAnsi="Calibri"/>
          <w:color w:val="333333"/>
          <w:sz w:val="22"/>
          <w:szCs w:val="22"/>
        </w:rPr>
        <w:t xml:space="preserve">Frozen accounts cannot send money</w:t>
      </w:r>
    </w:p>
    <w:p>
      <w:pPr>
        <w:pStyle w:val="ListParagraph"/>
        <w:numPr>
          <w:ilvl w:val="0"/>
          <w:numId w:val="1"/>
        </w:numPr>
        <w:spacing w:after="60"/>
      </w:pPr>
      <w:r>
        <w:rPr>
          <w:rFonts w:ascii="Calibri" w:cs="Calibri" w:eastAsia="Calibri" w:hAnsi="Calibri"/>
          <w:color w:val="333333"/>
          <w:sz w:val="22"/>
          <w:szCs w:val="22"/>
        </w:rPr>
        <w:t xml:space="preserve">The recipient must be a registered Monde user</w:t>
      </w:r>
    </w:p>
    <w:p>
      <w:pPr>
        <w:pStyle w:val="Heading2"/>
        <w:spacing w:after="120" w:before="300"/>
      </w:pPr>
      <w:r>
        <w:rPr>
          <w:rFonts w:ascii="Calibri" w:cs="Calibri" w:eastAsia="Calibri" w:hAnsi="Calibri"/>
          <w:b/>
          <w:bCs/>
          <w:color w:val="0A6E3C"/>
          <w:sz w:val="26"/>
          <w:szCs w:val="26"/>
        </w:rPr>
        <w:t xml:space="preserve">3.2 Receiving Money</w:t>
      </w:r>
    </w:p>
    <w:p>
      <w:pPr>
        <w:spacing w:after="120" w:before="0"/>
        <w:jc w:val="both"/>
      </w:pPr>
      <w:r>
        <w:rPr>
          <w:rFonts w:ascii="Calibri" w:cs="Calibri" w:eastAsia="Calibri" w:hAnsi="Calibri"/>
          <w:b w:val="false"/>
          <w:bCs w:val="false"/>
          <w:i w:val="false"/>
          <w:iCs w:val="false"/>
          <w:color w:val="333333"/>
          <w:sz w:val="22"/>
          <w:szCs w:val="22"/>
        </w:rPr>
        <w:t xml:space="preserve">Receiving money is automatic and requires no action from the recipient. When a P2P payment is received:</w:t>
      </w:r>
    </w:p>
    <w:p>
      <w:pPr>
        <w:pStyle w:val="ListParagraph"/>
        <w:numPr>
          <w:ilvl w:val="0"/>
          <w:numId w:val="1"/>
        </w:numPr>
        <w:spacing w:after="60"/>
      </w:pPr>
      <w:r>
        <w:rPr>
          <w:rFonts w:ascii="Calibri" w:cs="Calibri" w:eastAsia="Calibri" w:hAnsi="Calibri"/>
          <w:color w:val="333333"/>
          <w:sz w:val="22"/>
          <w:szCs w:val="22"/>
        </w:rPr>
        <w:t xml:space="preserve">The recipient wallet balance is credited immediately</w:t>
      </w:r>
    </w:p>
    <w:p>
      <w:pPr>
        <w:pStyle w:val="ListParagraph"/>
        <w:numPr>
          <w:ilvl w:val="0"/>
          <w:numId w:val="1"/>
        </w:numPr>
        <w:spacing w:after="60"/>
      </w:pPr>
      <w:r>
        <w:rPr>
          <w:rFonts w:ascii="Calibri" w:cs="Calibri" w:eastAsia="Calibri" w:hAnsi="Calibri"/>
          <w:color w:val="333333"/>
          <w:sz w:val="22"/>
          <w:szCs w:val="22"/>
        </w:rPr>
        <w:t xml:space="preserve">A push notification is sent to the recipient (if enabled)</w:t>
      </w:r>
    </w:p>
    <w:p>
      <w:pPr>
        <w:pStyle w:val="ListParagraph"/>
        <w:numPr>
          <w:ilvl w:val="0"/>
          <w:numId w:val="1"/>
        </w:numPr>
        <w:spacing w:after="60"/>
      </w:pPr>
      <w:r>
        <w:rPr>
          <w:rFonts w:ascii="Calibri" w:cs="Calibri" w:eastAsia="Calibri" w:hAnsi="Calibri"/>
          <w:color w:val="333333"/>
          <w:sz w:val="22"/>
          <w:szCs w:val="22"/>
        </w:rPr>
        <w:t xml:space="preserve">The transaction appears in the recipient transaction history</w:t>
      </w:r>
    </w:p>
    <w:p>
      <w:pPr>
        <w:pStyle w:val="ListParagraph"/>
        <w:numPr>
          <w:ilvl w:val="0"/>
          <w:numId w:val="1"/>
        </w:numPr>
        <w:spacing w:after="60"/>
      </w:pPr>
      <w:r>
        <w:rPr>
          <w:rFonts w:ascii="Calibri" w:cs="Calibri" w:eastAsia="Calibri" w:hAnsi="Calibri"/>
          <w:color w:val="333333"/>
          <w:sz w:val="22"/>
          <w:szCs w:val="22"/>
        </w:rPr>
        <w:t xml:space="preserve">Frozen accounts cannot receive P2P payments</w:t>
      </w:r>
    </w:p>
    <w:p>
      <w:pPr>
        <w:pStyle w:val="Heading2"/>
        <w:spacing w:after="120" w:before="300"/>
      </w:pPr>
      <w:r>
        <w:rPr>
          <w:rFonts w:ascii="Calibri" w:cs="Calibri" w:eastAsia="Calibri" w:hAnsi="Calibri"/>
          <w:b/>
          <w:bCs/>
          <w:color w:val="0A6E3C"/>
          <w:sz w:val="26"/>
          <w:szCs w:val="26"/>
        </w:rPr>
        <w:t xml:space="preserve">3.3 Transaction Records</w:t>
      </w:r>
    </w:p>
    <w:p>
      <w:pPr>
        <w:spacing w:after="120" w:before="0"/>
        <w:jc w:val="both"/>
      </w:pPr>
      <w:r>
        <w:rPr>
          <w:rFonts w:ascii="Calibri" w:cs="Calibri" w:eastAsia="Calibri" w:hAnsi="Calibri"/>
          <w:b w:val="false"/>
          <w:bCs w:val="false"/>
          <w:i w:val="false"/>
          <w:iCs w:val="false"/>
          <w:color w:val="333333"/>
          <w:sz w:val="22"/>
          <w:szCs w:val="22"/>
        </w:rPr>
        <w:t xml:space="preserve">Both sender and recipient receive a transaction record that includes:</w:t>
      </w:r>
    </w:p>
    <w:p>
      <w:pPr>
        <w:pStyle w:val="ListParagraph"/>
        <w:numPr>
          <w:ilvl w:val="0"/>
          <w:numId w:val="1"/>
        </w:numPr>
        <w:spacing w:after="60"/>
      </w:pPr>
      <w:r>
        <w:rPr>
          <w:rFonts w:ascii="Calibri" w:cs="Calibri" w:eastAsia="Calibri" w:hAnsi="Calibri"/>
          <w:color w:val="333333"/>
          <w:sz w:val="22"/>
          <w:szCs w:val="22"/>
        </w:rPr>
        <w:t xml:space="preserve">Transaction ID (unique identifier)</w:t>
      </w:r>
    </w:p>
    <w:p>
      <w:pPr>
        <w:pStyle w:val="ListParagraph"/>
        <w:numPr>
          <w:ilvl w:val="0"/>
          <w:numId w:val="1"/>
        </w:numPr>
        <w:spacing w:after="60"/>
      </w:pPr>
      <w:r>
        <w:rPr>
          <w:rFonts w:ascii="Calibri" w:cs="Calibri" w:eastAsia="Calibri" w:hAnsi="Calibri"/>
          <w:color w:val="333333"/>
          <w:sz w:val="22"/>
          <w:szCs w:val="22"/>
        </w:rPr>
        <w:t xml:space="preserve">Date and time</w:t>
      </w:r>
    </w:p>
    <w:p>
      <w:pPr>
        <w:pStyle w:val="ListParagraph"/>
        <w:numPr>
          <w:ilvl w:val="0"/>
          <w:numId w:val="1"/>
        </w:numPr>
        <w:spacing w:after="60"/>
      </w:pPr>
      <w:r>
        <w:rPr>
          <w:rFonts w:ascii="Calibri" w:cs="Calibri" w:eastAsia="Calibri" w:hAnsi="Calibri"/>
          <w:color w:val="333333"/>
          <w:sz w:val="22"/>
          <w:szCs w:val="22"/>
        </w:rPr>
        <w:t xml:space="preserve">Amount sent/received</w:t>
      </w:r>
    </w:p>
    <w:p>
      <w:pPr>
        <w:pStyle w:val="ListParagraph"/>
        <w:numPr>
          <w:ilvl w:val="0"/>
          <w:numId w:val="1"/>
        </w:numPr>
        <w:spacing w:after="60"/>
      </w:pPr>
      <w:r>
        <w:rPr>
          <w:rFonts w:ascii="Calibri" w:cs="Calibri" w:eastAsia="Calibri" w:hAnsi="Calibri"/>
          <w:color w:val="333333"/>
          <w:sz w:val="22"/>
          <w:szCs w:val="22"/>
        </w:rPr>
        <w:t xml:space="preserve">Fee charged (for sender)</w:t>
      </w:r>
    </w:p>
    <w:p>
      <w:pPr>
        <w:pStyle w:val="ListParagraph"/>
        <w:numPr>
          <w:ilvl w:val="0"/>
          <w:numId w:val="1"/>
        </w:numPr>
        <w:spacing w:after="60"/>
      </w:pPr>
      <w:r>
        <w:rPr>
          <w:rFonts w:ascii="Calibri" w:cs="Calibri" w:eastAsia="Calibri" w:hAnsi="Calibri"/>
          <w:color w:val="333333"/>
          <w:sz w:val="22"/>
          <w:szCs w:val="22"/>
        </w:rPr>
        <w:t xml:space="preserve">Counterparty name and phone number</w:t>
      </w:r>
    </w:p>
    <w:p>
      <w:pPr>
        <w:pStyle w:val="ListParagraph"/>
        <w:numPr>
          <w:ilvl w:val="0"/>
          <w:numId w:val="1"/>
        </w:numPr>
        <w:spacing w:after="60"/>
      </w:pPr>
      <w:r>
        <w:rPr>
          <w:rFonts w:ascii="Calibri" w:cs="Calibri" w:eastAsia="Calibri" w:hAnsi="Calibri"/>
          <w:color w:val="333333"/>
          <w:sz w:val="22"/>
          <w:szCs w:val="22"/>
        </w:rPr>
        <w:t xml:space="preserve">Transaction status (completed, pending, failed)</w:t>
      </w:r>
    </w:p>
    <w:p>
      <w:pPr>
        <w:pStyle w:val="ListParagraph"/>
        <w:numPr>
          <w:ilvl w:val="0"/>
          <w:numId w:val="1"/>
        </w:numPr>
        <w:spacing w:after="60"/>
      </w:pPr>
      <w:r>
        <w:rPr>
          <w:rFonts w:ascii="Calibri" w:cs="Calibri" w:eastAsia="Calibri" w:hAnsi="Calibri"/>
          <w:color w:val="333333"/>
          <w:sz w:val="22"/>
          <w:szCs w:val="22"/>
        </w:rPr>
        <w:t xml:space="preserve">Optional note attached by the sender</w:t>
      </w:r>
    </w:p>
    <w:p>
      <w:r>
        <w:br w:type="page"/>
      </w:r>
    </w:p>
    <w:p>
      <w:pPr>
        <w:pStyle w:val="Heading1"/>
        <w:spacing w:after="120" w:before="300"/>
      </w:pPr>
      <w:r>
        <w:rPr>
          <w:rFonts w:ascii="Calibri" w:cs="Calibri" w:eastAsia="Calibri" w:hAnsi="Calibri"/>
          <w:b/>
          <w:bCs/>
          <w:color w:val="0A6E3C"/>
          <w:sz w:val="32"/>
          <w:szCs w:val="32"/>
        </w:rPr>
        <w:t xml:space="preserve">4. TOP-UP POLICIES</w:t>
      </w:r>
    </w:p>
    <w:p>
      <w:pPr>
        <w:pStyle w:val="Heading2"/>
        <w:spacing w:after="120" w:before="300"/>
      </w:pPr>
      <w:r>
        <w:rPr>
          <w:rFonts w:ascii="Calibri" w:cs="Calibri" w:eastAsia="Calibri" w:hAnsi="Calibri"/>
          <w:b/>
          <w:bCs/>
          <w:color w:val="0A6E3C"/>
          <w:sz w:val="26"/>
          <w:szCs w:val="26"/>
        </w:rPr>
        <w:t xml:space="preserve">4.1 Wallet Top-Up Procedure</w:t>
      </w:r>
    </w:p>
    <w:p>
      <w:pPr>
        <w:pStyle w:val="ListParagraph"/>
        <w:numPr>
          <w:ilvl w:val="0"/>
          <w:numId w:val="1"/>
        </w:numPr>
        <w:spacing w:after="60"/>
      </w:pPr>
      <w:r>
        <w:rPr>
          <w:rFonts w:ascii="Calibri" w:cs="Calibri" w:eastAsia="Calibri" w:hAnsi="Calibri"/>
          <w:color w:val="333333"/>
          <w:sz w:val="22"/>
          <w:szCs w:val="22"/>
        </w:rPr>
        <w:t xml:space="preserve">1. Customer selects the top-up amount and funding source (mobile money or bank card)</w:t>
      </w:r>
    </w:p>
    <w:p>
      <w:pPr>
        <w:pStyle w:val="ListParagraph"/>
        <w:numPr>
          <w:ilvl w:val="0"/>
          <w:numId w:val="1"/>
        </w:numPr>
        <w:spacing w:after="60"/>
      </w:pPr>
      <w:r>
        <w:rPr>
          <w:rFonts w:ascii="Calibri" w:cs="Calibri" w:eastAsia="Calibri" w:hAnsi="Calibri"/>
          <w:color w:val="333333"/>
          <w:sz w:val="22"/>
          <w:szCs w:val="22"/>
        </w:rPr>
        <w:t xml:space="preserve">2. System displays the fee and net amount to be credited</w:t>
      </w:r>
    </w:p>
    <w:p>
      <w:pPr>
        <w:pStyle w:val="ListParagraph"/>
        <w:numPr>
          <w:ilvl w:val="0"/>
          <w:numId w:val="1"/>
        </w:numPr>
        <w:spacing w:after="60"/>
      </w:pPr>
      <w:r>
        <w:rPr>
          <w:rFonts w:ascii="Calibri" w:cs="Calibri" w:eastAsia="Calibri" w:hAnsi="Calibri"/>
          <w:color w:val="333333"/>
          <w:sz w:val="22"/>
          <w:szCs w:val="22"/>
        </w:rPr>
        <w:t xml:space="preserve">3. Customer confirms with PIN</w:t>
      </w:r>
    </w:p>
    <w:p>
      <w:pPr>
        <w:pStyle w:val="ListParagraph"/>
        <w:numPr>
          <w:ilvl w:val="0"/>
          <w:numId w:val="1"/>
        </w:numPr>
        <w:spacing w:after="60"/>
      </w:pPr>
      <w:r>
        <w:rPr>
          <w:rFonts w:ascii="Calibri" w:cs="Calibri" w:eastAsia="Calibri" w:hAnsi="Calibri"/>
          <w:color w:val="333333"/>
          <w:sz w:val="22"/>
          <w:szCs w:val="22"/>
        </w:rPr>
        <w:t xml:space="preserve">4. A collection request is sent to the payment gateway (Lipila)</w:t>
      </w:r>
    </w:p>
    <w:p>
      <w:pPr>
        <w:pStyle w:val="ListParagraph"/>
        <w:numPr>
          <w:ilvl w:val="0"/>
          <w:numId w:val="1"/>
        </w:numPr>
        <w:spacing w:after="60"/>
      </w:pPr>
      <w:r>
        <w:rPr>
          <w:rFonts w:ascii="Calibri" w:cs="Calibri" w:eastAsia="Calibri" w:hAnsi="Calibri"/>
          <w:color w:val="333333"/>
          <w:sz w:val="22"/>
          <w:szCs w:val="22"/>
        </w:rPr>
        <w:t xml:space="preserve">5. Customer approves the deduction on their mobile money provider (USSD prompt) or card</w:t>
      </w:r>
    </w:p>
    <w:p>
      <w:pPr>
        <w:pStyle w:val="ListParagraph"/>
        <w:numPr>
          <w:ilvl w:val="0"/>
          <w:numId w:val="1"/>
        </w:numPr>
        <w:spacing w:after="60"/>
      </w:pPr>
      <w:r>
        <w:rPr>
          <w:rFonts w:ascii="Calibri" w:cs="Calibri" w:eastAsia="Calibri" w:hAnsi="Calibri"/>
          <w:color w:val="333333"/>
          <w:sz w:val="22"/>
          <w:szCs w:val="22"/>
        </w:rPr>
        <w:t xml:space="preserve">6. On successful collection, the wallet is credited with the net amount (amount minus fee)</w:t>
      </w:r>
    </w:p>
    <w:p>
      <w:pPr>
        <w:pStyle w:val="ListParagraph"/>
        <w:numPr>
          <w:ilvl w:val="0"/>
          <w:numId w:val="1"/>
        </w:numPr>
        <w:spacing w:after="60"/>
      </w:pPr>
      <w:r>
        <w:rPr>
          <w:rFonts w:ascii="Calibri" w:cs="Calibri" w:eastAsia="Calibri" w:hAnsi="Calibri"/>
          <w:color w:val="333333"/>
          <w:sz w:val="22"/>
          <w:szCs w:val="22"/>
        </w:rPr>
        <w:t xml:space="preserve">7. If the collection fails, no changes are made to the wallet</w:t>
      </w:r>
    </w:p>
    <w:p>
      <w:pPr>
        <w:pStyle w:val="Heading2"/>
        <w:spacing w:after="120" w:before="300"/>
      </w:pPr>
      <w:r>
        <w:rPr>
          <w:rFonts w:ascii="Calibri" w:cs="Calibri" w:eastAsia="Calibri" w:hAnsi="Calibri"/>
          <w:b/>
          <w:bCs/>
          <w:color w:val="0A6E3C"/>
          <w:sz w:val="26"/>
          <w:szCs w:val="26"/>
        </w:rPr>
        <w:t xml:space="preserve">4.2 Top-Up Limits</w:t>
      </w:r>
    </w:p>
    <w:p>
      <w:pPr>
        <w:pStyle w:val="ListParagraph"/>
        <w:numPr>
          <w:ilvl w:val="0"/>
          <w:numId w:val="1"/>
        </w:numPr>
        <w:spacing w:after="60"/>
      </w:pPr>
      <w:r>
        <w:rPr>
          <w:rFonts w:ascii="Calibri" w:cs="Calibri" w:eastAsia="Calibri" w:hAnsi="Calibri"/>
          <w:color w:val="333333"/>
          <w:sz w:val="22"/>
          <w:szCs w:val="22"/>
        </w:rPr>
        <w:t xml:space="preserve">Minimum top-up: K1.00</w:t>
      </w:r>
    </w:p>
    <w:p>
      <w:pPr>
        <w:pStyle w:val="ListParagraph"/>
        <w:numPr>
          <w:ilvl w:val="0"/>
          <w:numId w:val="1"/>
        </w:numPr>
        <w:spacing w:after="60"/>
      </w:pPr>
      <w:r>
        <w:rPr>
          <w:rFonts w:ascii="Calibri" w:cs="Calibri" w:eastAsia="Calibri" w:hAnsi="Calibri"/>
          <w:color w:val="333333"/>
          <w:sz w:val="22"/>
          <w:szCs w:val="22"/>
        </w:rPr>
        <w:t xml:space="preserve">Maximum single top-up: K50,000.00</w:t>
      </w:r>
    </w:p>
    <w:p>
      <w:pPr>
        <w:pStyle w:val="ListParagraph"/>
        <w:numPr>
          <w:ilvl w:val="0"/>
          <w:numId w:val="1"/>
        </w:numPr>
        <w:spacing w:after="60"/>
      </w:pPr>
      <w:r>
        <w:rPr>
          <w:rFonts w:ascii="Calibri" w:cs="Calibri" w:eastAsia="Calibri" w:hAnsi="Calibri"/>
          <w:color w:val="333333"/>
          <w:sz w:val="22"/>
          <w:szCs w:val="22"/>
        </w:rPr>
        <w:t xml:space="preserve">Subject to daily transaction limits per account tier</w:t>
      </w:r>
    </w:p>
    <w:p>
      <w:pPr>
        <w:pStyle w:val="ListParagraph"/>
        <w:numPr>
          <w:ilvl w:val="0"/>
          <w:numId w:val="1"/>
        </w:numPr>
        <w:spacing w:after="60"/>
      </w:pPr>
      <w:r>
        <w:rPr>
          <w:rFonts w:ascii="Calibri" w:cs="Calibri" w:eastAsia="Calibri" w:hAnsi="Calibri"/>
          <w:color w:val="333333"/>
          <w:sz w:val="22"/>
          <w:szCs w:val="22"/>
        </w:rPr>
        <w:t xml:space="preserve">Subject to maximum wallet balance per account tier</w:t>
      </w:r>
    </w:p>
    <w:p>
      <w:pPr>
        <w:pStyle w:val="Heading2"/>
        <w:spacing w:after="120" w:before="300"/>
      </w:pPr>
      <w:r>
        <w:rPr>
          <w:rFonts w:ascii="Calibri" w:cs="Calibri" w:eastAsia="Calibri" w:hAnsi="Calibri"/>
          <w:b/>
          <w:bCs/>
          <w:color w:val="0A6E3C"/>
          <w:sz w:val="26"/>
          <w:szCs w:val="26"/>
        </w:rPr>
        <w:t xml:space="preserve">4.3 Pending Top-Ups</w:t>
      </w:r>
    </w:p>
    <w:p>
      <w:pPr>
        <w:spacing w:after="120" w:before="0"/>
        <w:jc w:val="both"/>
      </w:pPr>
      <w:r>
        <w:rPr>
          <w:rFonts w:ascii="Calibri" w:cs="Calibri" w:eastAsia="Calibri" w:hAnsi="Calibri"/>
          <w:b w:val="false"/>
          <w:bCs w:val="false"/>
          <w:i w:val="false"/>
          <w:iCs w:val="false"/>
          <w:color w:val="333333"/>
          <w:sz w:val="22"/>
          <w:szCs w:val="22"/>
        </w:rPr>
        <w:t xml:space="preserve">Top-up transactions have a pending state while awaiting payment gateway confirmation. Pending transactions:</w:t>
      </w:r>
    </w:p>
    <w:p>
      <w:pPr>
        <w:pStyle w:val="ListParagraph"/>
        <w:numPr>
          <w:ilvl w:val="0"/>
          <w:numId w:val="1"/>
        </w:numPr>
        <w:spacing w:after="60"/>
      </w:pPr>
      <w:r>
        <w:rPr>
          <w:rFonts w:ascii="Calibri" w:cs="Calibri" w:eastAsia="Calibri" w:hAnsi="Calibri"/>
          <w:color w:val="333333"/>
          <w:sz w:val="22"/>
          <w:szCs w:val="22"/>
        </w:rPr>
        <w:t xml:space="preserve">Are visible in the customer transaction history with "pending" status</w:t>
      </w:r>
    </w:p>
    <w:p>
      <w:pPr>
        <w:pStyle w:val="ListParagraph"/>
        <w:numPr>
          <w:ilvl w:val="0"/>
          <w:numId w:val="1"/>
        </w:numPr>
        <w:spacing w:after="60"/>
      </w:pPr>
      <w:r>
        <w:rPr>
          <w:rFonts w:ascii="Calibri" w:cs="Calibri" w:eastAsia="Calibri" w:hAnsi="Calibri"/>
          <w:color w:val="333333"/>
          <w:sz w:val="22"/>
          <w:szCs w:val="22"/>
        </w:rPr>
        <w:t xml:space="preserve">Can be cancelled by the customer before the payment is approved</w:t>
      </w:r>
    </w:p>
    <w:p>
      <w:pPr>
        <w:pStyle w:val="ListParagraph"/>
        <w:numPr>
          <w:ilvl w:val="0"/>
          <w:numId w:val="1"/>
        </w:numPr>
        <w:spacing w:after="60"/>
      </w:pPr>
      <w:r>
        <w:rPr>
          <w:rFonts w:ascii="Calibri" w:cs="Calibri" w:eastAsia="Calibri" w:hAnsi="Calibri"/>
          <w:color w:val="333333"/>
          <w:sz w:val="22"/>
          <w:szCs w:val="22"/>
        </w:rPr>
        <w:t xml:space="preserve">Expire automatically after 30 minutes if no callback is received</w:t>
      </w:r>
    </w:p>
    <w:p>
      <w:pPr>
        <w:pStyle w:val="ListParagraph"/>
        <w:numPr>
          <w:ilvl w:val="0"/>
          <w:numId w:val="1"/>
        </w:numPr>
        <w:spacing w:after="60"/>
      </w:pPr>
      <w:r>
        <w:rPr>
          <w:rFonts w:ascii="Calibri" w:cs="Calibri" w:eastAsia="Calibri" w:hAnsi="Calibri"/>
          <w:color w:val="333333"/>
          <w:sz w:val="22"/>
          <w:szCs w:val="22"/>
        </w:rPr>
        <w:t xml:space="preserve">Do not affect the customer available balance until confirmed</w:t>
      </w:r>
    </w:p>
    <w:p>
      <w:pPr>
        <w:pStyle w:val="Heading1"/>
        <w:spacing w:after="120" w:before="300"/>
      </w:pPr>
      <w:r>
        <w:rPr>
          <w:rFonts w:ascii="Calibri" w:cs="Calibri" w:eastAsia="Calibri" w:hAnsi="Calibri"/>
          <w:b/>
          <w:bCs/>
          <w:color w:val="0A6E3C"/>
          <w:sz w:val="32"/>
          <w:szCs w:val="32"/>
        </w:rPr>
        <w:t xml:space="preserve">5. WITHDRAWAL POLICIES</w:t>
      </w:r>
    </w:p>
    <w:p>
      <w:pPr>
        <w:pStyle w:val="Heading2"/>
        <w:spacing w:after="120" w:before="300"/>
      </w:pPr>
      <w:r>
        <w:rPr>
          <w:rFonts w:ascii="Calibri" w:cs="Calibri" w:eastAsia="Calibri" w:hAnsi="Calibri"/>
          <w:b/>
          <w:bCs/>
          <w:color w:val="0A6E3C"/>
          <w:sz w:val="26"/>
          <w:szCs w:val="26"/>
        </w:rPr>
        <w:t xml:space="preserve">5.1 Wallet Withdrawal Procedure</w:t>
      </w:r>
    </w:p>
    <w:p>
      <w:pPr>
        <w:pStyle w:val="ListParagraph"/>
        <w:numPr>
          <w:ilvl w:val="0"/>
          <w:numId w:val="1"/>
        </w:numPr>
        <w:spacing w:after="60"/>
      </w:pPr>
      <w:r>
        <w:rPr>
          <w:rFonts w:ascii="Calibri" w:cs="Calibri" w:eastAsia="Calibri" w:hAnsi="Calibri"/>
          <w:color w:val="333333"/>
          <w:sz w:val="22"/>
          <w:szCs w:val="22"/>
        </w:rPr>
        <w:t xml:space="preserve">1. Customer selects the withdrawal amount and destination (mobile money or bank account)</w:t>
      </w:r>
    </w:p>
    <w:p>
      <w:pPr>
        <w:pStyle w:val="ListParagraph"/>
        <w:numPr>
          <w:ilvl w:val="0"/>
          <w:numId w:val="1"/>
        </w:numPr>
        <w:spacing w:after="60"/>
      </w:pPr>
      <w:r>
        <w:rPr>
          <w:rFonts w:ascii="Calibri" w:cs="Calibri" w:eastAsia="Calibri" w:hAnsi="Calibri"/>
          <w:color w:val="333333"/>
          <w:sz w:val="22"/>
          <w:szCs w:val="22"/>
        </w:rPr>
        <w:t xml:space="preserve">2. System displays the fee and total amount to be deducted from the wallet</w:t>
      </w:r>
    </w:p>
    <w:p>
      <w:pPr>
        <w:pStyle w:val="ListParagraph"/>
        <w:numPr>
          <w:ilvl w:val="0"/>
          <w:numId w:val="1"/>
        </w:numPr>
        <w:spacing w:after="60"/>
      </w:pPr>
      <w:r>
        <w:rPr>
          <w:rFonts w:ascii="Calibri" w:cs="Calibri" w:eastAsia="Calibri" w:hAnsi="Calibri"/>
          <w:color w:val="333333"/>
          <w:sz w:val="22"/>
          <w:szCs w:val="22"/>
        </w:rPr>
        <w:t xml:space="preserve">3. Customer confirms with PIN</w:t>
      </w:r>
    </w:p>
    <w:p>
      <w:pPr>
        <w:pStyle w:val="ListParagraph"/>
        <w:numPr>
          <w:ilvl w:val="0"/>
          <w:numId w:val="1"/>
        </w:numPr>
        <w:spacing w:after="60"/>
      </w:pPr>
      <w:r>
        <w:rPr>
          <w:rFonts w:ascii="Calibri" w:cs="Calibri" w:eastAsia="Calibri" w:hAnsi="Calibri"/>
          <w:color w:val="333333"/>
          <w:sz w:val="22"/>
          <w:szCs w:val="22"/>
        </w:rPr>
        <w:t xml:space="preserve">4. Wallet is debited immediately (amount plus fee)</w:t>
      </w:r>
    </w:p>
    <w:p>
      <w:pPr>
        <w:pStyle w:val="ListParagraph"/>
        <w:numPr>
          <w:ilvl w:val="0"/>
          <w:numId w:val="1"/>
        </w:numPr>
        <w:spacing w:after="60"/>
      </w:pPr>
      <w:r>
        <w:rPr>
          <w:rFonts w:ascii="Calibri" w:cs="Calibri" w:eastAsia="Calibri" w:hAnsi="Calibri"/>
          <w:color w:val="333333"/>
          <w:sz w:val="22"/>
          <w:szCs w:val="22"/>
        </w:rPr>
        <w:t xml:space="preserve">5. A disbursement request is sent to the payment gateway (Lipila)</w:t>
      </w:r>
    </w:p>
    <w:p>
      <w:pPr>
        <w:pStyle w:val="ListParagraph"/>
        <w:numPr>
          <w:ilvl w:val="0"/>
          <w:numId w:val="1"/>
        </w:numPr>
        <w:spacing w:after="60"/>
      </w:pPr>
      <w:r>
        <w:rPr>
          <w:rFonts w:ascii="Calibri" w:cs="Calibri" w:eastAsia="Calibri" w:hAnsi="Calibri"/>
          <w:color w:val="333333"/>
          <w:sz w:val="22"/>
          <w:szCs w:val="22"/>
        </w:rPr>
        <w:t xml:space="preserve">6. Funds are delivered to the customer mobile money or bank account</w:t>
      </w:r>
    </w:p>
    <w:p>
      <w:pPr>
        <w:pStyle w:val="ListParagraph"/>
        <w:numPr>
          <w:ilvl w:val="0"/>
          <w:numId w:val="1"/>
        </w:numPr>
        <w:spacing w:after="60"/>
      </w:pPr>
      <w:r>
        <w:rPr>
          <w:rFonts w:ascii="Calibri" w:cs="Calibri" w:eastAsia="Calibri" w:hAnsi="Calibri"/>
          <w:color w:val="333333"/>
          <w:sz w:val="22"/>
          <w:szCs w:val="22"/>
        </w:rPr>
        <w:t xml:space="preserve">7. If the disbursement fails, funds are reversed to the customer wallet</w:t>
      </w:r>
    </w:p>
    <w:p>
      <w:pPr>
        <w:pStyle w:val="Heading2"/>
        <w:spacing w:after="120" w:before="300"/>
      </w:pPr>
      <w:r>
        <w:rPr>
          <w:rFonts w:ascii="Calibri" w:cs="Calibri" w:eastAsia="Calibri" w:hAnsi="Calibri"/>
          <w:b/>
          <w:bCs/>
          <w:color w:val="0A6E3C"/>
          <w:sz w:val="26"/>
          <w:szCs w:val="26"/>
        </w:rPr>
        <w:t xml:space="preserve">5.2 Withdrawal Limits</w:t>
      </w:r>
    </w:p>
    <w:p>
      <w:pPr>
        <w:pStyle w:val="ListParagraph"/>
        <w:numPr>
          <w:ilvl w:val="0"/>
          <w:numId w:val="1"/>
        </w:numPr>
        <w:spacing w:after="60"/>
      </w:pPr>
      <w:r>
        <w:rPr>
          <w:rFonts w:ascii="Calibri" w:cs="Calibri" w:eastAsia="Calibri" w:hAnsi="Calibri"/>
          <w:color w:val="333333"/>
          <w:sz w:val="22"/>
          <w:szCs w:val="22"/>
        </w:rPr>
        <w:t xml:space="preserve">Minimum withdrawal: K1.00</w:t>
      </w:r>
    </w:p>
    <w:p>
      <w:pPr>
        <w:pStyle w:val="ListParagraph"/>
        <w:numPr>
          <w:ilvl w:val="0"/>
          <w:numId w:val="1"/>
        </w:numPr>
        <w:spacing w:after="60"/>
      </w:pPr>
      <w:r>
        <w:rPr>
          <w:rFonts w:ascii="Calibri" w:cs="Calibri" w:eastAsia="Calibri" w:hAnsi="Calibri"/>
          <w:color w:val="333333"/>
          <w:sz w:val="22"/>
          <w:szCs w:val="22"/>
        </w:rPr>
        <w:t xml:space="preserve">Maximum single withdrawal: K50,000.00</w:t>
      </w:r>
    </w:p>
    <w:p>
      <w:pPr>
        <w:pStyle w:val="ListParagraph"/>
        <w:numPr>
          <w:ilvl w:val="0"/>
          <w:numId w:val="1"/>
        </w:numPr>
        <w:spacing w:after="60"/>
      </w:pPr>
      <w:r>
        <w:rPr>
          <w:rFonts w:ascii="Calibri" w:cs="Calibri" w:eastAsia="Calibri" w:hAnsi="Calibri"/>
          <w:color w:val="333333"/>
          <w:sz w:val="22"/>
          <w:szCs w:val="22"/>
        </w:rPr>
        <w:t xml:space="preserve">Subject to daily transaction limits per account tier</w:t>
      </w:r>
    </w:p>
    <w:p>
      <w:pPr>
        <w:pStyle w:val="ListParagraph"/>
        <w:numPr>
          <w:ilvl w:val="0"/>
          <w:numId w:val="1"/>
        </w:numPr>
        <w:spacing w:after="60"/>
      </w:pPr>
      <w:r>
        <w:rPr>
          <w:rFonts w:ascii="Calibri" w:cs="Calibri" w:eastAsia="Calibri" w:hAnsi="Calibri"/>
          <w:color w:val="333333"/>
          <w:sz w:val="22"/>
          <w:szCs w:val="22"/>
        </w:rPr>
        <w:t xml:space="preserve">Customer must have sufficient balance to cover withdrawal amount plus fee</w:t>
      </w:r>
    </w:p>
    <w:p>
      <w:pPr>
        <w:pStyle w:val="Heading1"/>
        <w:spacing w:after="120" w:before="300"/>
      </w:pPr>
      <w:r>
        <w:rPr>
          <w:rFonts w:ascii="Calibri" w:cs="Calibri" w:eastAsia="Calibri" w:hAnsi="Calibri"/>
          <w:b/>
          <w:bCs/>
          <w:color w:val="0A6E3C"/>
          <w:sz w:val="32"/>
          <w:szCs w:val="32"/>
        </w:rPr>
        <w:t xml:space="preserve">6. AGENT TRANSACTION POLICIES</w:t>
      </w:r>
    </w:p>
    <w:p>
      <w:pPr>
        <w:pStyle w:val="Heading2"/>
        <w:spacing w:after="120" w:before="300"/>
      </w:pPr>
      <w:r>
        <w:rPr>
          <w:rFonts w:ascii="Calibri" w:cs="Calibri" w:eastAsia="Calibri" w:hAnsi="Calibri"/>
          <w:b/>
          <w:bCs/>
          <w:color w:val="0A6E3C"/>
          <w:sz w:val="26"/>
          <w:szCs w:val="26"/>
        </w:rPr>
        <w:t xml:space="preserve">6.1 Agent Cash-In (Deposit)</w:t>
      </w:r>
    </w:p>
    <w:p>
      <w:pPr>
        <w:spacing w:after="120" w:before="0"/>
        <w:jc w:val="both"/>
      </w:pPr>
      <w:r>
        <w:rPr>
          <w:rFonts w:ascii="Calibri" w:cs="Calibri" w:eastAsia="Calibri" w:hAnsi="Calibri"/>
          <w:b w:val="false"/>
          <w:bCs w:val="false"/>
          <w:i w:val="false"/>
          <w:iCs w:val="false"/>
          <w:color w:val="333333"/>
          <w:sz w:val="22"/>
          <w:szCs w:val="22"/>
        </w:rPr>
        <w:t xml:space="preserve">Customers can deposit cash through Monde agents:</w:t>
      </w:r>
    </w:p>
    <w:p>
      <w:pPr>
        <w:pStyle w:val="ListParagraph"/>
        <w:numPr>
          <w:ilvl w:val="0"/>
          <w:numId w:val="1"/>
        </w:numPr>
        <w:spacing w:after="60"/>
      </w:pPr>
      <w:r>
        <w:rPr>
          <w:rFonts w:ascii="Calibri" w:cs="Calibri" w:eastAsia="Calibri" w:hAnsi="Calibri"/>
          <w:color w:val="333333"/>
          <w:sz w:val="22"/>
          <w:szCs w:val="22"/>
        </w:rPr>
        <w:t xml:space="preserve">Customer presents cash and their phone number to the agent</w:t>
      </w:r>
    </w:p>
    <w:p>
      <w:pPr>
        <w:pStyle w:val="ListParagraph"/>
        <w:numPr>
          <w:ilvl w:val="0"/>
          <w:numId w:val="1"/>
        </w:numPr>
        <w:spacing w:after="60"/>
      </w:pPr>
      <w:r>
        <w:rPr>
          <w:rFonts w:ascii="Calibri" w:cs="Calibri" w:eastAsia="Calibri" w:hAnsi="Calibri"/>
          <w:color w:val="333333"/>
          <w:sz w:val="22"/>
          <w:szCs w:val="22"/>
        </w:rPr>
        <w:t xml:space="preserve">Agent enters the customer phone number and deposit amount in the Monde app</w:t>
      </w:r>
    </w:p>
    <w:p>
      <w:pPr>
        <w:pStyle w:val="ListParagraph"/>
        <w:numPr>
          <w:ilvl w:val="0"/>
          <w:numId w:val="1"/>
        </w:numPr>
        <w:spacing w:after="60"/>
      </w:pPr>
      <w:r>
        <w:rPr>
          <w:rFonts w:ascii="Calibri" w:cs="Calibri" w:eastAsia="Calibri" w:hAnsi="Calibri"/>
          <w:color w:val="333333"/>
          <w:sz w:val="22"/>
          <w:szCs w:val="22"/>
        </w:rPr>
        <w:t xml:space="preserve">System verifies: agent status, agent float balance, customer existence, customer account status</w:t>
      </w:r>
    </w:p>
    <w:p>
      <w:pPr>
        <w:pStyle w:val="ListParagraph"/>
        <w:numPr>
          <w:ilvl w:val="0"/>
          <w:numId w:val="1"/>
        </w:numPr>
        <w:spacing w:after="60"/>
      </w:pPr>
      <w:r>
        <w:rPr>
          <w:rFonts w:ascii="Calibri" w:cs="Calibri" w:eastAsia="Calibri" w:hAnsi="Calibri"/>
          <w:color w:val="333333"/>
          <w:sz w:val="22"/>
          <w:szCs w:val="22"/>
        </w:rPr>
        <w:t xml:space="preserve">Customer wallet is credited; agent float is debited</w:t>
      </w:r>
    </w:p>
    <w:p>
      <w:pPr>
        <w:pStyle w:val="ListParagraph"/>
        <w:numPr>
          <w:ilvl w:val="0"/>
          <w:numId w:val="1"/>
        </w:numPr>
        <w:spacing w:after="60"/>
      </w:pPr>
      <w:r>
        <w:rPr>
          <w:rFonts w:ascii="Calibri" w:cs="Calibri" w:eastAsia="Calibri" w:hAnsi="Calibri"/>
          <w:color w:val="333333"/>
          <w:sz w:val="22"/>
          <w:szCs w:val="22"/>
        </w:rPr>
        <w:t xml:space="preserve">Customer pays no fee; agent earns 0.5% commission from Monde</w:t>
      </w:r>
    </w:p>
    <w:p>
      <w:pPr>
        <w:spacing w:after="120" w:before="0"/>
        <w:jc w:val="both"/>
      </w:pPr>
      <w:r>
        <w:rPr>
          <w:rFonts w:ascii="Calibri" w:cs="Calibri" w:eastAsia="Calibri" w:hAnsi="Calibri"/>
          <w:b w:val="false"/>
          <w:bCs w:val="false"/>
          <w:i w:val="false"/>
          <w:iCs w:val="false"/>
          <w:color w:val="333333"/>
          <w:sz w:val="22"/>
          <w:szCs w:val="22"/>
        </w:rPr>
        <w:t xml:space="preserve">Safety controls:</w:t>
      </w:r>
    </w:p>
    <w:p>
      <w:pPr>
        <w:pStyle w:val="ListParagraph"/>
        <w:numPr>
          <w:ilvl w:val="0"/>
          <w:numId w:val="1"/>
        </w:numPr>
        <w:spacing w:after="60"/>
      </w:pPr>
      <w:r>
        <w:rPr>
          <w:rFonts w:ascii="Calibri" w:cs="Calibri" w:eastAsia="Calibri" w:hAnsi="Calibri"/>
          <w:color w:val="333333"/>
          <w:sz w:val="22"/>
          <w:szCs w:val="22"/>
        </w:rPr>
        <w:t xml:space="preserve">Maximum 3 deposits per customer per agent per 24-hour period</w:t>
      </w:r>
    </w:p>
    <w:p>
      <w:pPr>
        <w:pStyle w:val="ListParagraph"/>
        <w:numPr>
          <w:ilvl w:val="0"/>
          <w:numId w:val="1"/>
        </w:numPr>
        <w:spacing w:after="60"/>
      </w:pPr>
      <w:r>
        <w:rPr>
          <w:rFonts w:ascii="Calibri" w:cs="Calibri" w:eastAsia="Calibri" w:hAnsi="Calibri"/>
          <w:color w:val="333333"/>
          <w:sz w:val="22"/>
          <w:szCs w:val="22"/>
        </w:rPr>
        <w:t xml:space="preserve">Agents cannot deposit to their own accounts</w:t>
      </w:r>
    </w:p>
    <w:p>
      <w:pPr>
        <w:pStyle w:val="ListParagraph"/>
        <w:numPr>
          <w:ilvl w:val="0"/>
          <w:numId w:val="1"/>
        </w:numPr>
        <w:spacing w:after="60"/>
      </w:pPr>
      <w:r>
        <w:rPr>
          <w:rFonts w:ascii="Calibri" w:cs="Calibri" w:eastAsia="Calibri" w:hAnsi="Calibri"/>
          <w:color w:val="333333"/>
          <w:sz w:val="22"/>
          <w:szCs w:val="22"/>
        </w:rPr>
        <w:t xml:space="preserve">Circular fraud detection prevents same-day deposit-and-cashout at same agent</w:t>
      </w:r>
    </w:p>
    <w:p>
      <w:pPr>
        <w:pStyle w:val="Heading2"/>
        <w:spacing w:after="120" w:before="300"/>
      </w:pPr>
      <w:r>
        <w:rPr>
          <w:rFonts w:ascii="Calibri" w:cs="Calibri" w:eastAsia="Calibri" w:hAnsi="Calibri"/>
          <w:b/>
          <w:bCs/>
          <w:color w:val="0A6E3C"/>
          <w:sz w:val="26"/>
          <w:szCs w:val="26"/>
        </w:rPr>
        <w:t xml:space="preserve">6.2 Agent Cash-Out</w:t>
      </w:r>
    </w:p>
    <w:p>
      <w:pPr>
        <w:spacing w:after="120" w:before="0"/>
        <w:jc w:val="both"/>
      </w:pPr>
      <w:r>
        <w:rPr>
          <w:rFonts w:ascii="Calibri" w:cs="Calibri" w:eastAsia="Calibri" w:hAnsi="Calibri"/>
          <w:b w:val="false"/>
          <w:bCs w:val="false"/>
          <w:i w:val="false"/>
          <w:iCs w:val="false"/>
          <w:color w:val="333333"/>
          <w:sz w:val="22"/>
          <w:szCs w:val="22"/>
        </w:rPr>
        <w:t xml:space="preserve">Customers can withdraw cash through Monde agents:</w:t>
      </w:r>
    </w:p>
    <w:p>
      <w:pPr>
        <w:pStyle w:val="ListParagraph"/>
        <w:numPr>
          <w:ilvl w:val="0"/>
          <w:numId w:val="1"/>
        </w:numPr>
        <w:spacing w:after="60"/>
      </w:pPr>
      <w:r>
        <w:rPr>
          <w:rFonts w:ascii="Calibri" w:cs="Calibri" w:eastAsia="Calibri" w:hAnsi="Calibri"/>
          <w:color w:val="333333"/>
          <w:sz w:val="22"/>
          <w:szCs w:val="22"/>
        </w:rPr>
        <w:t xml:space="preserve">Customer initiates a cash-out request through the Monde app</w:t>
      </w:r>
    </w:p>
    <w:p>
      <w:pPr>
        <w:pStyle w:val="ListParagraph"/>
        <w:numPr>
          <w:ilvl w:val="0"/>
          <w:numId w:val="1"/>
        </w:numPr>
        <w:spacing w:after="60"/>
      </w:pPr>
      <w:r>
        <w:rPr>
          <w:rFonts w:ascii="Calibri" w:cs="Calibri" w:eastAsia="Calibri" w:hAnsi="Calibri"/>
          <w:color w:val="333333"/>
          <w:sz w:val="22"/>
          <w:szCs w:val="22"/>
        </w:rPr>
        <w:t xml:space="preserve">Agent confirms the request and disburses physical cash</w:t>
      </w:r>
    </w:p>
    <w:p>
      <w:pPr>
        <w:pStyle w:val="ListParagraph"/>
        <w:numPr>
          <w:ilvl w:val="0"/>
          <w:numId w:val="1"/>
        </w:numPr>
        <w:spacing w:after="60"/>
      </w:pPr>
      <w:r>
        <w:rPr>
          <w:rFonts w:ascii="Calibri" w:cs="Calibri" w:eastAsia="Calibri" w:hAnsi="Calibri"/>
          <w:color w:val="333333"/>
          <w:sz w:val="22"/>
          <w:szCs w:val="22"/>
        </w:rPr>
        <w:t xml:space="preserve">Customer wallet is debited (amount plus tiered fee)</w:t>
      </w:r>
    </w:p>
    <w:p>
      <w:pPr>
        <w:pStyle w:val="ListParagraph"/>
        <w:numPr>
          <w:ilvl w:val="0"/>
          <w:numId w:val="1"/>
        </w:numPr>
        <w:spacing w:after="60"/>
      </w:pPr>
      <w:r>
        <w:rPr>
          <w:rFonts w:ascii="Calibri" w:cs="Calibri" w:eastAsia="Calibri" w:hAnsi="Calibri"/>
          <w:color w:val="333333"/>
          <w:sz w:val="22"/>
          <w:szCs w:val="22"/>
        </w:rPr>
        <w:t xml:space="preserve">Agent wallet is credited with the amount plus 70% of the fee</w:t>
      </w:r>
    </w:p>
    <w:p>
      <w:pPr>
        <w:spacing w:after="120" w:before="0"/>
        <w:jc w:val="both"/>
      </w:pPr>
      <w:r>
        <w:rPr>
          <w:rFonts w:ascii="Calibri" w:cs="Calibri" w:eastAsia="Calibri" w:hAnsi="Calibri"/>
          <w:b w:val="false"/>
          <w:bCs w:val="false"/>
          <w:i w:val="false"/>
          <w:iCs w:val="false"/>
          <w:color w:val="333333"/>
          <w:sz w:val="22"/>
          <w:szCs w:val="22"/>
        </w:rPr>
        <w:t xml:space="preserve">Safety controls:</w:t>
      </w:r>
    </w:p>
    <w:p>
      <w:pPr>
        <w:pStyle w:val="ListParagraph"/>
        <w:numPr>
          <w:ilvl w:val="0"/>
          <w:numId w:val="1"/>
        </w:numPr>
        <w:spacing w:after="60"/>
      </w:pPr>
      <w:r>
        <w:rPr>
          <w:rFonts w:ascii="Calibri" w:cs="Calibri" w:eastAsia="Calibri" w:hAnsi="Calibri"/>
          <w:color w:val="333333"/>
          <w:sz w:val="22"/>
          <w:szCs w:val="22"/>
        </w:rPr>
        <w:t xml:space="preserve">Maximum 3 cash-outs per customer per agent per 24-hour period</w:t>
      </w:r>
    </w:p>
    <w:p>
      <w:pPr>
        <w:pStyle w:val="ListParagraph"/>
        <w:numPr>
          <w:ilvl w:val="0"/>
          <w:numId w:val="1"/>
        </w:numPr>
        <w:spacing w:after="60"/>
      </w:pPr>
      <w:r>
        <w:rPr>
          <w:rFonts w:ascii="Calibri" w:cs="Calibri" w:eastAsia="Calibri" w:hAnsi="Calibri"/>
          <w:color w:val="333333"/>
          <w:sz w:val="22"/>
          <w:szCs w:val="22"/>
        </w:rPr>
        <w:t xml:space="preserve">PIN verification required for cash-out request creation</w:t>
      </w:r>
    </w:p>
    <w:p>
      <w:pPr>
        <w:pStyle w:val="ListParagraph"/>
        <w:numPr>
          <w:ilvl w:val="0"/>
          <w:numId w:val="1"/>
        </w:numPr>
        <w:spacing w:after="60"/>
      </w:pPr>
      <w:r>
        <w:rPr>
          <w:rFonts w:ascii="Calibri" w:cs="Calibri" w:eastAsia="Calibri" w:hAnsi="Calibri"/>
          <w:color w:val="333333"/>
          <w:sz w:val="22"/>
          <w:szCs w:val="22"/>
        </w:rPr>
        <w:t xml:space="preserve">Agent must confirm they have disbursed the cash before the transaction is processed</w:t>
      </w:r>
    </w:p>
    <w:p>
      <w:r>
        <w:br w:type="page"/>
      </w:r>
    </w:p>
    <w:p>
      <w:pPr>
        <w:pStyle w:val="Heading1"/>
        <w:spacing w:after="120" w:before="300"/>
      </w:pPr>
      <w:r>
        <w:rPr>
          <w:rFonts w:ascii="Calibri" w:cs="Calibri" w:eastAsia="Calibri" w:hAnsi="Calibri"/>
          <w:b/>
          <w:bCs/>
          <w:color w:val="0A6E3C"/>
          <w:sz w:val="32"/>
          <w:szCs w:val="32"/>
        </w:rPr>
        <w:t xml:space="preserve">7. DISPUTE RESOLUTION</w:t>
      </w:r>
    </w:p>
    <w:p>
      <w:pPr>
        <w:pStyle w:val="Heading2"/>
        <w:spacing w:after="120" w:before="300"/>
      </w:pPr>
      <w:r>
        <w:rPr>
          <w:rFonts w:ascii="Calibri" w:cs="Calibri" w:eastAsia="Calibri" w:hAnsi="Calibri"/>
          <w:b/>
          <w:bCs/>
          <w:color w:val="0A6E3C"/>
          <w:sz w:val="26"/>
          <w:szCs w:val="26"/>
        </w:rPr>
        <w:t xml:space="preserve">7.1 Transaction Disputes</w:t>
      </w:r>
    </w:p>
    <w:p>
      <w:pPr>
        <w:spacing w:after="120" w:before="0"/>
        <w:jc w:val="both"/>
      </w:pPr>
      <w:r>
        <w:rPr>
          <w:rFonts w:ascii="Calibri" w:cs="Calibri" w:eastAsia="Calibri" w:hAnsi="Calibri"/>
          <w:b w:val="false"/>
          <w:bCs w:val="false"/>
          <w:i w:val="false"/>
          <w:iCs w:val="false"/>
          <w:color w:val="333333"/>
          <w:sz w:val="22"/>
          <w:szCs w:val="22"/>
        </w:rPr>
        <w:t xml:space="preserve">Customers can raise transaction disputes through:</w:t>
      </w:r>
    </w:p>
    <w:p>
      <w:pPr>
        <w:pStyle w:val="ListParagraph"/>
        <w:numPr>
          <w:ilvl w:val="0"/>
          <w:numId w:val="1"/>
        </w:numPr>
        <w:spacing w:after="60"/>
      </w:pPr>
      <w:r>
        <w:rPr>
          <w:rFonts w:ascii="Calibri" w:cs="Calibri" w:eastAsia="Calibri" w:hAnsi="Calibri"/>
          <w:color w:val="333333"/>
          <w:sz w:val="22"/>
          <w:szCs w:val="22"/>
        </w:rPr>
        <w:t xml:space="preserve">In-app customer support (planned feature)</w:t>
      </w:r>
    </w:p>
    <w:p>
      <w:pPr>
        <w:pStyle w:val="ListParagraph"/>
        <w:numPr>
          <w:ilvl w:val="0"/>
          <w:numId w:val="1"/>
        </w:numPr>
        <w:spacing w:after="60"/>
      </w:pPr>
      <w:r>
        <w:rPr>
          <w:rFonts w:ascii="Calibri" w:cs="Calibri" w:eastAsia="Calibri" w:hAnsi="Calibri"/>
          <w:color w:val="333333"/>
          <w:sz w:val="22"/>
          <w:szCs w:val="22"/>
        </w:rPr>
        <w:t xml:space="preserve">Phone/WhatsApp support line</w:t>
      </w:r>
    </w:p>
    <w:p>
      <w:pPr>
        <w:pStyle w:val="ListParagraph"/>
        <w:numPr>
          <w:ilvl w:val="0"/>
          <w:numId w:val="1"/>
        </w:numPr>
        <w:spacing w:after="60"/>
      </w:pPr>
      <w:r>
        <w:rPr>
          <w:rFonts w:ascii="Calibri" w:cs="Calibri" w:eastAsia="Calibri" w:hAnsi="Calibri"/>
          <w:color w:val="333333"/>
          <w:sz w:val="22"/>
          <w:szCs w:val="22"/>
        </w:rPr>
        <w:t xml:space="preserve">Email: support@monde.co.zm (to be activated)</w:t>
      </w:r>
    </w:p>
    <w:p>
      <w:pPr>
        <w:pStyle w:val="Heading2"/>
        <w:spacing w:after="120" w:before="300"/>
      </w:pPr>
      <w:r>
        <w:rPr>
          <w:rFonts w:ascii="Calibri" w:cs="Calibri" w:eastAsia="Calibri" w:hAnsi="Calibri"/>
          <w:b/>
          <w:bCs/>
          <w:color w:val="0A6E3C"/>
          <w:sz w:val="26"/>
          <w:szCs w:val="26"/>
        </w:rPr>
        <w:t xml:space="preserve">7.2 Dispute Resolution Process</w:t>
      </w:r>
    </w:p>
    <w:p>
      <w:pPr>
        <w:pStyle w:val="ListParagraph"/>
        <w:numPr>
          <w:ilvl w:val="0"/>
          <w:numId w:val="1"/>
        </w:numPr>
        <w:spacing w:after="60"/>
      </w:pPr>
      <w:r>
        <w:rPr>
          <w:rFonts w:ascii="Calibri" w:cs="Calibri" w:eastAsia="Calibri" w:hAnsi="Calibri"/>
          <w:color w:val="333333"/>
          <w:sz w:val="22"/>
          <w:szCs w:val="22"/>
        </w:rPr>
        <w:t xml:space="preserve">1. Customer reports the dispute with transaction details</w:t>
      </w:r>
    </w:p>
    <w:p>
      <w:pPr>
        <w:pStyle w:val="ListParagraph"/>
        <w:numPr>
          <w:ilvl w:val="0"/>
          <w:numId w:val="1"/>
        </w:numPr>
        <w:spacing w:after="60"/>
      </w:pPr>
      <w:r>
        <w:rPr>
          <w:rFonts w:ascii="Calibri" w:cs="Calibri" w:eastAsia="Calibri" w:hAnsi="Calibri"/>
          <w:color w:val="333333"/>
          <w:sz w:val="22"/>
          <w:szCs w:val="22"/>
        </w:rPr>
        <w:t xml:space="preserve">2. Support team acknowledges receipt within 24 hours</w:t>
      </w:r>
    </w:p>
    <w:p>
      <w:pPr>
        <w:pStyle w:val="ListParagraph"/>
        <w:numPr>
          <w:ilvl w:val="0"/>
          <w:numId w:val="1"/>
        </w:numPr>
        <w:spacing w:after="60"/>
      </w:pPr>
      <w:r>
        <w:rPr>
          <w:rFonts w:ascii="Calibri" w:cs="Calibri" w:eastAsia="Calibri" w:hAnsi="Calibri"/>
          <w:color w:val="333333"/>
          <w:sz w:val="22"/>
          <w:szCs w:val="22"/>
        </w:rPr>
        <w:t xml:space="preserve">3. Investigation conducted using transaction logs and system records</w:t>
      </w:r>
    </w:p>
    <w:p>
      <w:pPr>
        <w:pStyle w:val="ListParagraph"/>
        <w:numPr>
          <w:ilvl w:val="0"/>
          <w:numId w:val="1"/>
        </w:numPr>
        <w:spacing w:after="60"/>
      </w:pPr>
      <w:r>
        <w:rPr>
          <w:rFonts w:ascii="Calibri" w:cs="Calibri" w:eastAsia="Calibri" w:hAnsi="Calibri"/>
          <w:color w:val="333333"/>
          <w:sz w:val="22"/>
          <w:szCs w:val="22"/>
        </w:rPr>
        <w:t xml:space="preserve">4. Resolution provided within 5 business days for straightforward cases</w:t>
      </w:r>
    </w:p>
    <w:p>
      <w:pPr>
        <w:pStyle w:val="ListParagraph"/>
        <w:numPr>
          <w:ilvl w:val="0"/>
          <w:numId w:val="1"/>
        </w:numPr>
        <w:spacing w:after="60"/>
      </w:pPr>
      <w:r>
        <w:rPr>
          <w:rFonts w:ascii="Calibri" w:cs="Calibri" w:eastAsia="Calibri" w:hAnsi="Calibri"/>
          <w:color w:val="333333"/>
          <w:sz w:val="22"/>
          <w:szCs w:val="22"/>
        </w:rPr>
        <w:t xml:space="preserve">5. Complex cases may take up to 15 business days</w:t>
      </w:r>
    </w:p>
    <w:p>
      <w:pPr>
        <w:pStyle w:val="ListParagraph"/>
        <w:numPr>
          <w:ilvl w:val="0"/>
          <w:numId w:val="1"/>
        </w:numPr>
        <w:spacing w:after="60"/>
      </w:pPr>
      <w:r>
        <w:rPr>
          <w:rFonts w:ascii="Calibri" w:cs="Calibri" w:eastAsia="Calibri" w:hAnsi="Calibri"/>
          <w:color w:val="333333"/>
          <w:sz w:val="22"/>
          <w:szCs w:val="22"/>
        </w:rPr>
        <w:t xml:space="preserve">6. Customer is informed of the outcome and any remedial action</w:t>
      </w:r>
    </w:p>
    <w:p>
      <w:pPr>
        <w:pStyle w:val="ListParagraph"/>
        <w:numPr>
          <w:ilvl w:val="0"/>
          <w:numId w:val="1"/>
        </w:numPr>
        <w:spacing w:after="60"/>
      </w:pPr>
      <w:r>
        <w:rPr>
          <w:rFonts w:ascii="Calibri" w:cs="Calibri" w:eastAsia="Calibri" w:hAnsi="Calibri"/>
          <w:color w:val="333333"/>
          <w:sz w:val="22"/>
          <w:szCs w:val="22"/>
        </w:rPr>
        <w:t xml:space="preserve">7. If the customer is unsatisfied, they may escalate to the CCO or the Bank of Zambia</w:t>
      </w:r>
    </w:p>
    <w:p>
      <w:pPr>
        <w:pStyle w:val="Heading2"/>
        <w:spacing w:after="120" w:before="300"/>
      </w:pPr>
      <w:r>
        <w:rPr>
          <w:rFonts w:ascii="Calibri" w:cs="Calibri" w:eastAsia="Calibri" w:hAnsi="Calibri"/>
          <w:b/>
          <w:bCs/>
          <w:color w:val="0A6E3C"/>
          <w:sz w:val="26"/>
          <w:szCs w:val="26"/>
        </w:rPr>
        <w:t xml:space="preserve">7.3 Refund Policy</w:t>
      </w:r>
    </w:p>
    <w:p>
      <w:pPr>
        <w:spacing w:after="120" w:before="0"/>
        <w:jc w:val="both"/>
      </w:pPr>
      <w:r>
        <w:rPr>
          <w:rFonts w:ascii="Calibri" w:cs="Calibri" w:eastAsia="Calibri" w:hAnsi="Calibri"/>
          <w:b w:val="false"/>
          <w:bCs w:val="false"/>
          <w:i w:val="false"/>
          <w:iCs w:val="false"/>
          <w:color w:val="333333"/>
          <w:sz w:val="22"/>
          <w:szCs w:val="22"/>
        </w:rPr>
        <w:t xml:space="preserve">Refunds may be issued in the following circumstances:</w:t>
      </w:r>
    </w:p>
    <w:p>
      <w:pPr>
        <w:pStyle w:val="ListParagraph"/>
        <w:numPr>
          <w:ilvl w:val="0"/>
          <w:numId w:val="1"/>
        </w:numPr>
        <w:spacing w:after="60"/>
      </w:pPr>
      <w:r>
        <w:rPr>
          <w:rFonts w:ascii="Calibri" w:cs="Calibri" w:eastAsia="Calibri" w:hAnsi="Calibri"/>
          <w:color w:val="333333"/>
          <w:sz w:val="22"/>
          <w:szCs w:val="22"/>
        </w:rPr>
        <w:t xml:space="preserve">System error resulting in incorrect transaction processing</w:t>
      </w:r>
    </w:p>
    <w:p>
      <w:pPr>
        <w:pStyle w:val="ListParagraph"/>
        <w:numPr>
          <w:ilvl w:val="0"/>
          <w:numId w:val="1"/>
        </w:numPr>
        <w:spacing w:after="60"/>
      </w:pPr>
      <w:r>
        <w:rPr>
          <w:rFonts w:ascii="Calibri" w:cs="Calibri" w:eastAsia="Calibri" w:hAnsi="Calibri"/>
          <w:color w:val="333333"/>
          <w:sz w:val="22"/>
          <w:szCs w:val="22"/>
        </w:rPr>
        <w:t xml:space="preserve">Failed external transaction where funds were debited but not delivered</w:t>
      </w:r>
    </w:p>
    <w:p>
      <w:pPr>
        <w:pStyle w:val="ListParagraph"/>
        <w:numPr>
          <w:ilvl w:val="0"/>
          <w:numId w:val="1"/>
        </w:numPr>
        <w:spacing w:after="60"/>
      </w:pPr>
      <w:r>
        <w:rPr>
          <w:rFonts w:ascii="Calibri" w:cs="Calibri" w:eastAsia="Calibri" w:hAnsi="Calibri"/>
          <w:color w:val="333333"/>
          <w:sz w:val="22"/>
          <w:szCs w:val="22"/>
        </w:rPr>
        <w:t xml:space="preserve">Fraudulent transaction (subject to investigation)</w:t>
      </w:r>
    </w:p>
    <w:p>
      <w:pPr>
        <w:spacing w:after="120" w:before="0"/>
        <w:jc w:val="both"/>
      </w:pPr>
      <w:r>
        <w:rPr>
          <w:rFonts w:ascii="Calibri" w:cs="Calibri" w:eastAsia="Calibri" w:hAnsi="Calibri"/>
          <w:b w:val="false"/>
          <w:bCs w:val="false"/>
          <w:i w:val="false"/>
          <w:iCs w:val="false"/>
          <w:color w:val="333333"/>
          <w:sz w:val="22"/>
          <w:szCs w:val="22"/>
        </w:rPr>
        <w:t xml:space="preserve">P2P transactions between Monde users are generally non-refundable as they are processed instantly and irreversibly. In cases of alleged fraud, Monde will cooperate with law enforcement and may freeze accounts pending investigation.</w:t>
      </w:r>
    </w:p>
    <w:p>
      <w:pPr>
        <w:pStyle w:val="Heading1"/>
        <w:spacing w:after="120" w:before="300"/>
      </w:pPr>
      <w:r>
        <w:rPr>
          <w:rFonts w:ascii="Calibri" w:cs="Calibri" w:eastAsia="Calibri" w:hAnsi="Calibri"/>
          <w:b/>
          <w:bCs/>
          <w:color w:val="0A6E3C"/>
          <w:sz w:val="32"/>
          <w:szCs w:val="32"/>
        </w:rPr>
        <w:t xml:space="preserve">8. CUSTOMER COMMUNICATION</w:t>
      </w:r>
    </w:p>
    <w:p>
      <w:pPr>
        <w:spacing w:after="120" w:before="0"/>
        <w:jc w:val="both"/>
      </w:pPr>
      <w:r>
        <w:rPr>
          <w:rFonts w:ascii="Calibri" w:cs="Calibri" w:eastAsia="Calibri" w:hAnsi="Calibri"/>
          <w:b w:val="false"/>
          <w:bCs w:val="false"/>
          <w:i w:val="false"/>
          <w:iCs w:val="false"/>
          <w:color w:val="333333"/>
          <w:sz w:val="22"/>
          <w:szCs w:val="22"/>
        </w:rPr>
        <w:t xml:space="preserve">Monde communicates with customers through the following channels:</w:t>
      </w:r>
    </w:p>
    <w:p>
      <w:pPr>
        <w:pStyle w:val="ListParagraph"/>
        <w:numPr>
          <w:ilvl w:val="0"/>
          <w:numId w:val="1"/>
        </w:numPr>
        <w:spacing w:after="60"/>
      </w:pPr>
      <w:r>
        <w:rPr>
          <w:rFonts w:ascii="Calibri" w:cs="Calibri" w:eastAsia="Calibri" w:hAnsi="Calibri"/>
          <w:color w:val="333333"/>
          <w:sz w:val="22"/>
          <w:szCs w:val="22"/>
        </w:rPr>
        <w:t xml:space="preserve">In-App Notifications: Real-time transaction alerts and account updates</w:t>
      </w:r>
    </w:p>
    <w:p>
      <w:pPr>
        <w:pStyle w:val="ListParagraph"/>
        <w:numPr>
          <w:ilvl w:val="0"/>
          <w:numId w:val="1"/>
        </w:numPr>
        <w:spacing w:after="60"/>
      </w:pPr>
      <w:r>
        <w:rPr>
          <w:rFonts w:ascii="Calibri" w:cs="Calibri" w:eastAsia="Calibri" w:hAnsi="Calibri"/>
          <w:color w:val="333333"/>
          <w:sz w:val="22"/>
          <w:szCs w:val="22"/>
        </w:rPr>
        <w:t xml:space="preserve">SMS: OTP verification, critical account alerts</w:t>
      </w:r>
    </w:p>
    <w:p>
      <w:pPr>
        <w:pStyle w:val="ListParagraph"/>
        <w:numPr>
          <w:ilvl w:val="0"/>
          <w:numId w:val="1"/>
        </w:numPr>
        <w:spacing w:after="60"/>
      </w:pPr>
      <w:r>
        <w:rPr>
          <w:rFonts w:ascii="Calibri" w:cs="Calibri" w:eastAsia="Calibri" w:hAnsi="Calibri"/>
          <w:color w:val="333333"/>
          <w:sz w:val="22"/>
          <w:szCs w:val="22"/>
        </w:rPr>
        <w:t xml:space="preserve">Push Notifications: Transaction confirmations, promotional messages (with customer consent)</w:t>
      </w:r>
    </w:p>
    <w:p>
      <w:pPr>
        <w:pStyle w:val="ListParagraph"/>
        <w:numPr>
          <w:ilvl w:val="0"/>
          <w:numId w:val="1"/>
        </w:numPr>
        <w:spacing w:after="60"/>
      </w:pPr>
      <w:r>
        <w:rPr>
          <w:rFonts w:ascii="Calibri" w:cs="Calibri" w:eastAsia="Calibri" w:hAnsi="Calibri"/>
          <w:color w:val="333333"/>
          <w:sz w:val="22"/>
          <w:szCs w:val="22"/>
        </w:rPr>
        <w:t xml:space="preserve">Email: Account statements, policy updates (when email is provided)</w:t>
      </w:r>
    </w:p>
    <w:p>
      <w:pPr>
        <w:spacing w:after="120" w:before="0"/>
        <w:jc w:val="both"/>
      </w:pPr>
      <w:r>
        <w:rPr>
          <w:rFonts w:ascii="Calibri" w:cs="Calibri" w:eastAsia="Calibri" w:hAnsi="Calibri"/>
          <w:b w:val="false"/>
          <w:bCs w:val="false"/>
          <w:i w:val="false"/>
          <w:iCs w:val="false"/>
          <w:color w:val="333333"/>
          <w:sz w:val="22"/>
          <w:szCs w:val="22"/>
        </w:rPr>
        <w:t xml:space="preserve">Customers can manage their notification preferences within the app settings.</w:t>
      </w:r>
    </w:p>
    <w:p>
      <w:pPr>
        <w:pStyle w:val="Heading1"/>
        <w:spacing w:after="120" w:before="300"/>
      </w:pPr>
      <w:r>
        <w:rPr>
          <w:rFonts w:ascii="Calibri" w:cs="Calibri" w:eastAsia="Calibri" w:hAnsi="Calibri"/>
          <w:b/>
          <w:bCs/>
          <w:color w:val="0A6E3C"/>
          <w:sz w:val="32"/>
          <w:szCs w:val="32"/>
        </w:rPr>
        <w:t xml:space="preserve">9. CUSTOMER DATA PROTECTION</w:t>
      </w:r>
    </w:p>
    <w:p>
      <w:pPr>
        <w:spacing w:after="120" w:before="0"/>
        <w:jc w:val="both"/>
      </w:pPr>
      <w:r>
        <w:rPr>
          <w:rFonts w:ascii="Calibri" w:cs="Calibri" w:eastAsia="Calibri" w:hAnsi="Calibri"/>
          <w:b w:val="false"/>
          <w:bCs w:val="false"/>
          <w:i w:val="false"/>
          <w:iCs w:val="false"/>
          <w:color w:val="333333"/>
          <w:sz w:val="22"/>
          <w:szCs w:val="22"/>
        </w:rPr>
        <w:t xml:space="preserve">Monde handles customer data in accordance with data protection principles:</w:t>
      </w:r>
    </w:p>
    <w:p>
      <w:pPr>
        <w:pStyle w:val="ListParagraph"/>
        <w:numPr>
          <w:ilvl w:val="0"/>
          <w:numId w:val="1"/>
        </w:numPr>
        <w:spacing w:after="60"/>
      </w:pPr>
      <w:r>
        <w:rPr>
          <w:rFonts w:ascii="Calibri" w:cs="Calibri" w:eastAsia="Calibri" w:hAnsi="Calibri"/>
          <w:color w:val="333333"/>
          <w:sz w:val="22"/>
          <w:szCs w:val="22"/>
        </w:rPr>
        <w:t xml:space="preserve">Data Minimisation: Only essential data is collected for service delivery and compliance</w:t>
      </w:r>
    </w:p>
    <w:p>
      <w:pPr>
        <w:pStyle w:val="ListParagraph"/>
        <w:numPr>
          <w:ilvl w:val="0"/>
          <w:numId w:val="1"/>
        </w:numPr>
        <w:spacing w:after="60"/>
      </w:pPr>
      <w:r>
        <w:rPr>
          <w:rFonts w:ascii="Calibri" w:cs="Calibri" w:eastAsia="Calibri" w:hAnsi="Calibri"/>
          <w:color w:val="333333"/>
          <w:sz w:val="22"/>
          <w:szCs w:val="22"/>
        </w:rPr>
        <w:t xml:space="preserve">Purpose Limitation: Customer data is used only for the stated purposes</w:t>
      </w:r>
    </w:p>
    <w:p>
      <w:pPr>
        <w:pStyle w:val="ListParagraph"/>
        <w:numPr>
          <w:ilvl w:val="0"/>
          <w:numId w:val="1"/>
        </w:numPr>
        <w:spacing w:after="60"/>
      </w:pPr>
      <w:r>
        <w:rPr>
          <w:rFonts w:ascii="Calibri" w:cs="Calibri" w:eastAsia="Calibri" w:hAnsi="Calibri"/>
          <w:color w:val="333333"/>
          <w:sz w:val="22"/>
          <w:szCs w:val="22"/>
        </w:rPr>
        <w:t xml:space="preserve">Security: All data is encrypted in transit and at rest</w:t>
      </w:r>
    </w:p>
    <w:p>
      <w:pPr>
        <w:pStyle w:val="ListParagraph"/>
        <w:numPr>
          <w:ilvl w:val="0"/>
          <w:numId w:val="1"/>
        </w:numPr>
        <w:spacing w:after="60"/>
      </w:pPr>
      <w:r>
        <w:rPr>
          <w:rFonts w:ascii="Calibri" w:cs="Calibri" w:eastAsia="Calibri" w:hAnsi="Calibri"/>
          <w:color w:val="333333"/>
          <w:sz w:val="22"/>
          <w:szCs w:val="22"/>
        </w:rPr>
        <w:t xml:space="preserve">Access Control: Customer data is accessible only through authenticated, authorised requests enforced by Row-Level Security</w:t>
      </w:r>
    </w:p>
    <w:p>
      <w:pPr>
        <w:pStyle w:val="ListParagraph"/>
        <w:numPr>
          <w:ilvl w:val="0"/>
          <w:numId w:val="1"/>
        </w:numPr>
        <w:spacing w:after="60"/>
      </w:pPr>
      <w:r>
        <w:rPr>
          <w:rFonts w:ascii="Calibri" w:cs="Calibri" w:eastAsia="Calibri" w:hAnsi="Calibri"/>
          <w:color w:val="333333"/>
          <w:sz w:val="22"/>
          <w:szCs w:val="22"/>
        </w:rPr>
        <w:t xml:space="preserve">Retention: Data is retained as required by law and securely disposed of when no longer needed</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2026-03-20T08:58:03.455Z</dcterms:created>
  <dcterms:modified xsi:type="dcterms:W3CDTF">2026-03-20T08:58:03.464Z</dcterms:modified>
</cp:coreProperties>
</file>

<file path=docProps/custom.xml><?xml version="1.0" encoding="utf-8"?>
<Properties xmlns="http://schemas.openxmlformats.org/officeDocument/2006/custom-properties" xmlns:vt="http://schemas.openxmlformats.org/officeDocument/2006/docPropsVTypes"/>
</file>