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before="0"/>
        <w:jc w:val="center"/>
      </w:pPr>
      <w:r>
        <w:rPr>
          <w:rFonts w:ascii="Calibri" w:cs="Calibri" w:eastAsia="Calibri" w:hAnsi="Calibri"/>
          <w:b/>
          <w:bCs/>
          <w:color w:val="0A6E3C"/>
          <w:sz w:val="72"/>
          <w:szCs w:val="72"/>
        </w:rPr>
        <w:t xml:space="preserve">MONDE</w:t>
      </w:r>
    </w:p>
    <w:p>
      <w:pPr>
        <w:spacing w:after="200" w:before="0"/>
        <w:jc w:val="center"/>
      </w:pPr>
      <w:r>
        <w:rPr>
          <w:rFonts w:ascii="Calibri" w:cs="Calibri" w:eastAsia="Calibri" w:hAnsi="Calibri"/>
          <w:b/>
          <w:bCs/>
          <w:color w:val="666666"/>
          <w:sz w:val="36"/>
          <w:szCs w:val="36"/>
        </w:rPr>
        <w:t xml:space="preserve">Digital Payment System</w:t>
      </w:r>
    </w:p>
    <w:p>
      <w:pPr>
        <w:spacing w:after="400"/>
      </w:pPr>
    </w:p>
    <w:p>
      <w:pPr>
        <w:spacing w:after="200" w:before="0"/>
        <w:jc w:val="center"/>
      </w:pPr>
      <w:r>
        <w:rPr>
          <w:rFonts w:ascii="Calibri" w:cs="Calibri" w:eastAsia="Calibri" w:hAnsi="Calibri"/>
          <w:b/>
          <w:bCs/>
          <w:color w:val="0A6E3C"/>
          <w:sz w:val="40"/>
          <w:szCs w:val="40"/>
        </w:rPr>
        <w:t xml:space="preserve">Third-Party Agreements</w:t>
      </w:r>
    </w:p>
    <w:p>
      <w:pPr>
        <w:spacing w:after="200" w:before="0"/>
        <w:jc w:val="center"/>
      </w:pPr>
      <w:r>
        <w:rPr>
          <w:rFonts w:ascii="Calibri" w:cs="Calibri" w:eastAsia="Calibri" w:hAnsi="Calibri"/>
          <w:b/>
          <w:bCs/>
          <w:color w:val="666666"/>
          <w:sz w:val="28"/>
          <w:szCs w:val="28"/>
        </w:rPr>
        <w:t xml:space="preserve">Draft Service Level Agreements
with Technology Providers</w:t>
      </w:r>
    </w:p>
    <w:p>
      <w:pPr>
        <w:spacing w:after="600"/>
      </w:pPr>
    </w:p>
    <w:p>
      <w:pPr>
        <w:spacing w:after="120" w:before="0"/>
        <w:jc w:val="center"/>
      </w:pPr>
      <w:r>
        <w:rPr>
          <w:rFonts w:ascii="Calibri" w:cs="Calibri" w:eastAsia="Calibri" w:hAnsi="Calibri"/>
          <w:b w:val="false"/>
          <w:bCs w:val="false"/>
          <w:i w:val="false"/>
          <w:iCs w:val="false"/>
          <w:color w:val="666666"/>
          <w:sz w:val="22"/>
          <w:szCs w:val="22"/>
        </w:rPr>
        <w:t xml:space="preserve">Version: 1.0</w:t>
      </w:r>
    </w:p>
    <w:p>
      <w:pPr>
        <w:spacing w:after="120" w:before="0"/>
        <w:jc w:val="center"/>
      </w:pPr>
      <w:r>
        <w:rPr>
          <w:rFonts w:ascii="Calibri" w:cs="Calibri" w:eastAsia="Calibri" w:hAnsi="Calibri"/>
          <w:b w:val="false"/>
          <w:bCs w:val="false"/>
          <w:i w:val="false"/>
          <w:iCs w:val="false"/>
          <w:color w:val="666666"/>
          <w:sz w:val="22"/>
          <w:szCs w:val="22"/>
        </w:rPr>
        <w:t xml:space="preserve">Date: 20 March 2026</w:t>
      </w:r>
    </w:p>
    <w:p>
      <w:pPr>
        <w:spacing w:after="120" w:before="0"/>
        <w:jc w:val="center"/>
      </w:pPr>
      <w:r>
        <w:rPr>
          <w:rFonts w:ascii="Calibri" w:cs="Calibri" w:eastAsia="Calibri" w:hAnsi="Calibri"/>
          <w:b/>
          <w:bCs/>
          <w:i w:val="false"/>
          <w:iCs w:val="false"/>
          <w:color w:val="CC0000"/>
          <w:sz w:val="22"/>
          <w:szCs w:val="22"/>
        </w:rPr>
        <w:t xml:space="preserve">Classification: CONFIDENTIAL</w:t>
      </w:r>
    </w:p>
    <w:p>
      <w:pPr>
        <w:spacing w:after="400"/>
      </w:pPr>
    </w:p>
    <w:p>
      <w:pPr>
        <w:spacing w:after="120" w:before="0"/>
        <w:jc w:val="center"/>
      </w:pPr>
      <w:r>
        <w:rPr>
          <w:rFonts w:ascii="Calibri" w:cs="Calibri" w:eastAsia="Calibri" w:hAnsi="Calibri"/>
          <w:b w:val="false"/>
          <w:bCs w:val="false"/>
          <w:i/>
          <w:iCs/>
          <w:color w:val="666666"/>
          <w:sz w:val="22"/>
          <w:szCs w:val="22"/>
        </w:rPr>
        <w:t xml:space="preserve">Prepared for submission to the Bank of Zambia</w:t>
      </w:r>
    </w:p>
    <w:p>
      <w:pPr>
        <w:spacing w:after="120" w:before="0"/>
        <w:jc w:val="center"/>
      </w:pPr>
      <w:r>
        <w:rPr>
          <w:rFonts w:ascii="Calibri" w:cs="Calibri" w:eastAsia="Calibri" w:hAnsi="Calibri"/>
          <w:b w:val="false"/>
          <w:bCs w:val="false"/>
          <w:i/>
          <w:iCs/>
          <w:color w:val="666666"/>
          <w:sz w:val="22"/>
          <w:szCs w:val="22"/>
        </w:rPr>
        <w:t xml:space="preserve">Payment Systems Department</w:t>
      </w:r>
    </w:p>
    <w:p>
      <w:r>
        <w:br w:type="page"/>
      </w:r>
    </w:p>
    <w:p>
      <w:pPr>
        <w:pStyle w:val="Heading1"/>
        <w:spacing w:after="120" w:before="300"/>
      </w:pPr>
      <w:r>
        <w:rPr>
          <w:rFonts w:ascii="Calibri" w:cs="Calibri" w:eastAsia="Calibri" w:hAnsi="Calibri"/>
          <w:b/>
          <w:bCs/>
          <w:color w:val="0A6E3C"/>
          <w:sz w:val="32"/>
          <w:szCs w:val="32"/>
        </w:rPr>
        <w:t xml:space="preserve">CONFIDENTIALITY NOTICE</w:t>
      </w:r>
    </w:p>
    <w:p>
      <w:pPr>
        <w:spacing w:after="120" w:before="0"/>
        <w:jc w:val="both"/>
      </w:pPr>
      <w:r>
        <w:rPr>
          <w:rFonts w:ascii="Calibri" w:cs="Calibri" w:eastAsia="Calibri" w:hAnsi="Calibri"/>
          <w:b w:val="false"/>
          <w:bCs w:val="false"/>
          <w:i w:val="false"/>
          <w:iCs w:val="false"/>
          <w:color w:val="333333"/>
          <w:sz w:val="22"/>
          <w:szCs w:val="22"/>
        </w:rPr>
        <w:t xml:space="preserve">This document contains proprietary and confidential information belonging to Monde. The information contained herein is intended solely for the use of the Bank of Zambia in connection with the application for designation as a payment system under the National Payment Systems Act, 2007. Any reproduction, distribution, or disclosure of this document or its contents to any unauthorized party is strictly prohibited.</w:t>
      </w:r>
    </w:p>
    <w:p>
      <w:pPr>
        <w:spacing w:after="200"/>
      </w:pPr>
    </w:p>
    <w:p>
      <w:pPr>
        <w:pStyle w:val="Heading1"/>
        <w:spacing w:after="120" w:before="300"/>
      </w:pPr>
      <w:r>
        <w:rPr>
          <w:rFonts w:ascii="Calibri" w:cs="Calibri" w:eastAsia="Calibri" w:hAnsi="Calibri"/>
          <w:b/>
          <w:bCs/>
          <w:color w:val="0A6E3C"/>
          <w:sz w:val="32"/>
          <w:szCs w:val="32"/>
        </w:rPr>
        <w:t xml:space="preserve">1. INTRODUCTION</w:t>
      </w:r>
    </w:p>
    <w:p>
      <w:pPr>
        <w:spacing w:after="120" w:before="0"/>
        <w:jc w:val="both"/>
      </w:pPr>
      <w:r>
        <w:rPr>
          <w:rFonts w:ascii="Calibri" w:cs="Calibri" w:eastAsia="Calibri" w:hAnsi="Calibri"/>
          <w:b w:val="false"/>
          <w:bCs w:val="false"/>
          <w:i w:val="false"/>
          <w:iCs w:val="false"/>
          <w:color w:val="333333"/>
          <w:sz w:val="22"/>
          <w:szCs w:val="22"/>
        </w:rPr>
        <w:t xml:space="preserve">This document presents the draft agreements and service level arrangements between Monde Limited and its third-party technology providers. These agreements are prepared in compliance with Section 1.6.1(a) of the Bank of Zambia Requirements for Designation of a Payment System, February 2025, which requires the submission of draft agreements with all third-party technology providers including relevant Service Level Agreements (SLAs).</w:t>
      </w:r>
    </w:p>
    <w:p>
      <w:pPr>
        <w:pStyle w:val="Heading1"/>
        <w:spacing w:after="120" w:before="300"/>
      </w:pPr>
      <w:r>
        <w:rPr>
          <w:rFonts w:ascii="Calibri" w:cs="Calibri" w:eastAsia="Calibri" w:hAnsi="Calibri"/>
          <w:b/>
          <w:bCs/>
          <w:color w:val="0A6E3C"/>
          <w:sz w:val="32"/>
          <w:szCs w:val="32"/>
        </w:rPr>
        <w:t xml:space="preserve">2. THIRD-PARTY PROVIDER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0A6E3C" w:val="solid"/>
          </w:tcPr>
          <w:p>
            <w:pPr>
              <w:jc w:val="center"/>
            </w:pPr>
            <w:r>
              <w:rPr>
                <w:rFonts w:ascii="Calibri" w:cs="Calibri" w:eastAsia="Calibri" w:hAnsi="Calibri"/>
                <w:b/>
                <w:bCs/>
                <w:color w:val="FFFFFF"/>
                <w:sz w:val="20"/>
                <w:szCs w:val="20"/>
              </w:rPr>
              <w:t xml:space="preserve">Provider</w:t>
            </w:r>
          </w:p>
        </w:tc>
        <w:tc>
          <w:tcPr>
            <w:tcW w:type="pct" w:w="25%"/>
            <w:shd w:color="0A6E3C" w:val="solid"/>
          </w:tcPr>
          <w:p>
            <w:pPr>
              <w:jc w:val="center"/>
            </w:pPr>
            <w:r>
              <w:rPr>
                <w:rFonts w:ascii="Calibri" w:cs="Calibri" w:eastAsia="Calibri" w:hAnsi="Calibri"/>
                <w:b/>
                <w:bCs/>
                <w:color w:val="FFFFFF"/>
                <w:sz w:val="20"/>
                <w:szCs w:val="20"/>
              </w:rPr>
              <w:t xml:space="preserve">Service Provided</w:t>
            </w:r>
          </w:p>
        </w:tc>
        <w:tc>
          <w:tcPr>
            <w:tcW w:type="pct" w:w="25%"/>
            <w:shd w:color="0A6E3C" w:val="solid"/>
          </w:tcPr>
          <w:p>
            <w:pPr>
              <w:jc w:val="center"/>
            </w:pPr>
            <w:r>
              <w:rPr>
                <w:rFonts w:ascii="Calibri" w:cs="Calibri" w:eastAsia="Calibri" w:hAnsi="Calibri"/>
                <w:b/>
                <w:bCs/>
                <w:color w:val="FFFFFF"/>
                <w:sz w:val="20"/>
                <w:szCs w:val="20"/>
              </w:rPr>
              <w:t xml:space="preserve">Criticality</w:t>
            </w:r>
          </w:p>
        </w:tc>
        <w:tc>
          <w:tcPr>
            <w:tcW w:type="pct" w:w="25%"/>
            <w:shd w:color="0A6E3C" w:val="solid"/>
          </w:tcPr>
          <w:p>
            <w:pPr>
              <w:jc w:val="center"/>
            </w:pPr>
            <w:r>
              <w:rPr>
                <w:rFonts w:ascii="Calibri" w:cs="Calibri" w:eastAsia="Calibri" w:hAnsi="Calibri"/>
                <w:b/>
                <w:bCs/>
                <w:color w:val="FFFFFF"/>
                <w:sz w:val="20"/>
                <w:szCs w:val="20"/>
              </w:rPr>
              <w:t xml:space="preserve">Jurisdiction</w:t>
            </w:r>
          </w:p>
        </w:tc>
      </w:tr>
      <w:tr>
        <w:tc>
          <w:tcPr>
            <w:tcW w:type="pct" w:w="25%"/>
          </w:tcPr>
          <w:p>
            <w:r>
              <w:rPr>
                <w:rFonts w:ascii="Calibri" w:cs="Calibri" w:eastAsia="Calibri" w:hAnsi="Calibri"/>
                <w:color w:val="333333"/>
                <w:sz w:val="20"/>
                <w:szCs w:val="20"/>
              </w:rPr>
              <w:t xml:space="preserve">Lipila (Beem Africa Ltd)</w:t>
            </w:r>
          </w:p>
        </w:tc>
        <w:tc>
          <w:tcPr>
            <w:tcW w:type="pct" w:w="25%"/>
          </w:tcPr>
          <w:p>
            <w:r>
              <w:rPr>
                <w:rFonts w:ascii="Calibri" w:cs="Calibri" w:eastAsia="Calibri" w:hAnsi="Calibri"/>
                <w:color w:val="333333"/>
                <w:sz w:val="20"/>
                <w:szCs w:val="20"/>
              </w:rPr>
              <w:t xml:space="preserve">Payment gateway (MoMo collections, disbursements, card payments)</w:t>
            </w:r>
          </w:p>
        </w:tc>
        <w:tc>
          <w:tcPr>
            <w:tcW w:type="pct" w:w="25%"/>
          </w:tcPr>
          <w:p>
            <w:r>
              <w:rPr>
                <w:rFonts w:ascii="Calibri" w:cs="Calibri" w:eastAsia="Calibri" w:hAnsi="Calibri"/>
                <w:color w:val="333333"/>
                <w:sz w:val="20"/>
                <w:szCs w:val="20"/>
              </w:rPr>
              <w:t xml:space="preserve">Critical</w:t>
            </w:r>
          </w:p>
        </w:tc>
        <w:tc>
          <w:tcPr>
            <w:tcW w:type="pct" w:w="25%"/>
          </w:tcPr>
          <w:p>
            <w:r>
              <w:rPr>
                <w:rFonts w:ascii="Calibri" w:cs="Calibri" w:eastAsia="Calibri" w:hAnsi="Calibri"/>
                <w:color w:val="333333"/>
                <w:sz w:val="20"/>
                <w:szCs w:val="20"/>
              </w:rPr>
              <w:t xml:space="preserve">Zambia</w:t>
            </w:r>
          </w:p>
        </w:tc>
      </w:tr>
      <w:tr>
        <w:tc>
          <w:tcPr>
            <w:tcW w:type="pct" w:w="25%"/>
          </w:tcPr>
          <w:p>
            <w:r>
              <w:rPr>
                <w:rFonts w:ascii="Calibri" w:cs="Calibri" w:eastAsia="Calibri" w:hAnsi="Calibri"/>
                <w:color w:val="333333"/>
                <w:sz w:val="20"/>
                <w:szCs w:val="20"/>
              </w:rPr>
              <w:t xml:space="preserve">Supabase Inc.</w:t>
            </w:r>
          </w:p>
        </w:tc>
        <w:tc>
          <w:tcPr>
            <w:tcW w:type="pct" w:w="25%"/>
          </w:tcPr>
          <w:p>
            <w:r>
              <w:rPr>
                <w:rFonts w:ascii="Calibri" w:cs="Calibri" w:eastAsia="Calibri" w:hAnsi="Calibri"/>
                <w:color w:val="333333"/>
                <w:sz w:val="20"/>
                <w:szCs w:val="20"/>
              </w:rPr>
              <w:t xml:space="preserve">Cloud database, authentication, Edge Functions, realtime engine</w:t>
            </w:r>
          </w:p>
        </w:tc>
        <w:tc>
          <w:tcPr>
            <w:tcW w:type="pct" w:w="25%"/>
          </w:tcPr>
          <w:p>
            <w:r>
              <w:rPr>
                <w:rFonts w:ascii="Calibri" w:cs="Calibri" w:eastAsia="Calibri" w:hAnsi="Calibri"/>
                <w:color w:val="333333"/>
                <w:sz w:val="20"/>
                <w:szCs w:val="20"/>
              </w:rPr>
              <w:t xml:space="preserve">Critical</w:t>
            </w:r>
          </w:p>
        </w:tc>
        <w:tc>
          <w:tcPr>
            <w:tcW w:type="pct" w:w="25%"/>
          </w:tcPr>
          <w:p>
            <w:r>
              <w:rPr>
                <w:rFonts w:ascii="Calibri" w:cs="Calibri" w:eastAsia="Calibri" w:hAnsi="Calibri"/>
                <w:color w:val="333333"/>
                <w:sz w:val="20"/>
                <w:szCs w:val="20"/>
              </w:rPr>
              <w:t xml:space="preserve">USA (AWS af-south-1)</w:t>
            </w:r>
          </w:p>
        </w:tc>
      </w:tr>
      <w:tr>
        <w:tc>
          <w:tcPr>
            <w:tcW w:type="pct" w:w="25%"/>
          </w:tcPr>
          <w:p>
            <w:r>
              <w:rPr>
                <w:rFonts w:ascii="Calibri" w:cs="Calibri" w:eastAsia="Calibri" w:hAnsi="Calibri"/>
                <w:color w:val="333333"/>
                <w:sz w:val="20"/>
                <w:szCs w:val="20"/>
              </w:rPr>
              <w:t xml:space="preserve">Twilio Inc.</w:t>
            </w:r>
          </w:p>
        </w:tc>
        <w:tc>
          <w:tcPr>
            <w:tcW w:type="pct" w:w="25%"/>
          </w:tcPr>
          <w:p>
            <w:r>
              <w:rPr>
                <w:rFonts w:ascii="Calibri" w:cs="Calibri" w:eastAsia="Calibri" w:hAnsi="Calibri"/>
                <w:color w:val="333333"/>
                <w:sz w:val="20"/>
                <w:szCs w:val="20"/>
              </w:rPr>
              <w:t xml:space="preserve">SMS OTP delivery for phone verification</w:t>
            </w:r>
          </w:p>
        </w:tc>
        <w:tc>
          <w:tcPr>
            <w:tcW w:type="pct" w:w="25%"/>
          </w:tcPr>
          <w:p>
            <w:r>
              <w:rPr>
                <w:rFonts w:ascii="Calibri" w:cs="Calibri" w:eastAsia="Calibri" w:hAnsi="Calibri"/>
                <w:color w:val="333333"/>
                <w:sz w:val="20"/>
                <w:szCs w:val="20"/>
              </w:rPr>
              <w:t xml:space="preserve">High</w:t>
            </w:r>
          </w:p>
        </w:tc>
        <w:tc>
          <w:tcPr>
            <w:tcW w:type="pct" w:w="25%"/>
          </w:tcPr>
          <w:p>
            <w:r>
              <w:rPr>
                <w:rFonts w:ascii="Calibri" w:cs="Calibri" w:eastAsia="Calibri" w:hAnsi="Calibri"/>
                <w:color w:val="333333"/>
                <w:sz w:val="20"/>
                <w:szCs w:val="20"/>
              </w:rPr>
              <w:t xml:space="preserve">USA (global network)</w:t>
            </w:r>
          </w:p>
        </w:tc>
      </w:tr>
      <w:tr>
        <w:tc>
          <w:tcPr>
            <w:tcW w:type="pct" w:w="25%"/>
          </w:tcPr>
          <w:p>
            <w:r>
              <w:rPr>
                <w:rFonts w:ascii="Calibri" w:cs="Calibri" w:eastAsia="Calibri" w:hAnsi="Calibri"/>
                <w:color w:val="333333"/>
                <w:sz w:val="20"/>
                <w:szCs w:val="20"/>
              </w:rPr>
              <w:t xml:space="preserve">Google LLC</w:t>
            </w:r>
          </w:p>
        </w:tc>
        <w:tc>
          <w:tcPr>
            <w:tcW w:type="pct" w:w="25%"/>
          </w:tcPr>
          <w:p>
            <w:r>
              <w:rPr>
                <w:rFonts w:ascii="Calibri" w:cs="Calibri" w:eastAsia="Calibri" w:hAnsi="Calibri"/>
                <w:color w:val="333333"/>
                <w:sz w:val="20"/>
                <w:szCs w:val="20"/>
              </w:rPr>
              <w:t xml:space="preserve">Android app distribution (Google Play Store)</w:t>
            </w:r>
          </w:p>
        </w:tc>
        <w:tc>
          <w:tcPr>
            <w:tcW w:type="pct" w:w="25%"/>
          </w:tcPr>
          <w:p>
            <w:r>
              <w:rPr>
                <w:rFonts w:ascii="Calibri" w:cs="Calibri" w:eastAsia="Calibri" w:hAnsi="Calibri"/>
                <w:color w:val="333333"/>
                <w:sz w:val="20"/>
                <w:szCs w:val="20"/>
              </w:rPr>
              <w:t xml:space="preserve">Medium</w:t>
            </w:r>
          </w:p>
        </w:tc>
        <w:tc>
          <w:tcPr>
            <w:tcW w:type="pct" w:w="25%"/>
          </w:tcPr>
          <w:p>
            <w:r>
              <w:rPr>
                <w:rFonts w:ascii="Calibri" w:cs="Calibri" w:eastAsia="Calibri" w:hAnsi="Calibri"/>
                <w:color w:val="333333"/>
                <w:sz w:val="20"/>
                <w:szCs w:val="20"/>
              </w:rPr>
              <w:t xml:space="preserve">USA</w:t>
            </w:r>
          </w:p>
        </w:tc>
      </w:tr>
      <w:tr>
        <w:tc>
          <w:tcPr>
            <w:tcW w:type="pct" w:w="25%"/>
          </w:tcPr>
          <w:p>
            <w:r>
              <w:rPr>
                <w:rFonts w:ascii="Calibri" w:cs="Calibri" w:eastAsia="Calibri" w:hAnsi="Calibri"/>
                <w:color w:val="333333"/>
                <w:sz w:val="20"/>
                <w:szCs w:val="20"/>
              </w:rPr>
              <w:t xml:space="preserve">Apple Inc.</w:t>
            </w:r>
          </w:p>
        </w:tc>
        <w:tc>
          <w:tcPr>
            <w:tcW w:type="pct" w:w="25%"/>
          </w:tcPr>
          <w:p>
            <w:r>
              <w:rPr>
                <w:rFonts w:ascii="Calibri" w:cs="Calibri" w:eastAsia="Calibri" w:hAnsi="Calibri"/>
                <w:color w:val="333333"/>
                <w:sz w:val="20"/>
                <w:szCs w:val="20"/>
              </w:rPr>
              <w:t xml:space="preserve">iOS app distribution (Apple App Store)</w:t>
            </w:r>
          </w:p>
        </w:tc>
        <w:tc>
          <w:tcPr>
            <w:tcW w:type="pct" w:w="25%"/>
          </w:tcPr>
          <w:p>
            <w:r>
              <w:rPr>
                <w:rFonts w:ascii="Calibri" w:cs="Calibri" w:eastAsia="Calibri" w:hAnsi="Calibri"/>
                <w:color w:val="333333"/>
                <w:sz w:val="20"/>
                <w:szCs w:val="20"/>
              </w:rPr>
              <w:t xml:space="preserve">Medium</w:t>
            </w:r>
          </w:p>
        </w:tc>
        <w:tc>
          <w:tcPr>
            <w:tcW w:type="pct" w:w="25%"/>
          </w:tcPr>
          <w:p>
            <w:r>
              <w:rPr>
                <w:rFonts w:ascii="Calibri" w:cs="Calibri" w:eastAsia="Calibri" w:hAnsi="Calibri"/>
                <w:color w:val="333333"/>
                <w:sz w:val="20"/>
                <w:szCs w:val="20"/>
              </w:rPr>
              <w:t xml:space="preserve">USA</w:t>
            </w:r>
          </w:p>
        </w:tc>
      </w:tr>
      <w:tr>
        <w:tc>
          <w:tcPr>
            <w:tcW w:type="pct" w:w="25%"/>
          </w:tcPr>
          <w:p>
            <w:r>
              <w:rPr>
                <w:rFonts w:ascii="Calibri" w:cs="Calibri" w:eastAsia="Calibri" w:hAnsi="Calibri"/>
                <w:color w:val="333333"/>
                <w:sz w:val="20"/>
                <w:szCs w:val="20"/>
              </w:rPr>
              <w:t xml:space="preserve">Expo (820 Labs Inc.)</w:t>
            </w:r>
          </w:p>
        </w:tc>
        <w:tc>
          <w:tcPr>
            <w:tcW w:type="pct" w:w="25%"/>
          </w:tcPr>
          <w:p>
            <w:r>
              <w:rPr>
                <w:rFonts w:ascii="Calibri" w:cs="Calibri" w:eastAsia="Calibri" w:hAnsi="Calibri"/>
                <w:color w:val="333333"/>
                <w:sz w:val="20"/>
                <w:szCs w:val="20"/>
              </w:rPr>
              <w:t xml:space="preserve">Application build and signing services (EAS)</w:t>
            </w:r>
          </w:p>
        </w:tc>
        <w:tc>
          <w:tcPr>
            <w:tcW w:type="pct" w:w="25%"/>
          </w:tcPr>
          <w:p>
            <w:r>
              <w:rPr>
                <w:rFonts w:ascii="Calibri" w:cs="Calibri" w:eastAsia="Calibri" w:hAnsi="Calibri"/>
                <w:color w:val="333333"/>
                <w:sz w:val="20"/>
                <w:szCs w:val="20"/>
              </w:rPr>
              <w:t xml:space="preserve">Medium</w:t>
            </w:r>
          </w:p>
        </w:tc>
        <w:tc>
          <w:tcPr>
            <w:tcW w:type="pct" w:w="25%"/>
          </w:tcPr>
          <w:p>
            <w:r>
              <w:rPr>
                <w:rFonts w:ascii="Calibri" w:cs="Calibri" w:eastAsia="Calibri" w:hAnsi="Calibri"/>
                <w:color w:val="333333"/>
                <w:sz w:val="20"/>
                <w:szCs w:val="20"/>
              </w:rPr>
              <w:t xml:space="preserve">USA</w:t>
            </w:r>
          </w:p>
        </w:tc>
      </w:tr>
    </w:tbl>
    <w:p>
      <w:pPr>
        <w:spacing w:after="200"/>
      </w:pPr>
    </w:p>
    <w:p>
      <w:pPr>
        <w:pStyle w:val="Heading1"/>
        <w:spacing w:after="120" w:before="300"/>
      </w:pPr>
      <w:r>
        <w:rPr>
          <w:rFonts w:ascii="Calibri" w:cs="Calibri" w:eastAsia="Calibri" w:hAnsi="Calibri"/>
          <w:b/>
          <w:bCs/>
          <w:color w:val="0A6E3C"/>
          <w:sz w:val="32"/>
          <w:szCs w:val="32"/>
        </w:rPr>
        <w:t xml:space="preserve">3. DRAFT AGREEMENT: LIPILA PAYMENT GATEWAY</w:t>
      </w:r>
    </w:p>
    <w:p>
      <w:pPr>
        <w:pStyle w:val="Heading2"/>
        <w:spacing w:after="120" w:before="300"/>
      </w:pPr>
      <w:r>
        <w:rPr>
          <w:rFonts w:ascii="Calibri" w:cs="Calibri" w:eastAsia="Calibri" w:hAnsi="Calibri"/>
          <w:b/>
          <w:bCs/>
          <w:color w:val="0A6E3C"/>
          <w:sz w:val="26"/>
          <w:szCs w:val="26"/>
        </w:rPr>
        <w:t xml:space="preserve">3.1 Parties</w:t>
      </w:r>
    </w:p>
    <w:p>
      <w:pPr>
        <w:spacing w:after="120" w:before="0"/>
        <w:jc w:val="both"/>
      </w:pPr>
      <w:r>
        <w:rPr>
          <w:rFonts w:ascii="Calibri" w:cs="Calibri" w:eastAsia="Calibri" w:hAnsi="Calibri"/>
          <w:b w:val="false"/>
          <w:bCs w:val="false"/>
          <w:i w:val="false"/>
          <w:iCs w:val="false"/>
          <w:color w:val="333333"/>
          <w:sz w:val="22"/>
          <w:szCs w:val="22"/>
        </w:rPr>
        <w:t xml:space="preserve">This agreement is between Monde Limited ("Monde") and Beem Africa Limited trading as Lipila ("Lipila"), a licensed payment gateway operating in Zambia.</w:t>
      </w:r>
    </w:p>
    <w:p>
      <w:pPr>
        <w:pStyle w:val="Heading2"/>
        <w:spacing w:after="120" w:before="300"/>
      </w:pPr>
      <w:r>
        <w:rPr>
          <w:rFonts w:ascii="Calibri" w:cs="Calibri" w:eastAsia="Calibri" w:hAnsi="Calibri"/>
          <w:b/>
          <w:bCs/>
          <w:color w:val="0A6E3C"/>
          <w:sz w:val="26"/>
          <w:szCs w:val="26"/>
        </w:rPr>
        <w:t xml:space="preserve">3.2 Scope of Services</w:t>
      </w:r>
    </w:p>
    <w:p>
      <w:pPr>
        <w:spacing w:after="120" w:before="0"/>
        <w:jc w:val="both"/>
      </w:pPr>
      <w:r>
        <w:rPr>
          <w:rFonts w:ascii="Calibri" w:cs="Calibri" w:eastAsia="Calibri" w:hAnsi="Calibri"/>
          <w:b w:val="false"/>
          <w:bCs w:val="false"/>
          <w:i w:val="false"/>
          <w:iCs w:val="false"/>
          <w:color w:val="333333"/>
          <w:sz w:val="22"/>
          <w:szCs w:val="22"/>
        </w:rPr>
        <w:t xml:space="preserve">Lipila shall provide the following services to Monde:</w:t>
      </w:r>
    </w:p>
    <w:p>
      <w:pPr>
        <w:pStyle w:val="ListParagraph"/>
        <w:numPr>
          <w:ilvl w:val="0"/>
          <w:numId w:val="1"/>
        </w:numPr>
        <w:spacing w:after="60"/>
      </w:pPr>
      <w:r>
        <w:rPr>
          <w:rFonts w:ascii="Calibri" w:cs="Calibri" w:eastAsia="Calibri" w:hAnsi="Calibri"/>
          <w:color w:val="333333"/>
          <w:sz w:val="22"/>
          <w:szCs w:val="22"/>
        </w:rPr>
        <w:t xml:space="preserve">Mobile Money Collections: Processing of collection requests from Airtel Money, MTN Money, and Zamtel Kwacha accounts on behalf of Monde customers (wallet top-up)</w:t>
      </w:r>
    </w:p>
    <w:p>
      <w:pPr>
        <w:pStyle w:val="ListParagraph"/>
        <w:numPr>
          <w:ilvl w:val="0"/>
          <w:numId w:val="1"/>
        </w:numPr>
        <w:spacing w:after="60"/>
      </w:pPr>
      <w:r>
        <w:rPr>
          <w:rFonts w:ascii="Calibri" w:cs="Calibri" w:eastAsia="Calibri" w:hAnsi="Calibri"/>
          <w:color w:val="333333"/>
          <w:sz w:val="22"/>
          <w:szCs w:val="22"/>
        </w:rPr>
        <w:t xml:space="preserve">Mobile Money Disbursements: Processing of disbursement requests to Airtel Money, MTN Money, and Zamtel Kwacha accounts on behalf of Monde customers (wallet withdrawal)</w:t>
      </w:r>
    </w:p>
    <w:p>
      <w:pPr>
        <w:pStyle w:val="ListParagraph"/>
        <w:numPr>
          <w:ilvl w:val="0"/>
          <w:numId w:val="1"/>
        </w:numPr>
        <w:spacing w:after="60"/>
      </w:pPr>
      <w:r>
        <w:rPr>
          <w:rFonts w:ascii="Calibri" w:cs="Calibri" w:eastAsia="Calibri" w:hAnsi="Calibri"/>
          <w:color w:val="333333"/>
          <w:sz w:val="22"/>
          <w:szCs w:val="22"/>
        </w:rPr>
        <w:t xml:space="preserve">Card Collections: Processing of Visa/Mastercard card payments from FNB, Zanaco, and Absa accounts</w:t>
      </w:r>
    </w:p>
    <w:p>
      <w:pPr>
        <w:pStyle w:val="ListParagraph"/>
        <w:numPr>
          <w:ilvl w:val="0"/>
          <w:numId w:val="1"/>
        </w:numPr>
        <w:spacing w:after="60"/>
      </w:pPr>
      <w:r>
        <w:rPr>
          <w:rFonts w:ascii="Calibri" w:cs="Calibri" w:eastAsia="Calibri" w:hAnsi="Calibri"/>
          <w:color w:val="333333"/>
          <w:sz w:val="22"/>
          <w:szCs w:val="22"/>
        </w:rPr>
        <w:t xml:space="preserve">Callback Notifications: Real-time webhook callbacks to Monde for transaction status updates</w:t>
      </w:r>
    </w:p>
    <w:p>
      <w:pPr>
        <w:pStyle w:val="ListParagraph"/>
        <w:numPr>
          <w:ilvl w:val="0"/>
          <w:numId w:val="1"/>
        </w:numPr>
        <w:spacing w:after="60"/>
      </w:pPr>
      <w:r>
        <w:rPr>
          <w:rFonts w:ascii="Calibri" w:cs="Calibri" w:eastAsia="Calibri" w:hAnsi="Calibri"/>
          <w:color w:val="333333"/>
          <w:sz w:val="22"/>
          <w:szCs w:val="22"/>
        </w:rPr>
        <w:t xml:space="preserve">Status API: API endpoint for querying transaction status</w:t>
      </w:r>
    </w:p>
    <w:p>
      <w:pPr>
        <w:pStyle w:val="ListParagraph"/>
        <w:numPr>
          <w:ilvl w:val="0"/>
          <w:numId w:val="1"/>
        </w:numPr>
        <w:spacing w:after="60"/>
      </w:pPr>
      <w:r>
        <w:rPr>
          <w:rFonts w:ascii="Calibri" w:cs="Calibri" w:eastAsia="Calibri" w:hAnsi="Calibri"/>
          <w:color w:val="333333"/>
          <w:sz w:val="22"/>
          <w:szCs w:val="22"/>
        </w:rPr>
        <w:t xml:space="preserve">Dashboard Access: Access to the Lipila merchant dashboard for transaction monitoring and reconciliation</w:t>
      </w:r>
    </w:p>
    <w:p>
      <w:pPr>
        <w:pStyle w:val="Heading2"/>
        <w:spacing w:after="120" w:before="300"/>
      </w:pPr>
      <w:r>
        <w:rPr>
          <w:rFonts w:ascii="Calibri" w:cs="Calibri" w:eastAsia="Calibri" w:hAnsi="Calibri"/>
          <w:b/>
          <w:bCs/>
          <w:color w:val="0A6E3C"/>
          <w:sz w:val="26"/>
          <w:szCs w:val="26"/>
        </w:rPr>
        <w:t xml:space="preserve">3.3 Service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0A6E3C" w:val="solid"/>
          </w:tcPr>
          <w:p>
            <w:pPr>
              <w:jc w:val="center"/>
            </w:pPr>
            <w:r>
              <w:rPr>
                <w:rFonts w:ascii="Calibri" w:cs="Calibri" w:eastAsia="Calibri" w:hAnsi="Calibri"/>
                <w:b/>
                <w:bCs/>
                <w:color w:val="FFFFFF"/>
                <w:sz w:val="20"/>
                <w:szCs w:val="20"/>
              </w:rPr>
              <w:t xml:space="preserve">Metric</w:t>
            </w:r>
          </w:p>
        </w:tc>
        <w:tc>
          <w:tcPr>
            <w:tcW w:type="pct" w:w="33%"/>
            <w:shd w:color="0A6E3C" w:val="solid"/>
          </w:tcPr>
          <w:p>
            <w:pPr>
              <w:jc w:val="center"/>
            </w:pPr>
            <w:r>
              <w:rPr>
                <w:rFonts w:ascii="Calibri" w:cs="Calibri" w:eastAsia="Calibri" w:hAnsi="Calibri"/>
                <w:b/>
                <w:bCs/>
                <w:color w:val="FFFFFF"/>
                <w:sz w:val="20"/>
                <w:szCs w:val="20"/>
              </w:rPr>
              <w:t xml:space="preserve">Target SLA</w:t>
            </w:r>
          </w:p>
        </w:tc>
        <w:tc>
          <w:tcPr>
            <w:tcW w:type="pct" w:w="33%"/>
            <w:shd w:color="0A6E3C" w:val="solid"/>
          </w:tcPr>
          <w:p>
            <w:pPr>
              <w:jc w:val="center"/>
            </w:pPr>
            <w:r>
              <w:rPr>
                <w:rFonts w:ascii="Calibri" w:cs="Calibri" w:eastAsia="Calibri" w:hAnsi="Calibri"/>
                <w:b/>
                <w:bCs/>
                <w:color w:val="FFFFFF"/>
                <w:sz w:val="20"/>
                <w:szCs w:val="20"/>
              </w:rPr>
              <w:t xml:space="preserve">Measurement</w:t>
            </w:r>
          </w:p>
        </w:tc>
      </w:tr>
      <w:tr>
        <w:tc>
          <w:tcPr>
            <w:tcW w:type="pct" w:w="33%"/>
          </w:tcPr>
          <w:p>
            <w:r>
              <w:rPr>
                <w:rFonts w:ascii="Calibri" w:cs="Calibri" w:eastAsia="Calibri" w:hAnsi="Calibri"/>
                <w:color w:val="333333"/>
                <w:sz w:val="20"/>
                <w:szCs w:val="20"/>
              </w:rPr>
              <w:t xml:space="preserve">API Availability</w:t>
            </w:r>
          </w:p>
        </w:tc>
        <w:tc>
          <w:tcPr>
            <w:tcW w:type="pct" w:w="33%"/>
          </w:tcPr>
          <w:p>
            <w:r>
              <w:rPr>
                <w:rFonts w:ascii="Calibri" w:cs="Calibri" w:eastAsia="Calibri" w:hAnsi="Calibri"/>
                <w:color w:val="333333"/>
                <w:sz w:val="20"/>
                <w:szCs w:val="20"/>
              </w:rPr>
              <w:t xml:space="preserve">99.5% uptime</w:t>
            </w:r>
          </w:p>
        </w:tc>
        <w:tc>
          <w:tcPr>
            <w:tcW w:type="pct" w:w="33%"/>
          </w:tcPr>
          <w:p>
            <w:r>
              <w:rPr>
                <w:rFonts w:ascii="Calibri" w:cs="Calibri" w:eastAsia="Calibri" w:hAnsi="Calibri"/>
                <w:color w:val="333333"/>
                <w:sz w:val="20"/>
                <w:szCs w:val="20"/>
              </w:rPr>
              <w:t xml:space="preserve">Monthly, excluding scheduled maintenance</w:t>
            </w:r>
          </w:p>
        </w:tc>
      </w:tr>
      <w:tr>
        <w:tc>
          <w:tcPr>
            <w:tcW w:type="pct" w:w="33%"/>
          </w:tcPr>
          <w:p>
            <w:r>
              <w:rPr>
                <w:rFonts w:ascii="Calibri" w:cs="Calibri" w:eastAsia="Calibri" w:hAnsi="Calibri"/>
                <w:color w:val="333333"/>
                <w:sz w:val="20"/>
                <w:szCs w:val="20"/>
              </w:rPr>
              <w:t xml:space="preserve">Collection Processing</w:t>
            </w:r>
          </w:p>
        </w:tc>
        <w:tc>
          <w:tcPr>
            <w:tcW w:type="pct" w:w="33%"/>
          </w:tcPr>
          <w:p>
            <w:r>
              <w:rPr>
                <w:rFonts w:ascii="Calibri" w:cs="Calibri" w:eastAsia="Calibri" w:hAnsi="Calibri"/>
                <w:color w:val="333333"/>
                <w:sz w:val="20"/>
                <w:szCs w:val="20"/>
              </w:rPr>
              <w:t xml:space="preserve">Within 60 seconds of approval</w:t>
            </w:r>
          </w:p>
        </w:tc>
        <w:tc>
          <w:tcPr>
            <w:tcW w:type="pct" w:w="33%"/>
          </w:tcPr>
          <w:p>
            <w:r>
              <w:rPr>
                <w:rFonts w:ascii="Calibri" w:cs="Calibri" w:eastAsia="Calibri" w:hAnsi="Calibri"/>
                <w:color w:val="333333"/>
                <w:sz w:val="20"/>
                <w:szCs w:val="20"/>
              </w:rPr>
              <w:t xml:space="preserve">Time from user approval to callback</w:t>
            </w:r>
          </w:p>
        </w:tc>
      </w:tr>
      <w:tr>
        <w:tc>
          <w:tcPr>
            <w:tcW w:type="pct" w:w="33%"/>
          </w:tcPr>
          <w:p>
            <w:r>
              <w:rPr>
                <w:rFonts w:ascii="Calibri" w:cs="Calibri" w:eastAsia="Calibri" w:hAnsi="Calibri"/>
                <w:color w:val="333333"/>
                <w:sz w:val="20"/>
                <w:szCs w:val="20"/>
              </w:rPr>
              <w:t xml:space="preserve">Disbursement Processing</w:t>
            </w:r>
          </w:p>
        </w:tc>
        <w:tc>
          <w:tcPr>
            <w:tcW w:type="pct" w:w="33%"/>
          </w:tcPr>
          <w:p>
            <w:r>
              <w:rPr>
                <w:rFonts w:ascii="Calibri" w:cs="Calibri" w:eastAsia="Calibri" w:hAnsi="Calibri"/>
                <w:color w:val="333333"/>
                <w:sz w:val="20"/>
                <w:szCs w:val="20"/>
              </w:rPr>
              <w:t xml:space="preserve">Within 5 minutes of request</w:t>
            </w:r>
          </w:p>
        </w:tc>
        <w:tc>
          <w:tcPr>
            <w:tcW w:type="pct" w:w="33%"/>
          </w:tcPr>
          <w:p>
            <w:r>
              <w:rPr>
                <w:rFonts w:ascii="Calibri" w:cs="Calibri" w:eastAsia="Calibri" w:hAnsi="Calibri"/>
                <w:color w:val="333333"/>
                <w:sz w:val="20"/>
                <w:szCs w:val="20"/>
              </w:rPr>
              <w:t xml:space="preserve">Time from API call to funds delivery</w:t>
            </w:r>
          </w:p>
        </w:tc>
      </w:tr>
      <w:tr>
        <w:tc>
          <w:tcPr>
            <w:tcW w:type="pct" w:w="33%"/>
          </w:tcPr>
          <w:p>
            <w:r>
              <w:rPr>
                <w:rFonts w:ascii="Calibri" w:cs="Calibri" w:eastAsia="Calibri" w:hAnsi="Calibri"/>
                <w:color w:val="333333"/>
                <w:sz w:val="20"/>
                <w:szCs w:val="20"/>
              </w:rPr>
              <w:t xml:space="preserve">Callback Delivery</w:t>
            </w:r>
          </w:p>
        </w:tc>
        <w:tc>
          <w:tcPr>
            <w:tcW w:type="pct" w:w="33%"/>
          </w:tcPr>
          <w:p>
            <w:r>
              <w:rPr>
                <w:rFonts w:ascii="Calibri" w:cs="Calibri" w:eastAsia="Calibri" w:hAnsi="Calibri"/>
                <w:color w:val="333333"/>
                <w:sz w:val="20"/>
                <w:szCs w:val="20"/>
              </w:rPr>
              <w:t xml:space="preserve">Within 30 seconds of status change</w:t>
            </w:r>
          </w:p>
        </w:tc>
        <w:tc>
          <w:tcPr>
            <w:tcW w:type="pct" w:w="33%"/>
          </w:tcPr>
          <w:p>
            <w:r>
              <w:rPr>
                <w:rFonts w:ascii="Calibri" w:cs="Calibri" w:eastAsia="Calibri" w:hAnsi="Calibri"/>
                <w:color w:val="333333"/>
                <w:sz w:val="20"/>
                <w:szCs w:val="20"/>
              </w:rPr>
              <w:t xml:space="preserve">Time from status change to callback receipt</w:t>
            </w:r>
          </w:p>
        </w:tc>
      </w:tr>
      <w:tr>
        <w:tc>
          <w:tcPr>
            <w:tcW w:type="pct" w:w="33%"/>
          </w:tcPr>
          <w:p>
            <w:r>
              <w:rPr>
                <w:rFonts w:ascii="Calibri" w:cs="Calibri" w:eastAsia="Calibri" w:hAnsi="Calibri"/>
                <w:color w:val="333333"/>
                <w:sz w:val="20"/>
                <w:szCs w:val="20"/>
              </w:rPr>
              <w:t xml:space="preserve">API Response Time</w:t>
            </w:r>
          </w:p>
        </w:tc>
        <w:tc>
          <w:tcPr>
            <w:tcW w:type="pct" w:w="33%"/>
          </w:tcPr>
          <w:p>
            <w:r>
              <w:rPr>
                <w:rFonts w:ascii="Calibri" w:cs="Calibri" w:eastAsia="Calibri" w:hAnsi="Calibri"/>
                <w:color w:val="333333"/>
                <w:sz w:val="20"/>
                <w:szCs w:val="20"/>
              </w:rPr>
              <w:t xml:space="preserve">Less than 3 seconds (p95)</w:t>
            </w:r>
          </w:p>
        </w:tc>
        <w:tc>
          <w:tcPr>
            <w:tcW w:type="pct" w:w="33%"/>
          </w:tcPr>
          <w:p>
            <w:r>
              <w:rPr>
                <w:rFonts w:ascii="Calibri" w:cs="Calibri" w:eastAsia="Calibri" w:hAnsi="Calibri"/>
                <w:color w:val="333333"/>
                <w:sz w:val="20"/>
                <w:szCs w:val="20"/>
              </w:rPr>
              <w:t xml:space="preserve">Measured at API endpoint</w:t>
            </w:r>
          </w:p>
        </w:tc>
      </w:tr>
      <w:tr>
        <w:tc>
          <w:tcPr>
            <w:tcW w:type="pct" w:w="33%"/>
          </w:tcPr>
          <w:p>
            <w:r>
              <w:rPr>
                <w:rFonts w:ascii="Calibri" w:cs="Calibri" w:eastAsia="Calibri" w:hAnsi="Calibri"/>
                <w:color w:val="333333"/>
                <w:sz w:val="20"/>
                <w:szCs w:val="20"/>
              </w:rPr>
              <w:t xml:space="preserve">Daily Settlement</w:t>
            </w:r>
          </w:p>
        </w:tc>
        <w:tc>
          <w:tcPr>
            <w:tcW w:type="pct" w:w="33%"/>
          </w:tcPr>
          <w:p>
            <w:r>
              <w:rPr>
                <w:rFonts w:ascii="Calibri" w:cs="Calibri" w:eastAsia="Calibri" w:hAnsi="Calibri"/>
                <w:color w:val="333333"/>
                <w:sz w:val="20"/>
                <w:szCs w:val="20"/>
              </w:rPr>
              <w:t xml:space="preserve">T+1 business day</w:t>
            </w:r>
          </w:p>
        </w:tc>
        <w:tc>
          <w:tcPr>
            <w:tcW w:type="pct" w:w="33%"/>
          </w:tcPr>
          <w:p>
            <w:r>
              <w:rPr>
                <w:rFonts w:ascii="Calibri" w:cs="Calibri" w:eastAsia="Calibri" w:hAnsi="Calibri"/>
                <w:color w:val="333333"/>
                <w:sz w:val="20"/>
                <w:szCs w:val="20"/>
              </w:rPr>
              <w:t xml:space="preserve">Settlement of net collections to Monde bank account</w:t>
            </w:r>
          </w:p>
        </w:tc>
      </w:tr>
    </w:tbl>
    <w:p>
      <w:pPr>
        <w:spacing w:after="200"/>
      </w:pPr>
    </w:p>
    <w:p>
      <w:pPr>
        <w:pStyle w:val="Heading2"/>
        <w:spacing w:after="120" w:before="300"/>
      </w:pPr>
      <w:r>
        <w:rPr>
          <w:rFonts w:ascii="Calibri" w:cs="Calibri" w:eastAsia="Calibri" w:hAnsi="Calibri"/>
          <w:b/>
          <w:bCs/>
          <w:color w:val="0A6E3C"/>
          <w:sz w:val="26"/>
          <w:szCs w:val="26"/>
        </w:rPr>
        <w:t xml:space="preserve">3.4 Pricing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color="0A6E3C" w:val="solid"/>
          </w:tcPr>
          <w:p>
            <w:pPr>
              <w:jc w:val="center"/>
            </w:pPr>
            <w:r>
              <w:rPr>
                <w:rFonts w:ascii="Calibri" w:cs="Calibri" w:eastAsia="Calibri" w:hAnsi="Calibri"/>
                <w:b/>
                <w:bCs/>
                <w:color w:val="FFFFFF"/>
                <w:sz w:val="20"/>
                <w:szCs w:val="20"/>
              </w:rPr>
              <w:t xml:space="preserve">Service</w:t>
            </w:r>
          </w:p>
        </w:tc>
        <w:tc>
          <w:tcPr>
            <w:tcW w:type="pct" w:w="50%"/>
            <w:shd w:color="0A6E3C" w:val="solid"/>
          </w:tcPr>
          <w:p>
            <w:pPr>
              <w:jc w:val="center"/>
            </w:pPr>
            <w:r>
              <w:rPr>
                <w:rFonts w:ascii="Calibri" w:cs="Calibri" w:eastAsia="Calibri" w:hAnsi="Calibri"/>
                <w:b/>
                <w:bCs/>
                <w:color w:val="FFFFFF"/>
                <w:sz w:val="20"/>
                <w:szCs w:val="20"/>
              </w:rPr>
              <w:t xml:space="preserve">Lipila Fee</w:t>
            </w:r>
          </w:p>
        </w:tc>
      </w:tr>
      <w:tr>
        <w:tc>
          <w:tcPr>
            <w:tcW w:type="pct" w:w="50%"/>
          </w:tcPr>
          <w:p>
            <w:r>
              <w:rPr>
                <w:rFonts w:ascii="Calibri" w:cs="Calibri" w:eastAsia="Calibri" w:hAnsi="Calibri"/>
                <w:color w:val="333333"/>
                <w:sz w:val="20"/>
                <w:szCs w:val="20"/>
              </w:rPr>
              <w:t xml:space="preserve">Mobile Money Collection</w:t>
            </w:r>
          </w:p>
        </w:tc>
        <w:tc>
          <w:tcPr>
            <w:tcW w:type="pct" w:w="50%"/>
          </w:tcPr>
          <w:p>
            <w:r>
              <w:rPr>
                <w:rFonts w:ascii="Calibri" w:cs="Calibri" w:eastAsia="Calibri" w:hAnsi="Calibri"/>
                <w:color w:val="333333"/>
                <w:sz w:val="20"/>
                <w:szCs w:val="20"/>
              </w:rPr>
              <w:t xml:space="preserve">2.5% of collection amount</w:t>
            </w:r>
          </w:p>
        </w:tc>
      </w:tr>
      <w:tr>
        <w:tc>
          <w:tcPr>
            <w:tcW w:type="pct" w:w="50%"/>
          </w:tcPr>
          <w:p>
            <w:r>
              <w:rPr>
                <w:rFonts w:ascii="Calibri" w:cs="Calibri" w:eastAsia="Calibri" w:hAnsi="Calibri"/>
                <w:color w:val="333333"/>
                <w:sz w:val="20"/>
                <w:szCs w:val="20"/>
              </w:rPr>
              <w:t xml:space="preserve">Card Collection</w:t>
            </w:r>
          </w:p>
        </w:tc>
        <w:tc>
          <w:tcPr>
            <w:tcW w:type="pct" w:w="50%"/>
          </w:tcPr>
          <w:p>
            <w:r>
              <w:rPr>
                <w:rFonts w:ascii="Calibri" w:cs="Calibri" w:eastAsia="Calibri" w:hAnsi="Calibri"/>
                <w:color w:val="333333"/>
                <w:sz w:val="20"/>
                <w:szCs w:val="20"/>
              </w:rPr>
              <w:t xml:space="preserve">4% of collection amount</w:t>
            </w:r>
          </w:p>
        </w:tc>
      </w:tr>
      <w:tr>
        <w:tc>
          <w:tcPr>
            <w:tcW w:type="pct" w:w="50%"/>
          </w:tcPr>
          <w:p>
            <w:r>
              <w:rPr>
                <w:rFonts w:ascii="Calibri" w:cs="Calibri" w:eastAsia="Calibri" w:hAnsi="Calibri"/>
                <w:color w:val="333333"/>
                <w:sz w:val="20"/>
                <w:szCs w:val="20"/>
              </w:rPr>
              <w:t xml:space="preserve">Mobile Money Disbursement</w:t>
            </w:r>
          </w:p>
        </w:tc>
        <w:tc>
          <w:tcPr>
            <w:tcW w:type="pct" w:w="50%"/>
          </w:tcPr>
          <w:p>
            <w:r>
              <w:rPr>
                <w:rFonts w:ascii="Calibri" w:cs="Calibri" w:eastAsia="Calibri" w:hAnsi="Calibri"/>
                <w:color w:val="333333"/>
                <w:sz w:val="20"/>
                <w:szCs w:val="20"/>
              </w:rPr>
              <w:t xml:space="preserve">1.5% of disbursement amount</w:t>
            </w:r>
          </w:p>
        </w:tc>
      </w:tr>
    </w:tbl>
    <w:p>
      <w:pPr>
        <w:spacing w:after="200"/>
      </w:pPr>
    </w:p>
    <w:p>
      <w:pPr>
        <w:pStyle w:val="Heading2"/>
        <w:spacing w:after="120" w:before="300"/>
      </w:pPr>
      <w:r>
        <w:rPr>
          <w:rFonts w:ascii="Calibri" w:cs="Calibri" w:eastAsia="Calibri" w:hAnsi="Calibri"/>
          <w:b/>
          <w:bCs/>
          <w:color w:val="0A6E3C"/>
          <w:sz w:val="26"/>
          <w:szCs w:val="26"/>
        </w:rPr>
        <w:t xml:space="preserve">3.5 Security Requirements</w:t>
      </w:r>
    </w:p>
    <w:p>
      <w:pPr>
        <w:pStyle w:val="ListParagraph"/>
        <w:numPr>
          <w:ilvl w:val="0"/>
          <w:numId w:val="1"/>
        </w:numPr>
        <w:spacing w:after="60"/>
      </w:pPr>
      <w:r>
        <w:rPr>
          <w:rFonts w:ascii="Calibri" w:cs="Calibri" w:eastAsia="Calibri" w:hAnsi="Calibri"/>
          <w:color w:val="333333"/>
          <w:sz w:val="22"/>
          <w:szCs w:val="22"/>
        </w:rPr>
        <w:t xml:space="preserve">All API communication shall use HTTPS with TLS 1.2 or higher</w:t>
      </w:r>
    </w:p>
    <w:p>
      <w:pPr>
        <w:pStyle w:val="ListParagraph"/>
        <w:numPr>
          <w:ilvl w:val="0"/>
          <w:numId w:val="1"/>
        </w:numPr>
        <w:spacing w:after="60"/>
      </w:pPr>
      <w:r>
        <w:rPr>
          <w:rFonts w:ascii="Calibri" w:cs="Calibri" w:eastAsia="Calibri" w:hAnsi="Calibri"/>
          <w:color w:val="333333"/>
          <w:sz w:val="22"/>
          <w:szCs w:val="22"/>
        </w:rPr>
        <w:t xml:space="preserve">API keys shall be kept confidential and rotated periodically</w:t>
      </w:r>
    </w:p>
    <w:p>
      <w:pPr>
        <w:pStyle w:val="ListParagraph"/>
        <w:numPr>
          <w:ilvl w:val="0"/>
          <w:numId w:val="1"/>
        </w:numPr>
        <w:spacing w:after="60"/>
      </w:pPr>
      <w:r>
        <w:rPr>
          <w:rFonts w:ascii="Calibri" w:cs="Calibri" w:eastAsia="Calibri" w:hAnsi="Calibri"/>
          <w:color w:val="333333"/>
          <w:sz w:val="22"/>
          <w:szCs w:val="22"/>
        </w:rPr>
        <w:t xml:space="preserve">Lipila shall maintain PCI DSS compliance for card processing</w:t>
      </w:r>
    </w:p>
    <w:p>
      <w:pPr>
        <w:pStyle w:val="ListParagraph"/>
        <w:numPr>
          <w:ilvl w:val="0"/>
          <w:numId w:val="1"/>
        </w:numPr>
        <w:spacing w:after="60"/>
      </w:pPr>
      <w:r>
        <w:rPr>
          <w:rFonts w:ascii="Calibri" w:cs="Calibri" w:eastAsia="Calibri" w:hAnsi="Calibri"/>
          <w:color w:val="333333"/>
          <w:sz w:val="22"/>
          <w:szCs w:val="22"/>
        </w:rPr>
        <w:t xml:space="preserve">Lipila shall notify Monde within 24 hours of any security breach affecting Monde data</w:t>
      </w:r>
    </w:p>
    <w:p>
      <w:pPr>
        <w:pStyle w:val="ListParagraph"/>
        <w:numPr>
          <w:ilvl w:val="0"/>
          <w:numId w:val="1"/>
        </w:numPr>
        <w:spacing w:after="60"/>
      </w:pPr>
      <w:r>
        <w:rPr>
          <w:rFonts w:ascii="Calibri" w:cs="Calibri" w:eastAsia="Calibri" w:hAnsi="Calibri"/>
          <w:color w:val="333333"/>
          <w:sz w:val="22"/>
          <w:szCs w:val="22"/>
        </w:rPr>
        <w:t xml:space="preserve">Lipila shall maintain compliance with all Bank of Zambia regulations applicable to payment gateways</w:t>
      </w:r>
    </w:p>
    <w:p>
      <w:pPr>
        <w:pStyle w:val="Heading2"/>
        <w:spacing w:after="120" w:before="300"/>
      </w:pPr>
      <w:r>
        <w:rPr>
          <w:rFonts w:ascii="Calibri" w:cs="Calibri" w:eastAsia="Calibri" w:hAnsi="Calibri"/>
          <w:b/>
          <w:bCs/>
          <w:color w:val="0A6E3C"/>
          <w:sz w:val="26"/>
          <w:szCs w:val="26"/>
        </w:rPr>
        <w:t xml:space="preserve">3.6 Data Protection</w:t>
      </w:r>
    </w:p>
    <w:p>
      <w:pPr>
        <w:pStyle w:val="ListParagraph"/>
        <w:numPr>
          <w:ilvl w:val="0"/>
          <w:numId w:val="1"/>
        </w:numPr>
        <w:spacing w:after="60"/>
      </w:pPr>
      <w:r>
        <w:rPr>
          <w:rFonts w:ascii="Calibri" w:cs="Calibri" w:eastAsia="Calibri" w:hAnsi="Calibri"/>
          <w:color w:val="333333"/>
          <w:sz w:val="22"/>
          <w:szCs w:val="22"/>
        </w:rPr>
        <w:t xml:space="preserve">Lipila shall process customer data only for the purpose of providing the agreed services</w:t>
      </w:r>
    </w:p>
    <w:p>
      <w:pPr>
        <w:pStyle w:val="ListParagraph"/>
        <w:numPr>
          <w:ilvl w:val="0"/>
          <w:numId w:val="1"/>
        </w:numPr>
        <w:spacing w:after="60"/>
      </w:pPr>
      <w:r>
        <w:rPr>
          <w:rFonts w:ascii="Calibri" w:cs="Calibri" w:eastAsia="Calibri" w:hAnsi="Calibri"/>
          <w:color w:val="333333"/>
          <w:sz w:val="22"/>
          <w:szCs w:val="22"/>
        </w:rPr>
        <w:t xml:space="preserve">Lipila shall not share customer data with third parties without Monde written consent</w:t>
      </w:r>
    </w:p>
    <w:p>
      <w:pPr>
        <w:pStyle w:val="ListParagraph"/>
        <w:numPr>
          <w:ilvl w:val="0"/>
          <w:numId w:val="1"/>
        </w:numPr>
        <w:spacing w:after="60"/>
      </w:pPr>
      <w:r>
        <w:rPr>
          <w:rFonts w:ascii="Calibri" w:cs="Calibri" w:eastAsia="Calibri" w:hAnsi="Calibri"/>
          <w:color w:val="333333"/>
          <w:sz w:val="22"/>
          <w:szCs w:val="22"/>
        </w:rPr>
        <w:t xml:space="preserve">Lipila shall maintain appropriate technical and organisational security measures</w:t>
      </w:r>
    </w:p>
    <w:p>
      <w:pPr>
        <w:pStyle w:val="ListParagraph"/>
        <w:numPr>
          <w:ilvl w:val="0"/>
          <w:numId w:val="1"/>
        </w:numPr>
        <w:spacing w:after="60"/>
      </w:pPr>
      <w:r>
        <w:rPr>
          <w:rFonts w:ascii="Calibri" w:cs="Calibri" w:eastAsia="Calibri" w:hAnsi="Calibri"/>
          <w:color w:val="333333"/>
          <w:sz w:val="22"/>
          <w:szCs w:val="22"/>
        </w:rPr>
        <w:t xml:space="preserve">Upon termination, Lipila shall delete or return all Monde customer data</w:t>
      </w:r>
    </w:p>
    <w:p>
      <w:pPr>
        <w:pStyle w:val="Heading2"/>
        <w:spacing w:after="120" w:before="300"/>
      </w:pPr>
      <w:r>
        <w:rPr>
          <w:rFonts w:ascii="Calibri" w:cs="Calibri" w:eastAsia="Calibri" w:hAnsi="Calibri"/>
          <w:b/>
          <w:bCs/>
          <w:color w:val="0A6E3C"/>
          <w:sz w:val="26"/>
          <w:szCs w:val="26"/>
        </w:rPr>
        <w:t xml:space="preserve">3.7 Term and Termination</w:t>
      </w:r>
    </w:p>
    <w:p>
      <w:pPr>
        <w:pStyle w:val="ListParagraph"/>
        <w:numPr>
          <w:ilvl w:val="0"/>
          <w:numId w:val="1"/>
        </w:numPr>
        <w:spacing w:after="60"/>
      </w:pPr>
      <w:r>
        <w:rPr>
          <w:rFonts w:ascii="Calibri" w:cs="Calibri" w:eastAsia="Calibri" w:hAnsi="Calibri"/>
          <w:color w:val="333333"/>
          <w:sz w:val="22"/>
          <w:szCs w:val="22"/>
        </w:rPr>
        <w:t xml:space="preserve">Initial term: 12 months, with automatic annual renewal</w:t>
      </w:r>
    </w:p>
    <w:p>
      <w:pPr>
        <w:pStyle w:val="ListParagraph"/>
        <w:numPr>
          <w:ilvl w:val="0"/>
          <w:numId w:val="1"/>
        </w:numPr>
        <w:spacing w:after="60"/>
      </w:pPr>
      <w:r>
        <w:rPr>
          <w:rFonts w:ascii="Calibri" w:cs="Calibri" w:eastAsia="Calibri" w:hAnsi="Calibri"/>
          <w:color w:val="333333"/>
          <w:sz w:val="22"/>
          <w:szCs w:val="22"/>
        </w:rPr>
        <w:t xml:space="preserve">Either party may terminate with 90 days written notice</w:t>
      </w:r>
    </w:p>
    <w:p>
      <w:pPr>
        <w:pStyle w:val="ListParagraph"/>
        <w:numPr>
          <w:ilvl w:val="0"/>
          <w:numId w:val="1"/>
        </w:numPr>
        <w:spacing w:after="60"/>
      </w:pPr>
      <w:r>
        <w:rPr>
          <w:rFonts w:ascii="Calibri" w:cs="Calibri" w:eastAsia="Calibri" w:hAnsi="Calibri"/>
          <w:color w:val="333333"/>
          <w:sz w:val="22"/>
          <w:szCs w:val="22"/>
        </w:rPr>
        <w:t xml:space="preserve">Immediate termination for material breach that is not remedied within 30 days</w:t>
      </w:r>
    </w:p>
    <w:p>
      <w:pPr>
        <w:pStyle w:val="ListParagraph"/>
        <w:numPr>
          <w:ilvl w:val="0"/>
          <w:numId w:val="1"/>
        </w:numPr>
        <w:spacing w:after="60"/>
      </w:pPr>
      <w:r>
        <w:rPr>
          <w:rFonts w:ascii="Calibri" w:cs="Calibri" w:eastAsia="Calibri" w:hAnsi="Calibri"/>
          <w:color w:val="333333"/>
          <w:sz w:val="22"/>
          <w:szCs w:val="22"/>
        </w:rPr>
        <w:t xml:space="preserve">Immediate termination if either party loses its regulatory license</w:t>
      </w:r>
    </w:p>
    <w:p>
      <w:r>
        <w:br w:type="page"/>
      </w:r>
    </w:p>
    <w:p>
      <w:pPr>
        <w:pStyle w:val="Heading1"/>
        <w:spacing w:after="120" w:before="300"/>
      </w:pPr>
      <w:r>
        <w:rPr>
          <w:rFonts w:ascii="Calibri" w:cs="Calibri" w:eastAsia="Calibri" w:hAnsi="Calibri"/>
          <w:b/>
          <w:bCs/>
          <w:color w:val="0A6E3C"/>
          <w:sz w:val="32"/>
          <w:szCs w:val="32"/>
        </w:rPr>
        <w:t xml:space="preserve">4. DRAFT AGREEMENT: SUPABASE (CLOUD INFRASTRUCTURE)</w:t>
      </w:r>
    </w:p>
    <w:p>
      <w:pPr>
        <w:pStyle w:val="Heading2"/>
        <w:spacing w:after="120" w:before="300"/>
      </w:pPr>
      <w:r>
        <w:rPr>
          <w:rFonts w:ascii="Calibri" w:cs="Calibri" w:eastAsia="Calibri" w:hAnsi="Calibri"/>
          <w:b/>
          <w:bCs/>
          <w:color w:val="0A6E3C"/>
          <w:sz w:val="26"/>
          <w:szCs w:val="26"/>
        </w:rPr>
        <w:t xml:space="preserve">4.1 Parties</w:t>
      </w:r>
    </w:p>
    <w:p>
      <w:pPr>
        <w:spacing w:after="120" w:before="0"/>
        <w:jc w:val="both"/>
      </w:pPr>
      <w:r>
        <w:rPr>
          <w:rFonts w:ascii="Calibri" w:cs="Calibri" w:eastAsia="Calibri" w:hAnsi="Calibri"/>
          <w:b w:val="false"/>
          <w:bCs w:val="false"/>
          <w:i w:val="false"/>
          <w:iCs w:val="false"/>
          <w:color w:val="333333"/>
          <w:sz w:val="22"/>
          <w:szCs w:val="22"/>
        </w:rPr>
        <w:t xml:space="preserve">This agreement is between Monde Limited ("Monde") and Supabase Inc. ("Supabase"), a cloud infrastructure provider.</w:t>
      </w:r>
    </w:p>
    <w:p>
      <w:pPr>
        <w:pStyle w:val="Heading2"/>
        <w:spacing w:after="120" w:before="300"/>
      </w:pPr>
      <w:r>
        <w:rPr>
          <w:rFonts w:ascii="Calibri" w:cs="Calibri" w:eastAsia="Calibri" w:hAnsi="Calibri"/>
          <w:b/>
          <w:bCs/>
          <w:color w:val="0A6E3C"/>
          <w:sz w:val="26"/>
          <w:szCs w:val="26"/>
        </w:rPr>
        <w:t xml:space="preserve">4.2 Scope of Services</w:t>
      </w:r>
    </w:p>
    <w:p>
      <w:pPr>
        <w:pStyle w:val="ListParagraph"/>
        <w:numPr>
          <w:ilvl w:val="0"/>
          <w:numId w:val="1"/>
        </w:numPr>
        <w:spacing w:after="60"/>
      </w:pPr>
      <w:r>
        <w:rPr>
          <w:rFonts w:ascii="Calibri" w:cs="Calibri" w:eastAsia="Calibri" w:hAnsi="Calibri"/>
          <w:color w:val="333333"/>
          <w:sz w:val="22"/>
          <w:szCs w:val="22"/>
        </w:rPr>
        <w:t xml:space="preserve">Managed PostgreSQL Database: Hosted, managed, and backed-up database service</w:t>
      </w:r>
    </w:p>
    <w:p>
      <w:pPr>
        <w:pStyle w:val="ListParagraph"/>
        <w:numPr>
          <w:ilvl w:val="0"/>
          <w:numId w:val="1"/>
        </w:numPr>
        <w:spacing w:after="60"/>
      </w:pPr>
      <w:r>
        <w:rPr>
          <w:rFonts w:ascii="Calibri" w:cs="Calibri" w:eastAsia="Calibri" w:hAnsi="Calibri"/>
          <w:color w:val="333333"/>
          <w:sz w:val="22"/>
          <w:szCs w:val="22"/>
        </w:rPr>
        <w:t xml:space="preserve">Authentication Service (GoTrue): User authentication with phone-based auth, JWT tokens</w:t>
      </w:r>
    </w:p>
    <w:p>
      <w:pPr>
        <w:pStyle w:val="ListParagraph"/>
        <w:numPr>
          <w:ilvl w:val="0"/>
          <w:numId w:val="1"/>
        </w:numPr>
        <w:spacing w:after="60"/>
      </w:pPr>
      <w:r>
        <w:rPr>
          <w:rFonts w:ascii="Calibri" w:cs="Calibri" w:eastAsia="Calibri" w:hAnsi="Calibri"/>
          <w:color w:val="333333"/>
          <w:sz w:val="22"/>
          <w:szCs w:val="22"/>
        </w:rPr>
        <w:t xml:space="preserve">Edge Functions: Serverless function execution environment (Deno runtime)</w:t>
      </w:r>
    </w:p>
    <w:p>
      <w:pPr>
        <w:pStyle w:val="ListParagraph"/>
        <w:numPr>
          <w:ilvl w:val="0"/>
          <w:numId w:val="1"/>
        </w:numPr>
        <w:spacing w:after="60"/>
      </w:pPr>
      <w:r>
        <w:rPr>
          <w:rFonts w:ascii="Calibri" w:cs="Calibri" w:eastAsia="Calibri" w:hAnsi="Calibri"/>
          <w:color w:val="333333"/>
          <w:sz w:val="22"/>
          <w:szCs w:val="22"/>
        </w:rPr>
        <w:t xml:space="preserve">Realtime Engine: WebSocket-based real-time data subscriptions</w:t>
      </w:r>
    </w:p>
    <w:p>
      <w:pPr>
        <w:pStyle w:val="ListParagraph"/>
        <w:numPr>
          <w:ilvl w:val="0"/>
          <w:numId w:val="1"/>
        </w:numPr>
        <w:spacing w:after="60"/>
      </w:pPr>
      <w:r>
        <w:rPr>
          <w:rFonts w:ascii="Calibri" w:cs="Calibri" w:eastAsia="Calibri" w:hAnsi="Calibri"/>
          <w:color w:val="333333"/>
          <w:sz w:val="22"/>
          <w:szCs w:val="22"/>
        </w:rPr>
        <w:t xml:space="preserve">API Gateway: RESTful and GraphQL API endpoints with automatic security</w:t>
      </w:r>
    </w:p>
    <w:p>
      <w:pPr>
        <w:pStyle w:val="ListParagraph"/>
        <w:numPr>
          <w:ilvl w:val="0"/>
          <w:numId w:val="1"/>
        </w:numPr>
        <w:spacing w:after="60"/>
      </w:pPr>
      <w:r>
        <w:rPr>
          <w:rFonts w:ascii="Calibri" w:cs="Calibri" w:eastAsia="Calibri" w:hAnsi="Calibri"/>
          <w:color w:val="333333"/>
          <w:sz w:val="22"/>
          <w:szCs w:val="22"/>
        </w:rPr>
        <w:t xml:space="preserve">Row-Level Security: Database-level access control enforcement</w:t>
      </w:r>
    </w:p>
    <w:p>
      <w:pPr>
        <w:pStyle w:val="ListParagraph"/>
        <w:numPr>
          <w:ilvl w:val="0"/>
          <w:numId w:val="1"/>
        </w:numPr>
        <w:spacing w:after="60"/>
      </w:pPr>
      <w:r>
        <w:rPr>
          <w:rFonts w:ascii="Calibri" w:cs="Calibri" w:eastAsia="Calibri" w:hAnsi="Calibri"/>
          <w:color w:val="333333"/>
          <w:sz w:val="22"/>
          <w:szCs w:val="22"/>
        </w:rPr>
        <w:t xml:space="preserve">Dashboard: Web-based management interface for monitoring and administration</w:t>
      </w:r>
    </w:p>
    <w:p>
      <w:pPr>
        <w:pStyle w:val="Heading2"/>
        <w:spacing w:after="120" w:before="300"/>
      </w:pPr>
      <w:r>
        <w:rPr>
          <w:rFonts w:ascii="Calibri" w:cs="Calibri" w:eastAsia="Calibri" w:hAnsi="Calibri"/>
          <w:b/>
          <w:bCs/>
          <w:color w:val="0A6E3C"/>
          <w:sz w:val="26"/>
          <w:szCs w:val="26"/>
        </w:rPr>
        <w:t xml:space="preserve">4.3 Service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0A6E3C" w:val="solid"/>
          </w:tcPr>
          <w:p>
            <w:pPr>
              <w:jc w:val="center"/>
            </w:pPr>
            <w:r>
              <w:rPr>
                <w:rFonts w:ascii="Calibri" w:cs="Calibri" w:eastAsia="Calibri" w:hAnsi="Calibri"/>
                <w:b/>
                <w:bCs/>
                <w:color w:val="FFFFFF"/>
                <w:sz w:val="20"/>
                <w:szCs w:val="20"/>
              </w:rPr>
              <w:t xml:space="preserve">Metric</w:t>
            </w:r>
          </w:p>
        </w:tc>
        <w:tc>
          <w:tcPr>
            <w:tcW w:type="pct" w:w="33%"/>
            <w:shd w:color="0A6E3C" w:val="solid"/>
          </w:tcPr>
          <w:p>
            <w:pPr>
              <w:jc w:val="center"/>
            </w:pPr>
            <w:r>
              <w:rPr>
                <w:rFonts w:ascii="Calibri" w:cs="Calibri" w:eastAsia="Calibri" w:hAnsi="Calibri"/>
                <w:b/>
                <w:bCs/>
                <w:color w:val="FFFFFF"/>
                <w:sz w:val="20"/>
                <w:szCs w:val="20"/>
              </w:rPr>
              <w:t xml:space="preserve">Target SLA</w:t>
            </w:r>
          </w:p>
        </w:tc>
        <w:tc>
          <w:tcPr>
            <w:tcW w:type="pct" w:w="33%"/>
            <w:shd w:color="0A6E3C" w:val="solid"/>
          </w:tcPr>
          <w:p>
            <w:pPr>
              <w:jc w:val="center"/>
            </w:pPr>
            <w:r>
              <w:rPr>
                <w:rFonts w:ascii="Calibri" w:cs="Calibri" w:eastAsia="Calibri" w:hAnsi="Calibri"/>
                <w:b/>
                <w:bCs/>
                <w:color w:val="FFFFFF"/>
                <w:sz w:val="20"/>
                <w:szCs w:val="20"/>
              </w:rPr>
              <w:t xml:space="preserve">Notes</w:t>
            </w:r>
          </w:p>
        </w:tc>
      </w:tr>
      <w:tr>
        <w:tc>
          <w:tcPr>
            <w:tcW w:type="pct" w:w="33%"/>
          </w:tcPr>
          <w:p>
            <w:r>
              <w:rPr>
                <w:rFonts w:ascii="Calibri" w:cs="Calibri" w:eastAsia="Calibri" w:hAnsi="Calibri"/>
                <w:color w:val="333333"/>
                <w:sz w:val="20"/>
                <w:szCs w:val="20"/>
              </w:rPr>
              <w:t xml:space="preserve">Platform Availability</w:t>
            </w:r>
          </w:p>
        </w:tc>
        <w:tc>
          <w:tcPr>
            <w:tcW w:type="pct" w:w="33%"/>
          </w:tcPr>
          <w:p>
            <w:r>
              <w:rPr>
                <w:rFonts w:ascii="Calibri" w:cs="Calibri" w:eastAsia="Calibri" w:hAnsi="Calibri"/>
                <w:color w:val="333333"/>
                <w:sz w:val="20"/>
                <w:szCs w:val="20"/>
              </w:rPr>
              <w:t xml:space="preserve">99.9% uptime</w:t>
            </w:r>
          </w:p>
        </w:tc>
        <w:tc>
          <w:tcPr>
            <w:tcW w:type="pct" w:w="33%"/>
          </w:tcPr>
          <w:p>
            <w:r>
              <w:rPr>
                <w:rFonts w:ascii="Calibri" w:cs="Calibri" w:eastAsia="Calibri" w:hAnsi="Calibri"/>
                <w:color w:val="333333"/>
                <w:sz w:val="20"/>
                <w:szCs w:val="20"/>
              </w:rPr>
              <w:t xml:space="preserve">Monthly, per Supabase SLA</w:t>
            </w:r>
          </w:p>
        </w:tc>
      </w:tr>
      <w:tr>
        <w:tc>
          <w:tcPr>
            <w:tcW w:type="pct" w:w="33%"/>
          </w:tcPr>
          <w:p>
            <w:r>
              <w:rPr>
                <w:rFonts w:ascii="Calibri" w:cs="Calibri" w:eastAsia="Calibri" w:hAnsi="Calibri"/>
                <w:color w:val="333333"/>
                <w:sz w:val="20"/>
                <w:szCs w:val="20"/>
              </w:rPr>
              <w:t xml:space="preserve">Database Backup</w:t>
            </w:r>
          </w:p>
        </w:tc>
        <w:tc>
          <w:tcPr>
            <w:tcW w:type="pct" w:w="33%"/>
          </w:tcPr>
          <w:p>
            <w:r>
              <w:rPr>
                <w:rFonts w:ascii="Calibri" w:cs="Calibri" w:eastAsia="Calibri" w:hAnsi="Calibri"/>
                <w:color w:val="333333"/>
                <w:sz w:val="20"/>
                <w:szCs w:val="20"/>
              </w:rPr>
              <w:t xml:space="preserve">Daily automated backups</w:t>
            </w:r>
          </w:p>
        </w:tc>
        <w:tc>
          <w:tcPr>
            <w:tcW w:type="pct" w:w="33%"/>
          </w:tcPr>
          <w:p>
            <w:r>
              <w:rPr>
                <w:rFonts w:ascii="Calibri" w:cs="Calibri" w:eastAsia="Calibri" w:hAnsi="Calibri"/>
                <w:color w:val="333333"/>
                <w:sz w:val="20"/>
                <w:szCs w:val="20"/>
              </w:rPr>
              <w:t xml:space="preserve">7-day retention</w:t>
            </w:r>
          </w:p>
        </w:tc>
      </w:tr>
      <w:tr>
        <w:tc>
          <w:tcPr>
            <w:tcW w:type="pct" w:w="33%"/>
          </w:tcPr>
          <w:p>
            <w:r>
              <w:rPr>
                <w:rFonts w:ascii="Calibri" w:cs="Calibri" w:eastAsia="Calibri" w:hAnsi="Calibri"/>
                <w:color w:val="333333"/>
                <w:sz w:val="20"/>
                <w:szCs w:val="20"/>
              </w:rPr>
              <w:t xml:space="preserve">Point-in-Time Recovery</w:t>
            </w:r>
          </w:p>
        </w:tc>
        <w:tc>
          <w:tcPr>
            <w:tcW w:type="pct" w:w="33%"/>
          </w:tcPr>
          <w:p>
            <w:r>
              <w:rPr>
                <w:rFonts w:ascii="Calibri" w:cs="Calibri" w:eastAsia="Calibri" w:hAnsi="Calibri"/>
                <w:color w:val="333333"/>
                <w:sz w:val="20"/>
                <w:szCs w:val="20"/>
              </w:rPr>
              <w:t xml:space="preserve">Available</w:t>
            </w:r>
          </w:p>
        </w:tc>
        <w:tc>
          <w:tcPr>
            <w:tcW w:type="pct" w:w="33%"/>
          </w:tcPr>
          <w:p>
            <w:r>
              <w:rPr>
                <w:rFonts w:ascii="Calibri" w:cs="Calibri" w:eastAsia="Calibri" w:hAnsi="Calibri"/>
                <w:color w:val="333333"/>
                <w:sz w:val="20"/>
                <w:szCs w:val="20"/>
              </w:rPr>
              <w:t xml:space="preserve">Within backup retention window</w:t>
            </w:r>
          </w:p>
        </w:tc>
      </w:tr>
      <w:tr>
        <w:tc>
          <w:tcPr>
            <w:tcW w:type="pct" w:w="33%"/>
          </w:tcPr>
          <w:p>
            <w:r>
              <w:rPr>
                <w:rFonts w:ascii="Calibri" w:cs="Calibri" w:eastAsia="Calibri" w:hAnsi="Calibri"/>
                <w:color w:val="333333"/>
                <w:sz w:val="20"/>
                <w:szCs w:val="20"/>
              </w:rPr>
              <w:t xml:space="preserve">API Response Time</w:t>
            </w:r>
          </w:p>
        </w:tc>
        <w:tc>
          <w:tcPr>
            <w:tcW w:type="pct" w:w="33%"/>
          </w:tcPr>
          <w:p>
            <w:r>
              <w:rPr>
                <w:rFonts w:ascii="Calibri" w:cs="Calibri" w:eastAsia="Calibri" w:hAnsi="Calibri"/>
                <w:color w:val="333333"/>
                <w:sz w:val="20"/>
                <w:szCs w:val="20"/>
              </w:rPr>
              <w:t xml:space="preserve">Less than 200ms (p95)</w:t>
            </w:r>
          </w:p>
        </w:tc>
        <w:tc>
          <w:tcPr>
            <w:tcW w:type="pct" w:w="33%"/>
          </w:tcPr>
          <w:p>
            <w:r>
              <w:rPr>
                <w:rFonts w:ascii="Calibri" w:cs="Calibri" w:eastAsia="Calibri" w:hAnsi="Calibri"/>
                <w:color w:val="333333"/>
                <w:sz w:val="20"/>
                <w:szCs w:val="20"/>
              </w:rPr>
              <w:t xml:space="preserve">For standard API calls</w:t>
            </w:r>
          </w:p>
        </w:tc>
      </w:tr>
      <w:tr>
        <w:tc>
          <w:tcPr>
            <w:tcW w:type="pct" w:w="33%"/>
          </w:tcPr>
          <w:p>
            <w:r>
              <w:rPr>
                <w:rFonts w:ascii="Calibri" w:cs="Calibri" w:eastAsia="Calibri" w:hAnsi="Calibri"/>
                <w:color w:val="333333"/>
                <w:sz w:val="20"/>
                <w:szCs w:val="20"/>
              </w:rPr>
              <w:t xml:space="preserve">Edge Function Cold Start</w:t>
            </w:r>
          </w:p>
        </w:tc>
        <w:tc>
          <w:tcPr>
            <w:tcW w:type="pct" w:w="33%"/>
          </w:tcPr>
          <w:p>
            <w:r>
              <w:rPr>
                <w:rFonts w:ascii="Calibri" w:cs="Calibri" w:eastAsia="Calibri" w:hAnsi="Calibri"/>
                <w:color w:val="333333"/>
                <w:sz w:val="20"/>
                <w:szCs w:val="20"/>
              </w:rPr>
              <w:t xml:space="preserve">Less than 500ms</w:t>
            </w:r>
          </w:p>
        </w:tc>
        <w:tc>
          <w:tcPr>
            <w:tcW w:type="pct" w:w="33%"/>
          </w:tcPr>
          <w:p>
            <w:r>
              <w:rPr>
                <w:rFonts w:ascii="Calibri" w:cs="Calibri" w:eastAsia="Calibri" w:hAnsi="Calibri"/>
                <w:color w:val="333333"/>
                <w:sz w:val="20"/>
                <w:szCs w:val="20"/>
              </w:rPr>
              <w:t xml:space="preserve">Initial function invocation</w:t>
            </w:r>
          </w:p>
        </w:tc>
      </w:tr>
    </w:tbl>
    <w:p>
      <w:pPr>
        <w:spacing w:after="200"/>
      </w:pPr>
    </w:p>
    <w:p>
      <w:pPr>
        <w:pStyle w:val="Heading2"/>
        <w:spacing w:after="120" w:before="300"/>
      </w:pPr>
      <w:r>
        <w:rPr>
          <w:rFonts w:ascii="Calibri" w:cs="Calibri" w:eastAsia="Calibri" w:hAnsi="Calibri"/>
          <w:b/>
          <w:bCs/>
          <w:color w:val="0A6E3C"/>
          <w:sz w:val="26"/>
          <w:szCs w:val="26"/>
        </w:rPr>
        <w:t xml:space="preserve">4.4 Security and Compliance</w:t>
      </w:r>
    </w:p>
    <w:p>
      <w:pPr>
        <w:pStyle w:val="ListParagraph"/>
        <w:numPr>
          <w:ilvl w:val="0"/>
          <w:numId w:val="1"/>
        </w:numPr>
        <w:spacing w:after="60"/>
      </w:pPr>
      <w:r>
        <w:rPr>
          <w:rFonts w:ascii="Calibri" w:cs="Calibri" w:eastAsia="Calibri" w:hAnsi="Calibri"/>
          <w:color w:val="333333"/>
          <w:sz w:val="22"/>
          <w:szCs w:val="22"/>
        </w:rPr>
        <w:t xml:space="preserve">Supabase maintains SOC2 Type II certification</w:t>
      </w:r>
    </w:p>
    <w:p>
      <w:pPr>
        <w:pStyle w:val="ListParagraph"/>
        <w:numPr>
          <w:ilvl w:val="0"/>
          <w:numId w:val="1"/>
        </w:numPr>
        <w:spacing w:after="60"/>
      </w:pPr>
      <w:r>
        <w:rPr>
          <w:rFonts w:ascii="Calibri" w:cs="Calibri" w:eastAsia="Calibri" w:hAnsi="Calibri"/>
          <w:color w:val="333333"/>
          <w:sz w:val="22"/>
          <w:szCs w:val="22"/>
        </w:rPr>
        <w:t xml:space="preserve">Infrastructure hosted on AWS with ISO 27001 and PCI DSS certifications</w:t>
      </w:r>
    </w:p>
    <w:p>
      <w:pPr>
        <w:pStyle w:val="ListParagraph"/>
        <w:numPr>
          <w:ilvl w:val="0"/>
          <w:numId w:val="1"/>
        </w:numPr>
        <w:spacing w:after="60"/>
      </w:pPr>
      <w:r>
        <w:rPr>
          <w:rFonts w:ascii="Calibri" w:cs="Calibri" w:eastAsia="Calibri" w:hAnsi="Calibri"/>
          <w:color w:val="333333"/>
          <w:sz w:val="22"/>
          <w:szCs w:val="22"/>
        </w:rPr>
        <w:t xml:space="preserve">Data encrypted at rest (AES-256) and in transit (TLS 1.3)</w:t>
      </w:r>
    </w:p>
    <w:p>
      <w:pPr>
        <w:pStyle w:val="ListParagraph"/>
        <w:numPr>
          <w:ilvl w:val="0"/>
          <w:numId w:val="1"/>
        </w:numPr>
        <w:spacing w:after="60"/>
      </w:pPr>
      <w:r>
        <w:rPr>
          <w:rFonts w:ascii="Calibri" w:cs="Calibri" w:eastAsia="Calibri" w:hAnsi="Calibri"/>
          <w:color w:val="333333"/>
          <w:sz w:val="22"/>
          <w:szCs w:val="22"/>
        </w:rPr>
        <w:t xml:space="preserve">Network isolation between projects</w:t>
      </w:r>
    </w:p>
    <w:p>
      <w:pPr>
        <w:pStyle w:val="ListParagraph"/>
        <w:numPr>
          <w:ilvl w:val="0"/>
          <w:numId w:val="1"/>
        </w:numPr>
        <w:spacing w:after="60"/>
      </w:pPr>
      <w:r>
        <w:rPr>
          <w:rFonts w:ascii="Calibri" w:cs="Calibri" w:eastAsia="Calibri" w:hAnsi="Calibri"/>
          <w:color w:val="333333"/>
          <w:sz w:val="22"/>
          <w:szCs w:val="22"/>
        </w:rPr>
        <w:t xml:space="preserve">DDoS protection via AWS Shield</w:t>
      </w:r>
    </w:p>
    <w:p>
      <w:pPr>
        <w:pStyle w:val="Heading2"/>
        <w:spacing w:after="120" w:before="300"/>
      </w:pPr>
      <w:r>
        <w:rPr>
          <w:rFonts w:ascii="Calibri" w:cs="Calibri" w:eastAsia="Calibri" w:hAnsi="Calibri"/>
          <w:b/>
          <w:bCs/>
          <w:color w:val="0A6E3C"/>
          <w:sz w:val="26"/>
          <w:szCs w:val="26"/>
        </w:rPr>
        <w:t xml:space="preserve">4.5 Data Residency</w:t>
      </w:r>
    </w:p>
    <w:p>
      <w:pPr>
        <w:spacing w:after="120" w:before="0"/>
        <w:jc w:val="both"/>
      </w:pPr>
      <w:r>
        <w:rPr>
          <w:rFonts w:ascii="Calibri" w:cs="Calibri" w:eastAsia="Calibri" w:hAnsi="Calibri"/>
          <w:b w:val="false"/>
          <w:bCs w:val="false"/>
          <w:i w:val="false"/>
          <w:iCs w:val="false"/>
          <w:color w:val="333333"/>
          <w:sz w:val="22"/>
          <w:szCs w:val="22"/>
        </w:rPr>
        <w:t xml:space="preserve">The Monde database is hosted in AWS region af-south-1 (Cape Town, South Africa), providing low-latency access for Zambian users while keeping data within the African continent.</w:t>
      </w:r>
    </w:p>
    <w:p>
      <w:pPr>
        <w:pStyle w:val="Heading2"/>
        <w:spacing w:after="120" w:before="300"/>
      </w:pPr>
      <w:r>
        <w:rPr>
          <w:rFonts w:ascii="Calibri" w:cs="Calibri" w:eastAsia="Calibri" w:hAnsi="Calibri"/>
          <w:b/>
          <w:bCs/>
          <w:color w:val="0A6E3C"/>
          <w:sz w:val="26"/>
          <w:szCs w:val="26"/>
        </w:rPr>
        <w:t xml:space="preserve">4.6 Term</w:t>
      </w:r>
    </w:p>
    <w:p>
      <w:pPr>
        <w:pStyle w:val="ListParagraph"/>
        <w:numPr>
          <w:ilvl w:val="0"/>
          <w:numId w:val="1"/>
        </w:numPr>
        <w:spacing w:after="60"/>
      </w:pPr>
      <w:r>
        <w:rPr>
          <w:rFonts w:ascii="Calibri" w:cs="Calibri" w:eastAsia="Calibri" w:hAnsi="Calibri"/>
          <w:color w:val="333333"/>
          <w:sz w:val="22"/>
          <w:szCs w:val="22"/>
        </w:rPr>
        <w:t xml:space="preserve">Monthly subscription with no minimum commitment</w:t>
      </w:r>
    </w:p>
    <w:p>
      <w:pPr>
        <w:pStyle w:val="ListParagraph"/>
        <w:numPr>
          <w:ilvl w:val="0"/>
          <w:numId w:val="1"/>
        </w:numPr>
        <w:spacing w:after="60"/>
      </w:pPr>
      <w:r>
        <w:rPr>
          <w:rFonts w:ascii="Calibri" w:cs="Calibri" w:eastAsia="Calibri" w:hAnsi="Calibri"/>
          <w:color w:val="333333"/>
          <w:sz w:val="22"/>
          <w:szCs w:val="22"/>
        </w:rPr>
        <w:t xml:space="preserve">Either party may terminate with 30 days notice</w:t>
      </w:r>
    </w:p>
    <w:p>
      <w:pPr>
        <w:pStyle w:val="ListParagraph"/>
        <w:numPr>
          <w:ilvl w:val="0"/>
          <w:numId w:val="1"/>
        </w:numPr>
        <w:spacing w:after="60"/>
      </w:pPr>
      <w:r>
        <w:rPr>
          <w:rFonts w:ascii="Calibri" w:cs="Calibri" w:eastAsia="Calibri" w:hAnsi="Calibri"/>
          <w:color w:val="333333"/>
          <w:sz w:val="22"/>
          <w:szCs w:val="22"/>
        </w:rPr>
        <w:t xml:space="preserve">Data export available at any time through standard PostgreSQL tools</w:t>
      </w:r>
    </w:p>
    <w:p>
      <w:pPr>
        <w:pStyle w:val="Heading1"/>
        <w:spacing w:after="120" w:before="300"/>
      </w:pPr>
      <w:r>
        <w:rPr>
          <w:rFonts w:ascii="Calibri" w:cs="Calibri" w:eastAsia="Calibri" w:hAnsi="Calibri"/>
          <w:b/>
          <w:bCs/>
          <w:color w:val="0A6E3C"/>
          <w:sz w:val="32"/>
          <w:szCs w:val="32"/>
        </w:rPr>
        <w:t xml:space="preserve">5. DRAFT AGREEMENT: TWILIO (SMS VERIFICATION)</w:t>
      </w:r>
    </w:p>
    <w:p>
      <w:pPr>
        <w:pStyle w:val="Heading2"/>
        <w:spacing w:after="120" w:before="300"/>
      </w:pPr>
      <w:r>
        <w:rPr>
          <w:rFonts w:ascii="Calibri" w:cs="Calibri" w:eastAsia="Calibri" w:hAnsi="Calibri"/>
          <w:b/>
          <w:bCs/>
          <w:color w:val="0A6E3C"/>
          <w:sz w:val="26"/>
          <w:szCs w:val="26"/>
        </w:rPr>
        <w:t xml:space="preserve">5.1 Scope of Services</w:t>
      </w:r>
    </w:p>
    <w:p>
      <w:pPr>
        <w:spacing w:after="120" w:before="0"/>
        <w:jc w:val="both"/>
      </w:pPr>
      <w:r>
        <w:rPr>
          <w:rFonts w:ascii="Calibri" w:cs="Calibri" w:eastAsia="Calibri" w:hAnsi="Calibri"/>
          <w:b w:val="false"/>
          <w:bCs w:val="false"/>
          <w:i w:val="false"/>
          <w:iCs w:val="false"/>
          <w:color w:val="333333"/>
          <w:sz w:val="22"/>
          <w:szCs w:val="22"/>
        </w:rPr>
        <w:t xml:space="preserve">Twilio provides SMS-based OTP (One-Time Password) delivery for phone number verification during:</w:t>
      </w:r>
    </w:p>
    <w:p>
      <w:pPr>
        <w:pStyle w:val="ListParagraph"/>
        <w:numPr>
          <w:ilvl w:val="0"/>
          <w:numId w:val="1"/>
        </w:numPr>
        <w:spacing w:after="60"/>
      </w:pPr>
      <w:r>
        <w:rPr>
          <w:rFonts w:ascii="Calibri" w:cs="Calibri" w:eastAsia="Calibri" w:hAnsi="Calibri"/>
          <w:color w:val="333333"/>
          <w:sz w:val="22"/>
          <w:szCs w:val="22"/>
        </w:rPr>
        <w:t xml:space="preserve">New user registration</w:t>
      </w:r>
    </w:p>
    <w:p>
      <w:pPr>
        <w:pStyle w:val="ListParagraph"/>
        <w:numPr>
          <w:ilvl w:val="0"/>
          <w:numId w:val="1"/>
        </w:numPr>
        <w:spacing w:after="60"/>
      </w:pPr>
      <w:r>
        <w:rPr>
          <w:rFonts w:ascii="Calibri" w:cs="Calibri" w:eastAsia="Calibri" w:hAnsi="Calibri"/>
          <w:color w:val="333333"/>
          <w:sz w:val="22"/>
          <w:szCs w:val="22"/>
        </w:rPr>
        <w:t xml:space="preserve">PIN recovery / account recovery</w:t>
      </w:r>
    </w:p>
    <w:p>
      <w:pPr>
        <w:pStyle w:val="ListParagraph"/>
        <w:numPr>
          <w:ilvl w:val="0"/>
          <w:numId w:val="1"/>
        </w:numPr>
        <w:spacing w:after="60"/>
      </w:pPr>
      <w:r>
        <w:rPr>
          <w:rFonts w:ascii="Calibri" w:cs="Calibri" w:eastAsia="Calibri" w:hAnsi="Calibri"/>
          <w:color w:val="333333"/>
          <w:sz w:val="22"/>
          <w:szCs w:val="22"/>
        </w:rPr>
        <w:t xml:space="preserve">Additional verification when required</w:t>
      </w:r>
    </w:p>
    <w:p>
      <w:pPr>
        <w:pStyle w:val="Heading2"/>
        <w:spacing w:after="120" w:before="300"/>
      </w:pPr>
      <w:r>
        <w:rPr>
          <w:rFonts w:ascii="Calibri" w:cs="Calibri" w:eastAsia="Calibri" w:hAnsi="Calibri"/>
          <w:b/>
          <w:bCs/>
          <w:color w:val="0A6E3C"/>
          <w:sz w:val="26"/>
          <w:szCs w:val="26"/>
        </w:rPr>
        <w:t xml:space="preserve">5.2 Service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0A6E3C" w:val="solid"/>
          </w:tcPr>
          <w:p>
            <w:pPr>
              <w:jc w:val="center"/>
            </w:pPr>
            <w:r>
              <w:rPr>
                <w:rFonts w:ascii="Calibri" w:cs="Calibri" w:eastAsia="Calibri" w:hAnsi="Calibri"/>
                <w:b/>
                <w:bCs/>
                <w:color w:val="FFFFFF"/>
                <w:sz w:val="20"/>
                <w:szCs w:val="20"/>
              </w:rPr>
              <w:t xml:space="preserve">Metric</w:t>
            </w:r>
          </w:p>
        </w:tc>
        <w:tc>
          <w:tcPr>
            <w:tcW w:type="pct" w:w="33%"/>
            <w:shd w:color="0A6E3C" w:val="solid"/>
          </w:tcPr>
          <w:p>
            <w:pPr>
              <w:jc w:val="center"/>
            </w:pPr>
            <w:r>
              <w:rPr>
                <w:rFonts w:ascii="Calibri" w:cs="Calibri" w:eastAsia="Calibri" w:hAnsi="Calibri"/>
                <w:b/>
                <w:bCs/>
                <w:color w:val="FFFFFF"/>
                <w:sz w:val="20"/>
                <w:szCs w:val="20"/>
              </w:rPr>
              <w:t xml:space="preserve">Target SLA</w:t>
            </w:r>
          </w:p>
        </w:tc>
        <w:tc>
          <w:tcPr>
            <w:tcW w:type="pct" w:w="33%"/>
            <w:shd w:color="0A6E3C" w:val="solid"/>
          </w:tcPr>
          <w:p>
            <w:pPr>
              <w:jc w:val="center"/>
            </w:pPr>
            <w:r>
              <w:rPr>
                <w:rFonts w:ascii="Calibri" w:cs="Calibri" w:eastAsia="Calibri" w:hAnsi="Calibri"/>
                <w:b/>
                <w:bCs/>
                <w:color w:val="FFFFFF"/>
                <w:sz w:val="20"/>
                <w:szCs w:val="20"/>
              </w:rPr>
              <w:t xml:space="preserve">Notes</w:t>
            </w:r>
          </w:p>
        </w:tc>
      </w:tr>
      <w:tr>
        <w:tc>
          <w:tcPr>
            <w:tcW w:type="pct" w:w="33%"/>
          </w:tcPr>
          <w:p>
            <w:r>
              <w:rPr>
                <w:rFonts w:ascii="Calibri" w:cs="Calibri" w:eastAsia="Calibri" w:hAnsi="Calibri"/>
                <w:color w:val="333333"/>
                <w:sz w:val="20"/>
                <w:szCs w:val="20"/>
              </w:rPr>
              <w:t xml:space="preserve">API Availability</w:t>
            </w:r>
          </w:p>
        </w:tc>
        <w:tc>
          <w:tcPr>
            <w:tcW w:type="pct" w:w="33%"/>
          </w:tcPr>
          <w:p>
            <w:r>
              <w:rPr>
                <w:rFonts w:ascii="Calibri" w:cs="Calibri" w:eastAsia="Calibri" w:hAnsi="Calibri"/>
                <w:color w:val="333333"/>
                <w:sz w:val="20"/>
                <w:szCs w:val="20"/>
              </w:rPr>
              <w:t xml:space="preserve">99.95% uptime</w:t>
            </w:r>
          </w:p>
        </w:tc>
        <w:tc>
          <w:tcPr>
            <w:tcW w:type="pct" w:w="33%"/>
          </w:tcPr>
          <w:p>
            <w:r>
              <w:rPr>
                <w:rFonts w:ascii="Calibri" w:cs="Calibri" w:eastAsia="Calibri" w:hAnsi="Calibri"/>
                <w:color w:val="333333"/>
                <w:sz w:val="20"/>
                <w:szCs w:val="20"/>
              </w:rPr>
              <w:t xml:space="preserve">Per Twilio SLA</w:t>
            </w:r>
          </w:p>
        </w:tc>
      </w:tr>
      <w:tr>
        <w:tc>
          <w:tcPr>
            <w:tcW w:type="pct" w:w="33%"/>
          </w:tcPr>
          <w:p>
            <w:r>
              <w:rPr>
                <w:rFonts w:ascii="Calibri" w:cs="Calibri" w:eastAsia="Calibri" w:hAnsi="Calibri"/>
                <w:color w:val="333333"/>
                <w:sz w:val="20"/>
                <w:szCs w:val="20"/>
              </w:rPr>
              <w:t xml:space="preserve">SMS Delivery Rate</w:t>
            </w:r>
          </w:p>
        </w:tc>
        <w:tc>
          <w:tcPr>
            <w:tcW w:type="pct" w:w="33%"/>
          </w:tcPr>
          <w:p>
            <w:r>
              <w:rPr>
                <w:rFonts w:ascii="Calibri" w:cs="Calibri" w:eastAsia="Calibri" w:hAnsi="Calibri"/>
                <w:color w:val="333333"/>
                <w:sz w:val="20"/>
                <w:szCs w:val="20"/>
              </w:rPr>
              <w:t xml:space="preserve">Greater than 95% to Zambian numbers</w:t>
            </w:r>
          </w:p>
        </w:tc>
        <w:tc>
          <w:tcPr>
            <w:tcW w:type="pct" w:w="33%"/>
          </w:tcPr>
          <w:p>
            <w:r>
              <w:rPr>
                <w:rFonts w:ascii="Calibri" w:cs="Calibri" w:eastAsia="Calibri" w:hAnsi="Calibri"/>
                <w:color w:val="333333"/>
                <w:sz w:val="20"/>
                <w:szCs w:val="20"/>
              </w:rPr>
              <w:t xml:space="preserve">Within 30 seconds</w:t>
            </w:r>
          </w:p>
        </w:tc>
      </w:tr>
      <w:tr>
        <w:tc>
          <w:tcPr>
            <w:tcW w:type="pct" w:w="33%"/>
          </w:tcPr>
          <w:p>
            <w:r>
              <w:rPr>
                <w:rFonts w:ascii="Calibri" w:cs="Calibri" w:eastAsia="Calibri" w:hAnsi="Calibri"/>
                <w:color w:val="333333"/>
                <w:sz w:val="20"/>
                <w:szCs w:val="20"/>
              </w:rPr>
              <w:t xml:space="preserve">API Response Time</w:t>
            </w:r>
          </w:p>
        </w:tc>
        <w:tc>
          <w:tcPr>
            <w:tcW w:type="pct" w:w="33%"/>
          </w:tcPr>
          <w:p>
            <w:r>
              <w:rPr>
                <w:rFonts w:ascii="Calibri" w:cs="Calibri" w:eastAsia="Calibri" w:hAnsi="Calibri"/>
                <w:color w:val="333333"/>
                <w:sz w:val="20"/>
                <w:szCs w:val="20"/>
              </w:rPr>
              <w:t xml:space="preserve">Less than 1 second</w:t>
            </w:r>
          </w:p>
        </w:tc>
        <w:tc>
          <w:tcPr>
            <w:tcW w:type="pct" w:w="33%"/>
          </w:tcPr>
          <w:p>
            <w:r>
              <w:rPr>
                <w:rFonts w:ascii="Calibri" w:cs="Calibri" w:eastAsia="Calibri" w:hAnsi="Calibri"/>
                <w:color w:val="333333"/>
                <w:sz w:val="20"/>
                <w:szCs w:val="20"/>
              </w:rPr>
              <w:t xml:space="preserve">For verification API calls</w:t>
            </w:r>
          </w:p>
        </w:tc>
      </w:tr>
    </w:tbl>
    <w:p>
      <w:pPr>
        <w:spacing w:after="200"/>
      </w:pPr>
    </w:p>
    <w:p>
      <w:pPr>
        <w:pStyle w:val="Heading2"/>
        <w:spacing w:after="120" w:before="300"/>
      </w:pPr>
      <w:r>
        <w:rPr>
          <w:rFonts w:ascii="Calibri" w:cs="Calibri" w:eastAsia="Calibri" w:hAnsi="Calibri"/>
          <w:b/>
          <w:bCs/>
          <w:color w:val="0A6E3C"/>
          <w:sz w:val="26"/>
          <w:szCs w:val="26"/>
        </w:rPr>
        <w:t xml:space="preserve">5.3 Security</w:t>
      </w:r>
    </w:p>
    <w:p>
      <w:pPr>
        <w:pStyle w:val="ListParagraph"/>
        <w:numPr>
          <w:ilvl w:val="0"/>
          <w:numId w:val="1"/>
        </w:numPr>
        <w:spacing w:after="60"/>
      </w:pPr>
      <w:r>
        <w:rPr>
          <w:rFonts w:ascii="Calibri" w:cs="Calibri" w:eastAsia="Calibri" w:hAnsi="Calibri"/>
          <w:color w:val="333333"/>
          <w:sz w:val="22"/>
          <w:szCs w:val="22"/>
        </w:rPr>
        <w:t xml:space="preserve">All API communication uses HTTPS/TLS</w:t>
      </w:r>
    </w:p>
    <w:p>
      <w:pPr>
        <w:pStyle w:val="ListParagraph"/>
        <w:numPr>
          <w:ilvl w:val="0"/>
          <w:numId w:val="1"/>
        </w:numPr>
        <w:spacing w:after="60"/>
      </w:pPr>
      <w:r>
        <w:rPr>
          <w:rFonts w:ascii="Calibri" w:cs="Calibri" w:eastAsia="Calibri" w:hAnsi="Calibri"/>
          <w:color w:val="333333"/>
          <w:sz w:val="22"/>
          <w:szCs w:val="22"/>
        </w:rPr>
        <w:t xml:space="preserve">API keys stored as environment variables, never in client code</w:t>
      </w:r>
    </w:p>
    <w:p>
      <w:pPr>
        <w:pStyle w:val="ListParagraph"/>
        <w:numPr>
          <w:ilvl w:val="0"/>
          <w:numId w:val="1"/>
        </w:numPr>
        <w:spacing w:after="60"/>
      </w:pPr>
      <w:r>
        <w:rPr>
          <w:rFonts w:ascii="Calibri" w:cs="Calibri" w:eastAsia="Calibri" w:hAnsi="Calibri"/>
          <w:color w:val="333333"/>
          <w:sz w:val="22"/>
          <w:szCs w:val="22"/>
        </w:rPr>
        <w:t xml:space="preserve">Twilio maintains SOC2 Type II and ISO 27001 certifications</w:t>
      </w:r>
    </w:p>
    <w:p>
      <w:pPr>
        <w:pStyle w:val="ListParagraph"/>
        <w:numPr>
          <w:ilvl w:val="0"/>
          <w:numId w:val="1"/>
        </w:numPr>
        <w:spacing w:after="60"/>
      </w:pPr>
      <w:r>
        <w:rPr>
          <w:rFonts w:ascii="Calibri" w:cs="Calibri" w:eastAsia="Calibri" w:hAnsi="Calibri"/>
          <w:color w:val="333333"/>
          <w:sz w:val="22"/>
          <w:szCs w:val="22"/>
        </w:rPr>
        <w:t xml:space="preserve">OTP codes are time-limited (10-minute expiry) and single-use</w:t>
      </w:r>
    </w:p>
    <w:p>
      <w:pPr>
        <w:pStyle w:val="Heading1"/>
        <w:spacing w:after="120" w:before="300"/>
      </w:pPr>
      <w:r>
        <w:rPr>
          <w:rFonts w:ascii="Calibri" w:cs="Calibri" w:eastAsia="Calibri" w:hAnsi="Calibri"/>
          <w:b/>
          <w:bCs/>
          <w:color w:val="0A6E3C"/>
          <w:sz w:val="32"/>
          <w:szCs w:val="32"/>
        </w:rPr>
        <w:t xml:space="preserve">6. CONTINGENCY PLANNING</w:t>
      </w:r>
    </w:p>
    <w:p>
      <w:pPr>
        <w:spacing w:after="120" w:before="0"/>
        <w:jc w:val="both"/>
      </w:pPr>
      <w:r>
        <w:rPr>
          <w:rFonts w:ascii="Calibri" w:cs="Calibri" w:eastAsia="Calibri" w:hAnsi="Calibri"/>
          <w:b w:val="false"/>
          <w:bCs w:val="false"/>
          <w:i w:val="false"/>
          <w:iCs w:val="false"/>
          <w:color w:val="333333"/>
          <w:sz w:val="22"/>
          <w:szCs w:val="22"/>
        </w:rPr>
        <w:t xml:space="preserve">Monde maintains contingency plans for third-party provider failure: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0A6E3C" w:val="solid"/>
          </w:tcPr>
          <w:p>
            <w:pPr>
              <w:jc w:val="center"/>
            </w:pPr>
            <w:r>
              <w:rPr>
                <w:rFonts w:ascii="Calibri" w:cs="Calibri" w:eastAsia="Calibri" w:hAnsi="Calibri"/>
                <w:b/>
                <w:bCs/>
                <w:color w:val="FFFFFF"/>
                <w:sz w:val="20"/>
                <w:szCs w:val="20"/>
              </w:rPr>
              <w:t xml:space="preserve">Provider</w:t>
            </w:r>
          </w:p>
        </w:tc>
        <w:tc>
          <w:tcPr>
            <w:tcW w:type="pct" w:w="33%"/>
            <w:shd w:color="0A6E3C" w:val="solid"/>
          </w:tcPr>
          <w:p>
            <w:pPr>
              <w:jc w:val="center"/>
            </w:pPr>
            <w:r>
              <w:rPr>
                <w:rFonts w:ascii="Calibri" w:cs="Calibri" w:eastAsia="Calibri" w:hAnsi="Calibri"/>
                <w:b/>
                <w:bCs/>
                <w:color w:val="FFFFFF"/>
                <w:sz w:val="20"/>
                <w:szCs w:val="20"/>
              </w:rPr>
              <w:t xml:space="preserve">Impact of Failure</w:t>
            </w:r>
          </w:p>
        </w:tc>
        <w:tc>
          <w:tcPr>
            <w:tcW w:type="pct" w:w="33%"/>
            <w:shd w:color="0A6E3C" w:val="solid"/>
          </w:tcPr>
          <w:p>
            <w:pPr>
              <w:jc w:val="center"/>
            </w:pPr>
            <w:r>
              <w:rPr>
                <w:rFonts w:ascii="Calibri" w:cs="Calibri" w:eastAsia="Calibri" w:hAnsi="Calibri"/>
                <w:b/>
                <w:bCs/>
                <w:color w:val="FFFFFF"/>
                <w:sz w:val="20"/>
                <w:szCs w:val="20"/>
              </w:rPr>
              <w:t xml:space="preserve">Contingency Measure</w:t>
            </w:r>
          </w:p>
        </w:tc>
      </w:tr>
      <w:tr>
        <w:tc>
          <w:tcPr>
            <w:tcW w:type="pct" w:w="33%"/>
          </w:tcPr>
          <w:p>
            <w:r>
              <w:rPr>
                <w:rFonts w:ascii="Calibri" w:cs="Calibri" w:eastAsia="Calibri" w:hAnsi="Calibri"/>
                <w:color w:val="333333"/>
                <w:sz w:val="20"/>
                <w:szCs w:val="20"/>
              </w:rPr>
              <w:t xml:space="preserve">Lipila</w:t>
            </w:r>
          </w:p>
        </w:tc>
        <w:tc>
          <w:tcPr>
            <w:tcW w:type="pct" w:w="33%"/>
          </w:tcPr>
          <w:p>
            <w:r>
              <w:rPr>
                <w:rFonts w:ascii="Calibri" w:cs="Calibri" w:eastAsia="Calibri" w:hAnsi="Calibri"/>
                <w:color w:val="333333"/>
                <w:sz w:val="20"/>
                <w:szCs w:val="20"/>
              </w:rPr>
              <w:t xml:space="preserve">Top-up and withdrawal services unavailable</w:t>
            </w:r>
          </w:p>
        </w:tc>
        <w:tc>
          <w:tcPr>
            <w:tcW w:type="pct" w:w="33%"/>
          </w:tcPr>
          <w:p>
            <w:r>
              <w:rPr>
                <w:rFonts w:ascii="Calibri" w:cs="Calibri" w:eastAsia="Calibri" w:hAnsi="Calibri"/>
                <w:color w:val="333333"/>
                <w:sz w:val="20"/>
                <w:szCs w:val="20"/>
              </w:rPr>
              <w:t xml:space="preserve">P2P and agent transactions continue (internal ledger). Alternative gateway evaluation in BCP.</w:t>
            </w:r>
          </w:p>
        </w:tc>
      </w:tr>
      <w:tr>
        <w:tc>
          <w:tcPr>
            <w:tcW w:type="pct" w:w="33%"/>
          </w:tcPr>
          <w:p>
            <w:r>
              <w:rPr>
                <w:rFonts w:ascii="Calibri" w:cs="Calibri" w:eastAsia="Calibri" w:hAnsi="Calibri"/>
                <w:color w:val="333333"/>
                <w:sz w:val="20"/>
                <w:szCs w:val="20"/>
              </w:rPr>
              <w:t xml:space="preserve">Supabase</w:t>
            </w:r>
          </w:p>
        </w:tc>
        <w:tc>
          <w:tcPr>
            <w:tcW w:type="pct" w:w="33%"/>
          </w:tcPr>
          <w:p>
            <w:r>
              <w:rPr>
                <w:rFonts w:ascii="Calibri" w:cs="Calibri" w:eastAsia="Calibri" w:hAnsi="Calibri"/>
                <w:color w:val="333333"/>
                <w:sz w:val="20"/>
                <w:szCs w:val="20"/>
              </w:rPr>
              <w:t xml:space="preserve">Full platform outage</w:t>
            </w:r>
          </w:p>
        </w:tc>
        <w:tc>
          <w:tcPr>
            <w:tcW w:type="pct" w:w="33%"/>
          </w:tcPr>
          <w:p>
            <w:r>
              <w:rPr>
                <w:rFonts w:ascii="Calibri" w:cs="Calibri" w:eastAsia="Calibri" w:hAnsi="Calibri"/>
                <w:color w:val="333333"/>
                <w:sz w:val="20"/>
                <w:szCs w:val="20"/>
              </w:rPr>
              <w:t xml:space="preserve">Daily backups enable migration to self-hosted or alternative provider within RTO. BCP details in Document 15.</w:t>
            </w:r>
          </w:p>
        </w:tc>
      </w:tr>
      <w:tr>
        <w:tc>
          <w:tcPr>
            <w:tcW w:type="pct" w:w="33%"/>
          </w:tcPr>
          <w:p>
            <w:r>
              <w:rPr>
                <w:rFonts w:ascii="Calibri" w:cs="Calibri" w:eastAsia="Calibri" w:hAnsi="Calibri"/>
                <w:color w:val="333333"/>
                <w:sz w:val="20"/>
                <w:szCs w:val="20"/>
              </w:rPr>
              <w:t xml:space="preserve">Twilio</w:t>
            </w:r>
          </w:p>
        </w:tc>
        <w:tc>
          <w:tcPr>
            <w:tcW w:type="pct" w:w="33%"/>
          </w:tcPr>
          <w:p>
            <w:r>
              <w:rPr>
                <w:rFonts w:ascii="Calibri" w:cs="Calibri" w:eastAsia="Calibri" w:hAnsi="Calibri"/>
                <w:color w:val="333333"/>
                <w:sz w:val="20"/>
                <w:szCs w:val="20"/>
              </w:rPr>
              <w:t xml:space="preserve">New registrations and PIN recovery unavailable</w:t>
            </w:r>
          </w:p>
        </w:tc>
        <w:tc>
          <w:tcPr>
            <w:tcW w:type="pct" w:w="33%"/>
          </w:tcPr>
          <w:p>
            <w:r>
              <w:rPr>
                <w:rFonts w:ascii="Calibri" w:cs="Calibri" w:eastAsia="Calibri" w:hAnsi="Calibri"/>
                <w:color w:val="333333"/>
                <w:sz w:val="20"/>
                <w:szCs w:val="20"/>
              </w:rPr>
              <w:t xml:space="preserve">Existing users unaffected. Alternative SMS provider can be integrated within 48 hours.</w:t>
            </w:r>
          </w:p>
        </w:tc>
      </w:tr>
    </w:tbl>
    <w:p>
      <w:pPr>
        <w:spacing w:after="200"/>
      </w:pPr>
    </w:p>
    <w:p>
      <w:pPr>
        <w:pStyle w:val="Heading1"/>
        <w:spacing w:after="120" w:before="300"/>
      </w:pPr>
      <w:r>
        <w:rPr>
          <w:rFonts w:ascii="Calibri" w:cs="Calibri" w:eastAsia="Calibri" w:hAnsi="Calibri"/>
          <w:b/>
          <w:bCs/>
          <w:color w:val="0A6E3C"/>
          <w:sz w:val="32"/>
          <w:szCs w:val="32"/>
        </w:rPr>
        <w:t xml:space="preserve">7. AGREEMENT STATUS</w:t>
      </w:r>
    </w:p>
    <w:p>
      <w:pPr>
        <w:spacing w:after="120" w:before="0"/>
        <w:jc w:val="both"/>
      </w:pPr>
      <w:r>
        <w:rPr>
          <w:rFonts w:ascii="Calibri" w:cs="Calibri" w:eastAsia="Calibri" w:hAnsi="Calibri"/>
          <w:b w:val="false"/>
          <w:bCs w:val="false"/>
          <w:i w:val="false"/>
          <w:iCs w:val="false"/>
          <w:color w:val="333333"/>
          <w:sz w:val="22"/>
          <w:szCs w:val="22"/>
        </w:rPr>
        <w:t xml:space="preserve">The agreements presented in this document are draft versions prepared for the Bank of Zambia designation application. Final executed agreements will be submitted upon completion of commercial negotiations with each provider. Current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color="0A6E3C" w:val="solid"/>
          </w:tcPr>
          <w:p>
            <w:pPr>
              <w:jc w:val="center"/>
            </w:pPr>
            <w:r>
              <w:rPr>
                <w:rFonts w:ascii="Calibri" w:cs="Calibri" w:eastAsia="Calibri" w:hAnsi="Calibri"/>
                <w:b/>
                <w:bCs/>
                <w:color w:val="FFFFFF"/>
                <w:sz w:val="20"/>
                <w:szCs w:val="20"/>
              </w:rPr>
              <w:t xml:space="preserve">Provider</w:t>
            </w:r>
          </w:p>
        </w:tc>
        <w:tc>
          <w:tcPr>
            <w:tcW w:type="pct" w:w="50%"/>
            <w:shd w:color="0A6E3C" w:val="solid"/>
          </w:tcPr>
          <w:p>
            <w:pPr>
              <w:jc w:val="center"/>
            </w:pPr>
            <w:r>
              <w:rPr>
                <w:rFonts w:ascii="Calibri" w:cs="Calibri" w:eastAsia="Calibri" w:hAnsi="Calibri"/>
                <w:b/>
                <w:bCs/>
                <w:color w:val="FFFFFF"/>
                <w:sz w:val="20"/>
                <w:szCs w:val="20"/>
              </w:rPr>
              <w:t xml:space="preserve">Status</w:t>
            </w:r>
          </w:p>
        </w:tc>
      </w:tr>
      <w:tr>
        <w:tc>
          <w:tcPr>
            <w:tcW w:type="pct" w:w="50%"/>
          </w:tcPr>
          <w:p>
            <w:r>
              <w:rPr>
                <w:rFonts w:ascii="Calibri" w:cs="Calibri" w:eastAsia="Calibri" w:hAnsi="Calibri"/>
                <w:color w:val="333333"/>
                <w:sz w:val="20"/>
                <w:szCs w:val="20"/>
              </w:rPr>
              <w:t xml:space="preserve">Lipila</w:t>
            </w:r>
          </w:p>
        </w:tc>
        <w:tc>
          <w:tcPr>
            <w:tcW w:type="pct" w:w="50%"/>
          </w:tcPr>
          <w:p>
            <w:r>
              <w:rPr>
                <w:rFonts w:ascii="Calibri" w:cs="Calibri" w:eastAsia="Calibri" w:hAnsi="Calibri"/>
                <w:color w:val="333333"/>
                <w:sz w:val="20"/>
                <w:szCs w:val="20"/>
              </w:rPr>
              <w:t xml:space="preserve">Active integration (sandbox and production). Formal SLA to be executed.</w:t>
            </w:r>
          </w:p>
        </w:tc>
      </w:tr>
      <w:tr>
        <w:tc>
          <w:tcPr>
            <w:tcW w:type="pct" w:w="50%"/>
          </w:tcPr>
          <w:p>
            <w:r>
              <w:rPr>
                <w:rFonts w:ascii="Calibri" w:cs="Calibri" w:eastAsia="Calibri" w:hAnsi="Calibri"/>
                <w:color w:val="333333"/>
                <w:sz w:val="20"/>
                <w:szCs w:val="20"/>
              </w:rPr>
              <w:t xml:space="preserve">Supabase</w:t>
            </w:r>
          </w:p>
        </w:tc>
        <w:tc>
          <w:tcPr>
            <w:tcW w:type="pct" w:w="50%"/>
          </w:tcPr>
          <w:p>
            <w:r>
              <w:rPr>
                <w:rFonts w:ascii="Calibri" w:cs="Calibri" w:eastAsia="Calibri" w:hAnsi="Calibri"/>
                <w:color w:val="333333"/>
                <w:sz w:val="20"/>
                <w:szCs w:val="20"/>
              </w:rPr>
              <w:t xml:space="preserve">Active subscription (Pro plan). Standard Terms of Service in effect.</w:t>
            </w:r>
          </w:p>
        </w:tc>
      </w:tr>
      <w:tr>
        <w:tc>
          <w:tcPr>
            <w:tcW w:type="pct" w:w="50%"/>
          </w:tcPr>
          <w:p>
            <w:r>
              <w:rPr>
                <w:rFonts w:ascii="Calibri" w:cs="Calibri" w:eastAsia="Calibri" w:hAnsi="Calibri"/>
                <w:color w:val="333333"/>
                <w:sz w:val="20"/>
                <w:szCs w:val="20"/>
              </w:rPr>
              <w:t xml:space="preserve">Twilio</w:t>
            </w:r>
          </w:p>
        </w:tc>
        <w:tc>
          <w:tcPr>
            <w:tcW w:type="pct" w:w="50%"/>
          </w:tcPr>
          <w:p>
            <w:r>
              <w:rPr>
                <w:rFonts w:ascii="Calibri" w:cs="Calibri" w:eastAsia="Calibri" w:hAnsi="Calibri"/>
                <w:color w:val="333333"/>
                <w:sz w:val="20"/>
                <w:szCs w:val="20"/>
              </w:rPr>
              <w:t xml:space="preserve">Active account. Standard Terms of Service in effect.</w:t>
            </w:r>
          </w:p>
        </w:tc>
      </w:tr>
      <w:tr>
        <w:tc>
          <w:tcPr>
            <w:tcW w:type="pct" w:w="50%"/>
          </w:tcPr>
          <w:p>
            <w:r>
              <w:rPr>
                <w:rFonts w:ascii="Calibri" w:cs="Calibri" w:eastAsia="Calibri" w:hAnsi="Calibri"/>
                <w:color w:val="333333"/>
                <w:sz w:val="20"/>
                <w:szCs w:val="20"/>
              </w:rPr>
              <w:t xml:space="preserve">Google Play</w:t>
            </w:r>
          </w:p>
        </w:tc>
        <w:tc>
          <w:tcPr>
            <w:tcW w:type="pct" w:w="50%"/>
          </w:tcPr>
          <w:p>
            <w:r>
              <w:rPr>
                <w:rFonts w:ascii="Calibri" w:cs="Calibri" w:eastAsia="Calibri" w:hAnsi="Calibri"/>
                <w:color w:val="333333"/>
                <w:sz w:val="20"/>
                <w:szCs w:val="20"/>
              </w:rPr>
              <w:t xml:space="preserve">Developer account active. Standard Developer Distribution Agreement.</w:t>
            </w:r>
          </w:p>
        </w:tc>
      </w:tr>
      <w:tr>
        <w:tc>
          <w:tcPr>
            <w:tcW w:type="pct" w:w="50%"/>
          </w:tcPr>
          <w:p>
            <w:r>
              <w:rPr>
                <w:rFonts w:ascii="Calibri" w:cs="Calibri" w:eastAsia="Calibri" w:hAnsi="Calibri"/>
                <w:color w:val="333333"/>
                <w:sz w:val="20"/>
                <w:szCs w:val="20"/>
              </w:rPr>
              <w:t xml:space="preserve">Apple App Store</w:t>
            </w:r>
          </w:p>
        </w:tc>
        <w:tc>
          <w:tcPr>
            <w:tcW w:type="pct" w:w="50%"/>
          </w:tcPr>
          <w:p>
            <w:r>
              <w:rPr>
                <w:rFonts w:ascii="Calibri" w:cs="Calibri" w:eastAsia="Calibri" w:hAnsi="Calibri"/>
                <w:color w:val="333333"/>
                <w:sz w:val="20"/>
                <w:szCs w:val="20"/>
              </w:rPr>
              <w:t xml:space="preserve">Developer account pending. Standard Apple Developer Program License.</w:t>
            </w:r>
          </w:p>
        </w:tc>
      </w:tr>
      <w:tr>
        <w:tc>
          <w:tcPr>
            <w:tcW w:type="pct" w:w="50%"/>
          </w:tcPr>
          <w:p>
            <w:r>
              <w:rPr>
                <w:rFonts w:ascii="Calibri" w:cs="Calibri" w:eastAsia="Calibri" w:hAnsi="Calibri"/>
                <w:color w:val="333333"/>
                <w:sz w:val="20"/>
                <w:szCs w:val="20"/>
              </w:rPr>
              <w:t xml:space="preserve">Expo (EAS)</w:t>
            </w:r>
          </w:p>
        </w:tc>
        <w:tc>
          <w:tcPr>
            <w:tcW w:type="pct" w:w="50%"/>
          </w:tcPr>
          <w:p>
            <w:r>
              <w:rPr>
                <w:rFonts w:ascii="Calibri" w:cs="Calibri" w:eastAsia="Calibri" w:hAnsi="Calibri"/>
                <w:color w:val="333333"/>
                <w:sz w:val="20"/>
                <w:szCs w:val="20"/>
              </w:rPr>
              <w:t xml:space="preserve">Active account. Standard Terms of Service in effect.</w:t>
            </w:r>
          </w:p>
        </w:tc>
      </w:tr>
    </w:tbl>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2026-03-20T08:58:35.078Z</dcterms:created>
  <dcterms:modified xsi:type="dcterms:W3CDTF">2026-03-20T08:58:35.078Z</dcterms:modified>
</cp:coreProperties>
</file>

<file path=docProps/custom.xml><?xml version="1.0" encoding="utf-8"?>
<Properties xmlns="http://schemas.openxmlformats.org/officeDocument/2006/custom-properties" xmlns:vt="http://schemas.openxmlformats.org/officeDocument/2006/docPropsVTypes"/>
</file>