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p>
    <w:p>
      <w:pPr>
        <w:spacing w:after="200" w:before="0"/>
        <w:jc w:val="center"/>
      </w:pPr>
      <w:r>
        <w:rPr>
          <w:rFonts w:ascii="Calibri" w:cs="Calibri" w:eastAsia="Calibri" w:hAnsi="Calibri"/>
          <w:b/>
          <w:bCs/>
          <w:color w:val="0A6E3C"/>
          <w:sz w:val="72"/>
          <w:szCs w:val="72"/>
        </w:rPr>
        <w:t xml:space="preserve">MONDE</w:t>
      </w:r>
    </w:p>
    <w:p>
      <w:pPr>
        <w:spacing w:after="200" w:before="0"/>
        <w:jc w:val="center"/>
      </w:pPr>
      <w:r>
        <w:rPr>
          <w:rFonts w:ascii="Calibri" w:cs="Calibri" w:eastAsia="Calibri" w:hAnsi="Calibri"/>
          <w:b/>
          <w:bCs/>
          <w:color w:val="666666"/>
          <w:sz w:val="36"/>
          <w:szCs w:val="36"/>
        </w:rPr>
        <w:t xml:space="preserve">Digital Payment System</w:t>
      </w:r>
    </w:p>
    <w:p>
      <w:pPr>
        <w:spacing w:after="400"/>
      </w:pPr>
    </w:p>
    <w:p>
      <w:pPr>
        <w:spacing w:after="200" w:before="0"/>
        <w:jc w:val="center"/>
      </w:pPr>
      <w:r>
        <w:rPr>
          <w:rFonts w:ascii="Calibri" w:cs="Calibri" w:eastAsia="Calibri" w:hAnsi="Calibri"/>
          <w:b/>
          <w:bCs/>
          <w:color w:val="0A6E3C"/>
          <w:sz w:val="40"/>
          <w:szCs w:val="40"/>
        </w:rPr>
        <w:t xml:space="preserve">Risk Management Framework</w:t>
      </w:r>
    </w:p>
    <w:p>
      <w:pPr>
        <w:spacing w:after="200" w:before="0"/>
        <w:jc w:val="center"/>
      </w:pPr>
      <w:r>
        <w:rPr>
          <w:rFonts w:ascii="Calibri" w:cs="Calibri" w:eastAsia="Calibri" w:hAnsi="Calibri"/>
          <w:b/>
          <w:bCs/>
          <w:color w:val="666666"/>
          <w:sz w:val="28"/>
          <w:szCs w:val="28"/>
        </w:rPr>
        <w:t xml:space="preserve">Comprehensive Risk Identification,
Assessment, and Mitigation</w:t>
      </w:r>
    </w:p>
    <w:p>
      <w:pPr>
        <w:spacing w:after="600"/>
      </w:pPr>
    </w:p>
    <w:p>
      <w:pPr>
        <w:spacing w:after="120" w:before="0"/>
        <w:jc w:val="center"/>
      </w:pPr>
      <w:r>
        <w:rPr>
          <w:rFonts w:ascii="Calibri" w:cs="Calibri" w:eastAsia="Calibri" w:hAnsi="Calibri"/>
          <w:b w:val="false"/>
          <w:bCs w:val="false"/>
          <w:i w:val="false"/>
          <w:iCs w:val="false"/>
          <w:color w:val="666666"/>
          <w:sz w:val="22"/>
          <w:szCs w:val="22"/>
        </w:rPr>
        <w:t xml:space="preserve">Version: 1.0</w:t>
      </w:r>
    </w:p>
    <w:p>
      <w:pPr>
        <w:spacing w:after="120" w:before="0"/>
        <w:jc w:val="center"/>
      </w:pPr>
      <w:r>
        <w:rPr>
          <w:rFonts w:ascii="Calibri" w:cs="Calibri" w:eastAsia="Calibri" w:hAnsi="Calibri"/>
          <w:b w:val="false"/>
          <w:bCs w:val="false"/>
          <w:i w:val="false"/>
          <w:iCs w:val="false"/>
          <w:color w:val="666666"/>
          <w:sz w:val="22"/>
          <w:szCs w:val="22"/>
        </w:rPr>
        <w:t xml:space="preserve">Date: 20 March 2026</w:t>
      </w:r>
    </w:p>
    <w:p>
      <w:pPr>
        <w:spacing w:after="120" w:before="0"/>
        <w:jc w:val="center"/>
      </w:pPr>
      <w:r>
        <w:rPr>
          <w:rFonts w:ascii="Calibri" w:cs="Calibri" w:eastAsia="Calibri" w:hAnsi="Calibri"/>
          <w:b/>
          <w:bCs/>
          <w:i w:val="false"/>
          <w:iCs w:val="false"/>
          <w:color w:val="CC0000"/>
          <w:sz w:val="22"/>
          <w:szCs w:val="22"/>
        </w:rPr>
        <w:t xml:space="preserve">Classification: CONFIDENTIAL</w:t>
      </w:r>
    </w:p>
    <w:p>
      <w:pPr>
        <w:spacing w:after="400"/>
      </w:pPr>
    </w:p>
    <w:p>
      <w:pPr>
        <w:spacing w:after="120" w:before="0"/>
        <w:jc w:val="center"/>
      </w:pPr>
      <w:r>
        <w:rPr>
          <w:rFonts w:ascii="Calibri" w:cs="Calibri" w:eastAsia="Calibri" w:hAnsi="Calibri"/>
          <w:b w:val="false"/>
          <w:bCs w:val="false"/>
          <w:i/>
          <w:iCs/>
          <w:color w:val="666666"/>
          <w:sz w:val="22"/>
          <w:szCs w:val="22"/>
        </w:rPr>
        <w:t xml:space="preserve">Prepared for submission to the Bank of Zambia</w:t>
      </w:r>
    </w:p>
    <w:p>
      <w:pPr>
        <w:spacing w:after="120" w:before="0"/>
        <w:jc w:val="center"/>
      </w:pPr>
      <w:r>
        <w:rPr>
          <w:rFonts w:ascii="Calibri" w:cs="Calibri" w:eastAsia="Calibri" w:hAnsi="Calibri"/>
          <w:b w:val="false"/>
          <w:bCs w:val="false"/>
          <w:i/>
          <w:iCs/>
          <w:color w:val="666666"/>
          <w:sz w:val="22"/>
          <w:szCs w:val="22"/>
        </w:rPr>
        <w:t xml:space="preserve">Payment Systems Department</w:t>
      </w:r>
    </w:p>
    <w:p>
      <w:r>
        <w:br w:type="page"/>
      </w:r>
    </w:p>
    <w:p>
      <w:pPr>
        <w:pStyle w:val="Heading1"/>
        <w:spacing w:after="120" w:before="300"/>
      </w:pPr>
      <w:r>
        <w:rPr>
          <w:rFonts w:ascii="Calibri" w:cs="Calibri" w:eastAsia="Calibri" w:hAnsi="Calibri"/>
          <w:b/>
          <w:bCs/>
          <w:color w:val="0A6E3C"/>
          <w:sz w:val="32"/>
          <w:szCs w:val="32"/>
        </w:rPr>
        <w:t xml:space="preserve">CONFIDENTIALITY NOTICE</w:t>
      </w:r>
    </w:p>
    <w:p>
      <w:pPr>
        <w:spacing w:after="120" w:before="0"/>
        <w:jc w:val="both"/>
      </w:pPr>
      <w:r>
        <w:rPr>
          <w:rFonts w:ascii="Calibri" w:cs="Calibri" w:eastAsia="Calibri" w:hAnsi="Calibri"/>
          <w:b w:val="false"/>
          <w:bCs w:val="false"/>
          <w:i w:val="false"/>
          <w:iCs w:val="false"/>
          <w:color w:val="333333"/>
          <w:sz w:val="22"/>
          <w:szCs w:val="22"/>
        </w:rPr>
        <w:t xml:space="preserve">This document contains proprietary and confidential information belonging to Monde. The information contained herein is intended solely for the use of the Bank of Zambia in connection with the application for designation as a payment system under the National Payment Systems Act, 2007. Any reproduction, distribution, or disclosure of this document or its contents to any unauthorized party is strictly prohibited.</w:t>
      </w:r>
    </w:p>
    <w:p>
      <w:pPr>
        <w:spacing w:after="200"/>
      </w:pPr>
    </w:p>
    <w:p>
      <w:pPr>
        <w:pStyle w:val="Heading1"/>
        <w:spacing w:after="120" w:before="300"/>
      </w:pPr>
      <w:r>
        <w:rPr>
          <w:rFonts w:ascii="Calibri" w:cs="Calibri" w:eastAsia="Calibri" w:hAnsi="Calibri"/>
          <w:b/>
          <w:bCs/>
          <w:color w:val="0A6E3C"/>
          <w:sz w:val="32"/>
          <w:szCs w:val="32"/>
        </w:rPr>
        <w:t xml:space="preserve">1. INTRODUCTION</w:t>
      </w:r>
    </w:p>
    <w:p>
      <w:pPr>
        <w:spacing w:after="120" w:before="0"/>
        <w:jc w:val="both"/>
      </w:pPr>
      <w:r>
        <w:rPr>
          <w:rFonts w:ascii="Calibri" w:cs="Calibri" w:eastAsia="Calibri" w:hAnsi="Calibri"/>
          <w:b w:val="false"/>
          <w:bCs w:val="false"/>
          <w:i w:val="false"/>
          <w:iCs w:val="false"/>
          <w:color w:val="333333"/>
          <w:sz w:val="22"/>
          <w:szCs w:val="22"/>
        </w:rPr>
        <w:t xml:space="preserve">This document presents the comprehensive Risk Management Framework for Monde Limited. It identifies key risks pertaining to the operation of the Monde digital payment system and describes the mitigation measures implemented through policies, controls, product design, and infrastructure safeguards.</w:t>
      </w:r>
    </w:p>
    <w:p>
      <w:pPr>
        <w:spacing w:after="120" w:before="0"/>
        <w:jc w:val="both"/>
      </w:pPr>
      <w:r>
        <w:rPr>
          <w:rFonts w:ascii="Calibri" w:cs="Calibri" w:eastAsia="Calibri" w:hAnsi="Calibri"/>
          <w:b w:val="false"/>
          <w:bCs w:val="false"/>
          <w:i w:val="false"/>
          <w:iCs w:val="false"/>
          <w:color w:val="333333"/>
          <w:sz w:val="22"/>
          <w:szCs w:val="22"/>
        </w:rPr>
        <w:t xml:space="preserve">This framework is prepared in compliance with Section 1.7 of the Bank of Zambia Requirements for Designation of a Payment System, February 2025, which requires that the framework address, at a minimum: cybersecurity risk, operational risk, credit risk, liquidity risk, and money laundering/terrorism financing/proliferation risk.</w:t>
      </w:r>
    </w:p>
    <w:p>
      <w:pPr>
        <w:pStyle w:val="Heading1"/>
        <w:spacing w:after="120" w:before="300"/>
      </w:pPr>
      <w:r>
        <w:rPr>
          <w:rFonts w:ascii="Calibri" w:cs="Calibri" w:eastAsia="Calibri" w:hAnsi="Calibri"/>
          <w:b/>
          <w:bCs/>
          <w:color w:val="0A6E3C"/>
          <w:sz w:val="32"/>
          <w:szCs w:val="32"/>
        </w:rPr>
        <w:t xml:space="preserve">2. RISK GOVERNANCE</w:t>
      </w:r>
    </w:p>
    <w:p>
      <w:pPr>
        <w:pStyle w:val="Heading2"/>
        <w:spacing w:after="120" w:before="300"/>
      </w:pPr>
      <w:r>
        <w:rPr>
          <w:rFonts w:ascii="Calibri" w:cs="Calibri" w:eastAsia="Calibri" w:hAnsi="Calibri"/>
          <w:b/>
          <w:bCs/>
          <w:color w:val="0A6E3C"/>
          <w:sz w:val="26"/>
          <w:szCs w:val="26"/>
        </w:rPr>
        <w:t xml:space="preserve">2.1 Risk Management Structure</w:t>
      </w:r>
    </w:p>
    <w:p>
      <w:pPr>
        <w:spacing w:after="120" w:before="0"/>
        <w:jc w:val="both"/>
      </w:pPr>
      <w:r>
        <w:rPr>
          <w:rFonts w:ascii="Calibri" w:cs="Calibri" w:eastAsia="Calibri" w:hAnsi="Calibri"/>
          <w:b w:val="false"/>
          <w:bCs w:val="false"/>
          <w:i w:val="false"/>
          <w:iCs w:val="false"/>
          <w:color w:val="333333"/>
          <w:sz w:val="22"/>
          <w:szCs w:val="22"/>
        </w:rPr>
        <w:t xml:space="preserve">Risk management responsibility is distributed across the organisation: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color="0A6E3C" w:val="solid"/>
          </w:tcPr>
          <w:p>
            <w:pPr>
              <w:jc w:val="center"/>
            </w:pPr>
            <w:r>
              <w:rPr>
                <w:rFonts w:ascii="Calibri" w:cs="Calibri" w:eastAsia="Calibri" w:hAnsi="Calibri"/>
                <w:b/>
                <w:bCs/>
                <w:color w:val="FFFFFF"/>
                <w:sz w:val="20"/>
                <w:szCs w:val="20"/>
              </w:rPr>
              <w:t xml:space="preserve">Level</w:t>
            </w:r>
          </w:p>
        </w:tc>
        <w:tc>
          <w:tcPr>
            <w:tcW w:type="pct" w:w="33%"/>
            <w:shd w:color="0A6E3C" w:val="solid"/>
          </w:tcPr>
          <w:p>
            <w:pPr>
              <w:jc w:val="center"/>
            </w:pPr>
            <w:r>
              <w:rPr>
                <w:rFonts w:ascii="Calibri" w:cs="Calibri" w:eastAsia="Calibri" w:hAnsi="Calibri"/>
                <w:b/>
                <w:bCs/>
                <w:color w:val="FFFFFF"/>
                <w:sz w:val="20"/>
                <w:szCs w:val="20"/>
              </w:rPr>
              <w:t xml:space="preserve">Responsibility</w:t>
            </w:r>
          </w:p>
        </w:tc>
        <w:tc>
          <w:tcPr>
            <w:tcW w:type="pct" w:w="33%"/>
            <w:shd w:color="0A6E3C" w:val="solid"/>
          </w:tcPr>
          <w:p>
            <w:pPr>
              <w:jc w:val="center"/>
            </w:pPr>
            <w:r>
              <w:rPr>
                <w:rFonts w:ascii="Calibri" w:cs="Calibri" w:eastAsia="Calibri" w:hAnsi="Calibri"/>
                <w:b/>
                <w:bCs/>
                <w:color w:val="FFFFFF"/>
                <w:sz w:val="20"/>
                <w:szCs w:val="20"/>
              </w:rPr>
              <w:t xml:space="preserve">Role</w:t>
            </w:r>
          </w:p>
        </w:tc>
      </w:tr>
      <w:tr>
        <w:tc>
          <w:tcPr>
            <w:tcW w:type="pct" w:w="33%"/>
          </w:tcPr>
          <w:p>
            <w:r>
              <w:rPr>
                <w:rFonts w:ascii="Calibri" w:cs="Calibri" w:eastAsia="Calibri" w:hAnsi="Calibri"/>
                <w:color w:val="333333"/>
                <w:sz w:val="20"/>
                <w:szCs w:val="20"/>
              </w:rPr>
              <w:t xml:space="preserve">Board of Directors</w:t>
            </w:r>
          </w:p>
        </w:tc>
        <w:tc>
          <w:tcPr>
            <w:tcW w:type="pct" w:w="33%"/>
          </w:tcPr>
          <w:p>
            <w:r>
              <w:rPr>
                <w:rFonts w:ascii="Calibri" w:cs="Calibri" w:eastAsia="Calibri" w:hAnsi="Calibri"/>
                <w:color w:val="333333"/>
                <w:sz w:val="20"/>
                <w:szCs w:val="20"/>
              </w:rPr>
              <w:t xml:space="preserve">Ultimate oversight of risk management; approve risk appetite and framework</w:t>
            </w:r>
          </w:p>
        </w:tc>
        <w:tc>
          <w:tcPr>
            <w:tcW w:type="pct" w:w="33%"/>
          </w:tcPr>
          <w:p>
            <w:r>
              <w:rPr>
                <w:rFonts w:ascii="Calibri" w:cs="Calibri" w:eastAsia="Calibri" w:hAnsi="Calibri"/>
                <w:color w:val="333333"/>
                <w:sz w:val="20"/>
                <w:szCs w:val="20"/>
              </w:rPr>
              <w:t xml:space="preserve">Oversight</w:t>
            </w:r>
          </w:p>
        </w:tc>
      </w:tr>
      <w:tr>
        <w:tc>
          <w:tcPr>
            <w:tcW w:type="pct" w:w="33%"/>
          </w:tcPr>
          <w:p>
            <w:r>
              <w:rPr>
                <w:rFonts w:ascii="Calibri" w:cs="Calibri" w:eastAsia="Calibri" w:hAnsi="Calibri"/>
                <w:color w:val="333333"/>
                <w:sz w:val="20"/>
                <w:szCs w:val="20"/>
              </w:rPr>
              <w:t xml:space="preserve">CEO</w:t>
            </w:r>
          </w:p>
        </w:tc>
        <w:tc>
          <w:tcPr>
            <w:tcW w:type="pct" w:w="33%"/>
          </w:tcPr>
          <w:p>
            <w:r>
              <w:rPr>
                <w:rFonts w:ascii="Calibri" w:cs="Calibri" w:eastAsia="Calibri" w:hAnsi="Calibri"/>
                <w:color w:val="333333"/>
                <w:sz w:val="20"/>
                <w:szCs w:val="20"/>
              </w:rPr>
              <w:t xml:space="preserve">Ensure risk management is embedded in operations and strategy</w:t>
            </w:r>
          </w:p>
        </w:tc>
        <w:tc>
          <w:tcPr>
            <w:tcW w:type="pct" w:w="33%"/>
          </w:tcPr>
          <w:p>
            <w:r>
              <w:rPr>
                <w:rFonts w:ascii="Calibri" w:cs="Calibri" w:eastAsia="Calibri" w:hAnsi="Calibri"/>
                <w:color w:val="333333"/>
                <w:sz w:val="20"/>
                <w:szCs w:val="20"/>
              </w:rPr>
              <w:t xml:space="preserve">Executive ownership</w:t>
            </w:r>
          </w:p>
        </w:tc>
      </w:tr>
      <w:tr>
        <w:tc>
          <w:tcPr>
            <w:tcW w:type="pct" w:w="33%"/>
          </w:tcPr>
          <w:p>
            <w:r>
              <w:rPr>
                <w:rFonts w:ascii="Calibri" w:cs="Calibri" w:eastAsia="Calibri" w:hAnsi="Calibri"/>
                <w:color w:val="333333"/>
                <w:sz w:val="20"/>
                <w:szCs w:val="20"/>
              </w:rPr>
              <w:t xml:space="preserve">CITO</w:t>
            </w:r>
          </w:p>
        </w:tc>
        <w:tc>
          <w:tcPr>
            <w:tcW w:type="pct" w:w="33%"/>
          </w:tcPr>
          <w:p>
            <w:r>
              <w:rPr>
                <w:rFonts w:ascii="Calibri" w:cs="Calibri" w:eastAsia="Calibri" w:hAnsi="Calibri"/>
                <w:color w:val="333333"/>
                <w:sz w:val="20"/>
                <w:szCs w:val="20"/>
              </w:rPr>
              <w:t xml:space="preserve">Manage technology, cybersecurity, and operational technology risks</w:t>
            </w:r>
          </w:p>
        </w:tc>
        <w:tc>
          <w:tcPr>
            <w:tcW w:type="pct" w:w="33%"/>
          </w:tcPr>
          <w:p>
            <w:r>
              <w:rPr>
                <w:rFonts w:ascii="Calibri" w:cs="Calibri" w:eastAsia="Calibri" w:hAnsi="Calibri"/>
                <w:color w:val="333333"/>
                <w:sz w:val="20"/>
                <w:szCs w:val="20"/>
              </w:rPr>
              <w:t xml:space="preserve">Technology risk owner</w:t>
            </w:r>
          </w:p>
        </w:tc>
      </w:tr>
      <w:tr>
        <w:tc>
          <w:tcPr>
            <w:tcW w:type="pct" w:w="33%"/>
          </w:tcPr>
          <w:p>
            <w:r>
              <w:rPr>
                <w:rFonts w:ascii="Calibri" w:cs="Calibri" w:eastAsia="Calibri" w:hAnsi="Calibri"/>
                <w:color w:val="333333"/>
                <w:sz w:val="20"/>
                <w:szCs w:val="20"/>
              </w:rPr>
              <w:t xml:space="preserve">CCO</w:t>
            </w:r>
          </w:p>
        </w:tc>
        <w:tc>
          <w:tcPr>
            <w:tcW w:type="pct" w:w="33%"/>
          </w:tcPr>
          <w:p>
            <w:r>
              <w:rPr>
                <w:rFonts w:ascii="Calibri" w:cs="Calibri" w:eastAsia="Calibri" w:hAnsi="Calibri"/>
                <w:color w:val="333333"/>
                <w:sz w:val="20"/>
                <w:szCs w:val="20"/>
              </w:rPr>
              <w:t xml:space="preserve">Manage compliance, AML/CFT, and regulatory risks</w:t>
            </w:r>
          </w:p>
        </w:tc>
        <w:tc>
          <w:tcPr>
            <w:tcW w:type="pct" w:w="33%"/>
          </w:tcPr>
          <w:p>
            <w:r>
              <w:rPr>
                <w:rFonts w:ascii="Calibri" w:cs="Calibri" w:eastAsia="Calibri" w:hAnsi="Calibri"/>
                <w:color w:val="333333"/>
                <w:sz w:val="20"/>
                <w:szCs w:val="20"/>
              </w:rPr>
              <w:t xml:space="preserve">Compliance risk owner</w:t>
            </w:r>
          </w:p>
        </w:tc>
      </w:tr>
      <w:tr>
        <w:tc>
          <w:tcPr>
            <w:tcW w:type="pct" w:w="33%"/>
          </w:tcPr>
          <w:p>
            <w:r>
              <w:rPr>
                <w:rFonts w:ascii="Calibri" w:cs="Calibri" w:eastAsia="Calibri" w:hAnsi="Calibri"/>
                <w:color w:val="333333"/>
                <w:sz w:val="20"/>
                <w:szCs w:val="20"/>
              </w:rPr>
              <w:t xml:space="preserve">CFO</w:t>
            </w:r>
          </w:p>
        </w:tc>
        <w:tc>
          <w:tcPr>
            <w:tcW w:type="pct" w:w="33%"/>
          </w:tcPr>
          <w:p>
            <w:r>
              <w:rPr>
                <w:rFonts w:ascii="Calibri" w:cs="Calibri" w:eastAsia="Calibri" w:hAnsi="Calibri"/>
                <w:color w:val="333333"/>
                <w:sz w:val="20"/>
                <w:szCs w:val="20"/>
              </w:rPr>
              <w:t xml:space="preserve">Manage financial, credit, and liquidity risks</w:t>
            </w:r>
          </w:p>
        </w:tc>
        <w:tc>
          <w:tcPr>
            <w:tcW w:type="pct" w:w="33%"/>
          </w:tcPr>
          <w:p>
            <w:r>
              <w:rPr>
                <w:rFonts w:ascii="Calibri" w:cs="Calibri" w:eastAsia="Calibri" w:hAnsi="Calibri"/>
                <w:color w:val="333333"/>
                <w:sz w:val="20"/>
                <w:szCs w:val="20"/>
              </w:rPr>
              <w:t xml:space="preserve">Financial risk owner</w:t>
            </w:r>
          </w:p>
        </w:tc>
      </w:tr>
      <w:tr>
        <w:tc>
          <w:tcPr>
            <w:tcW w:type="pct" w:w="33%"/>
          </w:tcPr>
          <w:p>
            <w:r>
              <w:rPr>
                <w:rFonts w:ascii="Calibri" w:cs="Calibri" w:eastAsia="Calibri" w:hAnsi="Calibri"/>
                <w:color w:val="333333"/>
                <w:sz w:val="20"/>
                <w:szCs w:val="20"/>
              </w:rPr>
              <w:t xml:space="preserve">All Staff</w:t>
            </w:r>
          </w:p>
        </w:tc>
        <w:tc>
          <w:tcPr>
            <w:tcW w:type="pct" w:w="33%"/>
          </w:tcPr>
          <w:p>
            <w:r>
              <w:rPr>
                <w:rFonts w:ascii="Calibri" w:cs="Calibri" w:eastAsia="Calibri" w:hAnsi="Calibri"/>
                <w:color w:val="333333"/>
                <w:sz w:val="20"/>
                <w:szCs w:val="20"/>
              </w:rPr>
              <w:t xml:space="preserve">Identify and report risks; comply with risk policies</w:t>
            </w:r>
          </w:p>
        </w:tc>
        <w:tc>
          <w:tcPr>
            <w:tcW w:type="pct" w:w="33%"/>
          </w:tcPr>
          <w:p>
            <w:r>
              <w:rPr>
                <w:rFonts w:ascii="Calibri" w:cs="Calibri" w:eastAsia="Calibri" w:hAnsi="Calibri"/>
                <w:color w:val="333333"/>
                <w:sz w:val="20"/>
                <w:szCs w:val="20"/>
              </w:rPr>
              <w:t xml:space="preserve">First line of defence</w:t>
            </w:r>
          </w:p>
        </w:tc>
      </w:tr>
    </w:tbl>
    <w:p>
      <w:pPr>
        <w:spacing w:after="200"/>
      </w:pPr>
    </w:p>
    <w:p>
      <w:pPr>
        <w:pStyle w:val="Heading2"/>
        <w:spacing w:after="120" w:before="300"/>
      </w:pPr>
      <w:r>
        <w:rPr>
          <w:rFonts w:ascii="Calibri" w:cs="Calibri" w:eastAsia="Calibri" w:hAnsi="Calibri"/>
          <w:b/>
          <w:bCs/>
          <w:color w:val="0A6E3C"/>
          <w:sz w:val="26"/>
          <w:szCs w:val="26"/>
        </w:rPr>
        <w:t xml:space="preserve">2.2 Risk Appetite</w:t>
      </w:r>
    </w:p>
    <w:p>
      <w:pPr>
        <w:spacing w:after="120" w:before="0"/>
        <w:jc w:val="both"/>
      </w:pPr>
      <w:r>
        <w:rPr>
          <w:rFonts w:ascii="Calibri" w:cs="Calibri" w:eastAsia="Calibri" w:hAnsi="Calibri"/>
          <w:b w:val="false"/>
          <w:bCs w:val="false"/>
          <w:i w:val="false"/>
          <w:iCs w:val="false"/>
          <w:color w:val="333333"/>
          <w:sz w:val="22"/>
          <w:szCs w:val="22"/>
        </w:rPr>
        <w:t xml:space="preserve">Monde adopts a conservative risk appetite appropriate for a payment system operator:</w:t>
      </w:r>
    </w:p>
    <w:p>
      <w:pPr>
        <w:pStyle w:val="ListParagraph"/>
        <w:numPr>
          <w:ilvl w:val="0"/>
          <w:numId w:val="1"/>
        </w:numPr>
        <w:spacing w:after="60"/>
      </w:pPr>
      <w:r>
        <w:rPr>
          <w:rFonts w:ascii="Calibri" w:cs="Calibri" w:eastAsia="Calibri" w:hAnsi="Calibri"/>
          <w:color w:val="333333"/>
          <w:sz w:val="22"/>
          <w:szCs w:val="22"/>
        </w:rPr>
        <w:t xml:space="preserve">Zero tolerance for fraud, money laundering, and regulatory non-compliance</w:t>
      </w:r>
    </w:p>
    <w:p>
      <w:pPr>
        <w:pStyle w:val="ListParagraph"/>
        <w:numPr>
          <w:ilvl w:val="0"/>
          <w:numId w:val="1"/>
        </w:numPr>
        <w:spacing w:after="60"/>
      </w:pPr>
      <w:r>
        <w:rPr>
          <w:rFonts w:ascii="Calibri" w:cs="Calibri" w:eastAsia="Calibri" w:hAnsi="Calibri"/>
          <w:color w:val="333333"/>
          <w:sz w:val="22"/>
          <w:szCs w:val="22"/>
        </w:rPr>
        <w:t xml:space="preserve">Low tolerance for system downtime and data loss</w:t>
      </w:r>
    </w:p>
    <w:p>
      <w:pPr>
        <w:pStyle w:val="ListParagraph"/>
        <w:numPr>
          <w:ilvl w:val="0"/>
          <w:numId w:val="1"/>
        </w:numPr>
        <w:spacing w:after="60"/>
      </w:pPr>
      <w:r>
        <w:rPr>
          <w:rFonts w:ascii="Calibri" w:cs="Calibri" w:eastAsia="Calibri" w:hAnsi="Calibri"/>
          <w:color w:val="333333"/>
          <w:sz w:val="22"/>
          <w:szCs w:val="22"/>
        </w:rPr>
        <w:t xml:space="preserve">Moderate tolerance for operational inefficiencies during the growth phase</w:t>
      </w:r>
    </w:p>
    <w:p>
      <w:pPr>
        <w:pStyle w:val="ListParagraph"/>
        <w:numPr>
          <w:ilvl w:val="0"/>
          <w:numId w:val="1"/>
        </w:numPr>
        <w:spacing w:after="60"/>
      </w:pPr>
      <w:r>
        <w:rPr>
          <w:rFonts w:ascii="Calibri" w:cs="Calibri" w:eastAsia="Calibri" w:hAnsi="Calibri"/>
          <w:color w:val="333333"/>
          <w:sz w:val="22"/>
          <w:szCs w:val="22"/>
        </w:rPr>
        <w:t xml:space="preserve">Risk appetite is reviewed annually by the Board of Directors</w:t>
      </w:r>
    </w:p>
    <w:p>
      <w:pPr>
        <w:pStyle w:val="Heading1"/>
        <w:spacing w:after="120" w:before="300"/>
      </w:pPr>
      <w:r>
        <w:rPr>
          <w:rFonts w:ascii="Calibri" w:cs="Calibri" w:eastAsia="Calibri" w:hAnsi="Calibri"/>
          <w:b/>
          <w:bCs/>
          <w:color w:val="0A6E3C"/>
          <w:sz w:val="32"/>
          <w:szCs w:val="32"/>
        </w:rPr>
        <w:t xml:space="preserve">3. RISK REGISTER</w:t>
      </w:r>
    </w:p>
    <w:p>
      <w:pPr>
        <w:spacing w:after="120" w:before="0"/>
        <w:jc w:val="both"/>
      </w:pPr>
      <w:r>
        <w:rPr>
          <w:rFonts w:ascii="Calibri" w:cs="Calibri" w:eastAsia="Calibri" w:hAnsi="Calibri"/>
          <w:b w:val="false"/>
          <w:bCs w:val="false"/>
          <w:i w:val="false"/>
          <w:iCs w:val="false"/>
          <w:color w:val="333333"/>
          <w:sz w:val="22"/>
          <w:szCs w:val="22"/>
        </w:rPr>
        <w:t xml:space="preserve">The following sections present the detailed risk assessment for each risk category, including risk description, inherent risk rating, mitigation controls, and residual risk rating.</w:t>
      </w:r>
    </w:p>
    <w:p>
      <w:pPr>
        <w:spacing w:after="120" w:before="0"/>
        <w:jc w:val="both"/>
      </w:pPr>
      <w:r>
        <w:rPr>
          <w:rFonts w:ascii="Calibri" w:cs="Calibri" w:eastAsia="Calibri" w:hAnsi="Calibri"/>
          <w:b w:val="false"/>
          <w:bCs w:val="false"/>
          <w:i w:val="false"/>
          <w:iCs w:val="false"/>
          <w:color w:val="333333"/>
          <w:sz w:val="22"/>
          <w:szCs w:val="22"/>
        </w:rPr>
        <w:t xml:space="preserve">Risk ratings: Critical (5), High (4), Medium (3), Low (2), Very Low (1)</w:t>
      </w:r>
    </w:p>
    <w:p>
      <w:r>
        <w:br w:type="page"/>
      </w:r>
    </w:p>
    <w:p>
      <w:pPr>
        <w:pStyle w:val="Heading1"/>
        <w:spacing w:after="120" w:before="300"/>
      </w:pPr>
      <w:r>
        <w:rPr>
          <w:rFonts w:ascii="Calibri" w:cs="Calibri" w:eastAsia="Calibri" w:hAnsi="Calibri"/>
          <w:b/>
          <w:bCs/>
          <w:color w:val="0A6E3C"/>
          <w:sz w:val="32"/>
          <w:szCs w:val="32"/>
        </w:rPr>
        <w:t xml:space="preserve">4. CYBERSECURITY RISK</w:t>
      </w:r>
    </w:p>
    <w:p>
      <w:pPr>
        <w:pStyle w:val="Heading2"/>
        <w:spacing w:after="120" w:before="300"/>
      </w:pPr>
      <w:r>
        <w:rPr>
          <w:rFonts w:ascii="Calibri" w:cs="Calibri" w:eastAsia="Calibri" w:hAnsi="Calibri"/>
          <w:b/>
          <w:bCs/>
          <w:color w:val="0A6E3C"/>
          <w:sz w:val="26"/>
          <w:szCs w:val="26"/>
        </w:rPr>
        <w:t xml:space="preserve">4.1 Risk Description</w:t>
      </w:r>
    </w:p>
    <w:p>
      <w:pPr>
        <w:spacing w:after="120" w:before="0"/>
        <w:jc w:val="both"/>
      </w:pPr>
      <w:r>
        <w:rPr>
          <w:rFonts w:ascii="Calibri" w:cs="Calibri" w:eastAsia="Calibri" w:hAnsi="Calibri"/>
          <w:b w:val="false"/>
          <w:bCs w:val="false"/>
          <w:i w:val="false"/>
          <w:iCs w:val="false"/>
          <w:color w:val="333333"/>
          <w:sz w:val="22"/>
          <w:szCs w:val="22"/>
        </w:rPr>
        <w:t xml:space="preserve">Cybersecurity risk encompasses threats to the confidentiality, integrity, and availability of Monde systems and data. This includes external attacks (hacking, DDoS, phishing), internal threats (insider misuse), and vulnerabilities in software or infrastructure.</w:t>
      </w:r>
    </w:p>
    <w:p>
      <w:pPr>
        <w:pStyle w:val="Heading2"/>
        <w:spacing w:after="120" w:before="300"/>
      </w:pPr>
      <w:r>
        <w:rPr>
          <w:rFonts w:ascii="Calibri" w:cs="Calibri" w:eastAsia="Calibri" w:hAnsi="Calibri"/>
          <w:b/>
          <w:bCs/>
          <w:color w:val="0A6E3C"/>
          <w:sz w:val="26"/>
          <w:szCs w:val="26"/>
        </w:rPr>
        <w:t xml:space="preserve">4.2 Risk Assessment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color="0A6E3C" w:val="solid"/>
          </w:tcPr>
          <w:p>
            <w:pPr>
              <w:jc w:val="center"/>
            </w:pPr>
            <w:r>
              <w:rPr>
                <w:rFonts w:ascii="Calibri" w:cs="Calibri" w:eastAsia="Calibri" w:hAnsi="Calibri"/>
                <w:b/>
                <w:bCs/>
                <w:color w:val="FFFFFF"/>
                <w:sz w:val="20"/>
                <w:szCs w:val="20"/>
              </w:rPr>
              <w:t xml:space="preserve">Risk</w:t>
            </w:r>
          </w:p>
        </w:tc>
        <w:tc>
          <w:tcPr>
            <w:tcW w:type="pct" w:w="25%"/>
            <w:shd w:color="0A6E3C" w:val="solid"/>
          </w:tcPr>
          <w:p>
            <w:pPr>
              <w:jc w:val="center"/>
            </w:pPr>
            <w:r>
              <w:rPr>
                <w:rFonts w:ascii="Calibri" w:cs="Calibri" w:eastAsia="Calibri" w:hAnsi="Calibri"/>
                <w:b/>
                <w:bCs/>
                <w:color w:val="FFFFFF"/>
                <w:sz w:val="20"/>
                <w:szCs w:val="20"/>
              </w:rPr>
              <w:t xml:space="preserve">Likelihood</w:t>
            </w:r>
          </w:p>
        </w:tc>
        <w:tc>
          <w:tcPr>
            <w:tcW w:type="pct" w:w="25%"/>
            <w:shd w:color="0A6E3C" w:val="solid"/>
          </w:tcPr>
          <w:p>
            <w:pPr>
              <w:jc w:val="center"/>
            </w:pPr>
            <w:r>
              <w:rPr>
                <w:rFonts w:ascii="Calibri" w:cs="Calibri" w:eastAsia="Calibri" w:hAnsi="Calibri"/>
                <w:b/>
                <w:bCs/>
                <w:color w:val="FFFFFF"/>
                <w:sz w:val="20"/>
                <w:szCs w:val="20"/>
              </w:rPr>
              <w:t xml:space="preserve">Impact</w:t>
            </w:r>
          </w:p>
        </w:tc>
        <w:tc>
          <w:tcPr>
            <w:tcW w:type="pct" w:w="25%"/>
            <w:shd w:color="0A6E3C" w:val="solid"/>
          </w:tcPr>
          <w:p>
            <w:pPr>
              <w:jc w:val="center"/>
            </w:pPr>
            <w:r>
              <w:rPr>
                <w:rFonts w:ascii="Calibri" w:cs="Calibri" w:eastAsia="Calibri" w:hAnsi="Calibri"/>
                <w:b/>
                <w:bCs/>
                <w:color w:val="FFFFFF"/>
                <w:sz w:val="20"/>
                <w:szCs w:val="20"/>
              </w:rPr>
              <w:t xml:space="preserve">Inherent Rating</w:t>
            </w:r>
          </w:p>
        </w:tc>
      </w:tr>
      <w:tr>
        <w:tc>
          <w:tcPr>
            <w:tcW w:type="pct" w:w="25%"/>
          </w:tcPr>
          <w:p>
            <w:r>
              <w:rPr>
                <w:rFonts w:ascii="Calibri" w:cs="Calibri" w:eastAsia="Calibri" w:hAnsi="Calibri"/>
                <w:color w:val="333333"/>
                <w:sz w:val="20"/>
                <w:szCs w:val="20"/>
              </w:rPr>
              <w:t xml:space="preserve">Unauthorised access to customer data</w:t>
            </w:r>
          </w:p>
        </w:tc>
        <w:tc>
          <w:tcPr>
            <w:tcW w:type="pct" w:w="25%"/>
          </w:tcPr>
          <w:p>
            <w:r>
              <w:rPr>
                <w:rFonts w:ascii="Calibri" w:cs="Calibri" w:eastAsia="Calibri" w:hAnsi="Calibri"/>
                <w:color w:val="333333"/>
                <w:sz w:val="20"/>
                <w:szCs w:val="20"/>
              </w:rPr>
              <w:t xml:space="preserve">Medium</w:t>
            </w:r>
          </w:p>
        </w:tc>
        <w:tc>
          <w:tcPr>
            <w:tcW w:type="pct" w:w="25%"/>
          </w:tcPr>
          <w:p>
            <w:r>
              <w:rPr>
                <w:rFonts w:ascii="Calibri" w:cs="Calibri" w:eastAsia="Calibri" w:hAnsi="Calibri"/>
                <w:color w:val="333333"/>
                <w:sz w:val="20"/>
                <w:szCs w:val="20"/>
              </w:rPr>
              <w:t xml:space="preserve">Critical</w:t>
            </w:r>
          </w:p>
        </w:tc>
        <w:tc>
          <w:tcPr>
            <w:tcW w:type="pct" w:w="25%"/>
          </w:tcPr>
          <w:p>
            <w:r>
              <w:rPr>
                <w:rFonts w:ascii="Calibri" w:cs="Calibri" w:eastAsia="Calibri" w:hAnsi="Calibri"/>
                <w:color w:val="333333"/>
                <w:sz w:val="20"/>
                <w:szCs w:val="20"/>
              </w:rPr>
              <w:t xml:space="preserve">High (4)</w:t>
            </w:r>
          </w:p>
        </w:tc>
      </w:tr>
      <w:tr>
        <w:tc>
          <w:tcPr>
            <w:tcW w:type="pct" w:w="25%"/>
          </w:tcPr>
          <w:p>
            <w:r>
              <w:rPr>
                <w:rFonts w:ascii="Calibri" w:cs="Calibri" w:eastAsia="Calibri" w:hAnsi="Calibri"/>
                <w:color w:val="333333"/>
                <w:sz w:val="20"/>
                <w:szCs w:val="20"/>
              </w:rPr>
              <w:t xml:space="preserve">DDoS attack causing service outage</w:t>
            </w:r>
          </w:p>
        </w:tc>
        <w:tc>
          <w:tcPr>
            <w:tcW w:type="pct" w:w="25%"/>
          </w:tcPr>
          <w:p>
            <w:r>
              <w:rPr>
                <w:rFonts w:ascii="Calibri" w:cs="Calibri" w:eastAsia="Calibri" w:hAnsi="Calibri"/>
                <w:color w:val="333333"/>
                <w:sz w:val="20"/>
                <w:szCs w:val="20"/>
              </w:rPr>
              <w:t xml:space="preserve">Medium</w:t>
            </w:r>
          </w:p>
        </w:tc>
        <w:tc>
          <w:tcPr>
            <w:tcW w:type="pct" w:w="25%"/>
          </w:tcPr>
          <w:p>
            <w:r>
              <w:rPr>
                <w:rFonts w:ascii="Calibri" w:cs="Calibri" w:eastAsia="Calibri" w:hAnsi="Calibri"/>
                <w:color w:val="333333"/>
                <w:sz w:val="20"/>
                <w:szCs w:val="20"/>
              </w:rPr>
              <w:t xml:space="preserve">High</w:t>
            </w:r>
          </w:p>
        </w:tc>
        <w:tc>
          <w:tcPr>
            <w:tcW w:type="pct" w:w="25%"/>
          </w:tcPr>
          <w:p>
            <w:r>
              <w:rPr>
                <w:rFonts w:ascii="Calibri" w:cs="Calibri" w:eastAsia="Calibri" w:hAnsi="Calibri"/>
                <w:color w:val="333333"/>
                <w:sz w:val="20"/>
                <w:szCs w:val="20"/>
              </w:rPr>
              <w:t xml:space="preserve">High (4)</w:t>
            </w:r>
          </w:p>
        </w:tc>
      </w:tr>
      <w:tr>
        <w:tc>
          <w:tcPr>
            <w:tcW w:type="pct" w:w="25%"/>
          </w:tcPr>
          <w:p>
            <w:r>
              <w:rPr>
                <w:rFonts w:ascii="Calibri" w:cs="Calibri" w:eastAsia="Calibri" w:hAnsi="Calibri"/>
                <w:color w:val="333333"/>
                <w:sz w:val="20"/>
                <w:szCs w:val="20"/>
              </w:rPr>
              <w:t xml:space="preserve">Exploitation of application vulnerability</w:t>
            </w:r>
          </w:p>
        </w:tc>
        <w:tc>
          <w:tcPr>
            <w:tcW w:type="pct" w:w="25%"/>
          </w:tcPr>
          <w:p>
            <w:r>
              <w:rPr>
                <w:rFonts w:ascii="Calibri" w:cs="Calibri" w:eastAsia="Calibri" w:hAnsi="Calibri"/>
                <w:color w:val="333333"/>
                <w:sz w:val="20"/>
                <w:szCs w:val="20"/>
              </w:rPr>
              <w:t xml:space="preserve">Medium</w:t>
            </w:r>
          </w:p>
        </w:tc>
        <w:tc>
          <w:tcPr>
            <w:tcW w:type="pct" w:w="25%"/>
          </w:tcPr>
          <w:p>
            <w:r>
              <w:rPr>
                <w:rFonts w:ascii="Calibri" w:cs="Calibri" w:eastAsia="Calibri" w:hAnsi="Calibri"/>
                <w:color w:val="333333"/>
                <w:sz w:val="20"/>
                <w:szCs w:val="20"/>
              </w:rPr>
              <w:t xml:space="preserve">High</w:t>
            </w:r>
          </w:p>
        </w:tc>
        <w:tc>
          <w:tcPr>
            <w:tcW w:type="pct" w:w="25%"/>
          </w:tcPr>
          <w:p>
            <w:r>
              <w:rPr>
                <w:rFonts w:ascii="Calibri" w:cs="Calibri" w:eastAsia="Calibri" w:hAnsi="Calibri"/>
                <w:color w:val="333333"/>
                <w:sz w:val="20"/>
                <w:szCs w:val="20"/>
              </w:rPr>
              <w:t xml:space="preserve">High (4)</w:t>
            </w:r>
          </w:p>
        </w:tc>
      </w:tr>
      <w:tr>
        <w:tc>
          <w:tcPr>
            <w:tcW w:type="pct" w:w="25%"/>
          </w:tcPr>
          <w:p>
            <w:r>
              <w:rPr>
                <w:rFonts w:ascii="Calibri" w:cs="Calibri" w:eastAsia="Calibri" w:hAnsi="Calibri"/>
                <w:color w:val="333333"/>
                <w:sz w:val="20"/>
                <w:szCs w:val="20"/>
              </w:rPr>
              <w:t xml:space="preserve">Man-in-the-middle attack on API communications</w:t>
            </w:r>
          </w:p>
        </w:tc>
        <w:tc>
          <w:tcPr>
            <w:tcW w:type="pct" w:w="25%"/>
          </w:tcPr>
          <w:p>
            <w:r>
              <w:rPr>
                <w:rFonts w:ascii="Calibri" w:cs="Calibri" w:eastAsia="Calibri" w:hAnsi="Calibri"/>
                <w:color w:val="333333"/>
                <w:sz w:val="20"/>
                <w:szCs w:val="20"/>
              </w:rPr>
              <w:t xml:space="preserve">Low</w:t>
            </w:r>
          </w:p>
        </w:tc>
        <w:tc>
          <w:tcPr>
            <w:tcW w:type="pct" w:w="25%"/>
          </w:tcPr>
          <w:p>
            <w:r>
              <w:rPr>
                <w:rFonts w:ascii="Calibri" w:cs="Calibri" w:eastAsia="Calibri" w:hAnsi="Calibri"/>
                <w:color w:val="333333"/>
                <w:sz w:val="20"/>
                <w:szCs w:val="20"/>
              </w:rPr>
              <w:t xml:space="preserve">Critical</w:t>
            </w:r>
          </w:p>
        </w:tc>
        <w:tc>
          <w:tcPr>
            <w:tcW w:type="pct" w:w="25%"/>
          </w:tcPr>
          <w:p>
            <w:r>
              <w:rPr>
                <w:rFonts w:ascii="Calibri" w:cs="Calibri" w:eastAsia="Calibri" w:hAnsi="Calibri"/>
                <w:color w:val="333333"/>
                <w:sz w:val="20"/>
                <w:szCs w:val="20"/>
              </w:rPr>
              <w:t xml:space="preserve">Medium (3)</w:t>
            </w:r>
          </w:p>
        </w:tc>
      </w:tr>
      <w:tr>
        <w:tc>
          <w:tcPr>
            <w:tcW w:type="pct" w:w="25%"/>
          </w:tcPr>
          <w:p>
            <w:r>
              <w:rPr>
                <w:rFonts w:ascii="Calibri" w:cs="Calibri" w:eastAsia="Calibri" w:hAnsi="Calibri"/>
                <w:color w:val="333333"/>
                <w:sz w:val="20"/>
                <w:szCs w:val="20"/>
              </w:rPr>
              <w:t xml:space="preserve">Insider threat / malicious employee</w:t>
            </w:r>
          </w:p>
        </w:tc>
        <w:tc>
          <w:tcPr>
            <w:tcW w:type="pct" w:w="25%"/>
          </w:tcPr>
          <w:p>
            <w:r>
              <w:rPr>
                <w:rFonts w:ascii="Calibri" w:cs="Calibri" w:eastAsia="Calibri" w:hAnsi="Calibri"/>
                <w:color w:val="333333"/>
                <w:sz w:val="20"/>
                <w:szCs w:val="20"/>
              </w:rPr>
              <w:t xml:space="preserve">Low</w:t>
            </w:r>
          </w:p>
        </w:tc>
        <w:tc>
          <w:tcPr>
            <w:tcW w:type="pct" w:w="25%"/>
          </w:tcPr>
          <w:p>
            <w:r>
              <w:rPr>
                <w:rFonts w:ascii="Calibri" w:cs="Calibri" w:eastAsia="Calibri" w:hAnsi="Calibri"/>
                <w:color w:val="333333"/>
                <w:sz w:val="20"/>
                <w:szCs w:val="20"/>
              </w:rPr>
              <w:t xml:space="preserve">High</w:t>
            </w:r>
          </w:p>
        </w:tc>
        <w:tc>
          <w:tcPr>
            <w:tcW w:type="pct" w:w="25%"/>
          </w:tcPr>
          <w:p>
            <w:r>
              <w:rPr>
                <w:rFonts w:ascii="Calibri" w:cs="Calibri" w:eastAsia="Calibri" w:hAnsi="Calibri"/>
                <w:color w:val="333333"/>
                <w:sz w:val="20"/>
                <w:szCs w:val="20"/>
              </w:rPr>
              <w:t xml:space="preserve">Medium (3)</w:t>
            </w:r>
          </w:p>
        </w:tc>
      </w:tr>
      <w:tr>
        <w:tc>
          <w:tcPr>
            <w:tcW w:type="pct" w:w="25%"/>
          </w:tcPr>
          <w:p>
            <w:r>
              <w:rPr>
                <w:rFonts w:ascii="Calibri" w:cs="Calibri" w:eastAsia="Calibri" w:hAnsi="Calibri"/>
                <w:color w:val="333333"/>
                <w:sz w:val="20"/>
                <w:szCs w:val="20"/>
              </w:rPr>
              <w:t xml:space="preserve">Malware on customer device</w:t>
            </w:r>
          </w:p>
        </w:tc>
        <w:tc>
          <w:tcPr>
            <w:tcW w:type="pct" w:w="25%"/>
          </w:tcPr>
          <w:p>
            <w:r>
              <w:rPr>
                <w:rFonts w:ascii="Calibri" w:cs="Calibri" w:eastAsia="Calibri" w:hAnsi="Calibri"/>
                <w:color w:val="333333"/>
                <w:sz w:val="20"/>
                <w:szCs w:val="20"/>
              </w:rPr>
              <w:t xml:space="preserve">Medium</w:t>
            </w:r>
          </w:p>
        </w:tc>
        <w:tc>
          <w:tcPr>
            <w:tcW w:type="pct" w:w="25%"/>
          </w:tcPr>
          <w:p>
            <w:r>
              <w:rPr>
                <w:rFonts w:ascii="Calibri" w:cs="Calibri" w:eastAsia="Calibri" w:hAnsi="Calibri"/>
                <w:color w:val="333333"/>
                <w:sz w:val="20"/>
                <w:szCs w:val="20"/>
              </w:rPr>
              <w:t xml:space="preserve">Medium</w:t>
            </w:r>
          </w:p>
        </w:tc>
        <w:tc>
          <w:tcPr>
            <w:tcW w:type="pct" w:w="25%"/>
          </w:tcPr>
          <w:p>
            <w:r>
              <w:rPr>
                <w:rFonts w:ascii="Calibri" w:cs="Calibri" w:eastAsia="Calibri" w:hAnsi="Calibri"/>
                <w:color w:val="333333"/>
                <w:sz w:val="20"/>
                <w:szCs w:val="20"/>
              </w:rPr>
              <w:t xml:space="preserve">Medium (3)</w:t>
            </w:r>
          </w:p>
        </w:tc>
      </w:tr>
    </w:tbl>
    <w:p>
      <w:pPr>
        <w:spacing w:after="200"/>
      </w:pPr>
    </w:p>
    <w:p>
      <w:pPr>
        <w:pStyle w:val="Heading2"/>
        <w:spacing w:after="120" w:before="300"/>
      </w:pPr>
      <w:r>
        <w:rPr>
          <w:rFonts w:ascii="Calibri" w:cs="Calibri" w:eastAsia="Calibri" w:hAnsi="Calibri"/>
          <w:b/>
          <w:bCs/>
          <w:color w:val="0A6E3C"/>
          <w:sz w:val="26"/>
          <w:szCs w:val="26"/>
        </w:rPr>
        <w:t xml:space="preserve">4.3 Mitigation Controls</w:t>
      </w:r>
    </w:p>
    <w:p>
      <w:pPr>
        <w:pStyle w:val="ListParagraph"/>
        <w:numPr>
          <w:ilvl w:val="0"/>
          <w:numId w:val="1"/>
        </w:numPr>
        <w:spacing w:after="60"/>
      </w:pPr>
      <w:r>
        <w:rPr>
          <w:rFonts w:ascii="Calibri" w:cs="Calibri" w:eastAsia="Calibri" w:hAnsi="Calibri"/>
          <w:color w:val="333333"/>
          <w:sz w:val="22"/>
          <w:szCs w:val="22"/>
        </w:rPr>
        <w:t xml:space="preserve">TLS 1.3 encryption for all data in transit — prevents interception and MITM attacks</w:t>
      </w:r>
    </w:p>
    <w:p>
      <w:pPr>
        <w:pStyle w:val="ListParagraph"/>
        <w:numPr>
          <w:ilvl w:val="0"/>
          <w:numId w:val="1"/>
        </w:numPr>
        <w:spacing w:after="60"/>
      </w:pPr>
      <w:r>
        <w:rPr>
          <w:rFonts w:ascii="Calibri" w:cs="Calibri" w:eastAsia="Calibri" w:hAnsi="Calibri"/>
          <w:color w:val="333333"/>
          <w:sz w:val="22"/>
          <w:szCs w:val="22"/>
        </w:rPr>
        <w:t xml:space="preserve">AES-256 encryption at rest for database and backups</w:t>
      </w:r>
    </w:p>
    <w:p>
      <w:pPr>
        <w:pStyle w:val="ListParagraph"/>
        <w:numPr>
          <w:ilvl w:val="0"/>
          <w:numId w:val="1"/>
        </w:numPr>
        <w:spacing w:after="60"/>
      </w:pPr>
      <w:r>
        <w:rPr>
          <w:rFonts w:ascii="Calibri" w:cs="Calibri" w:eastAsia="Calibri" w:hAnsi="Calibri"/>
          <w:color w:val="333333"/>
          <w:sz w:val="22"/>
          <w:szCs w:val="22"/>
        </w:rPr>
        <w:t xml:space="preserve">Row-Level Security (RLS) policies enforce data access at the database engine level</w:t>
      </w:r>
    </w:p>
    <w:p>
      <w:pPr>
        <w:pStyle w:val="ListParagraph"/>
        <w:numPr>
          <w:ilvl w:val="0"/>
          <w:numId w:val="1"/>
        </w:numPr>
        <w:spacing w:after="60"/>
      </w:pPr>
      <w:r>
        <w:rPr>
          <w:rFonts w:ascii="Calibri" w:cs="Calibri" w:eastAsia="Calibri" w:hAnsi="Calibri"/>
          <w:color w:val="333333"/>
          <w:sz w:val="22"/>
          <w:szCs w:val="22"/>
        </w:rPr>
        <w:t xml:space="preserve">JWT-based authentication with short-lived access tokens and encrypted refresh tokens</w:t>
      </w:r>
    </w:p>
    <w:p>
      <w:pPr>
        <w:pStyle w:val="ListParagraph"/>
        <w:numPr>
          <w:ilvl w:val="0"/>
          <w:numId w:val="1"/>
        </w:numPr>
        <w:spacing w:after="60"/>
      </w:pPr>
      <w:r>
        <w:rPr>
          <w:rFonts w:ascii="Calibri" w:cs="Calibri" w:eastAsia="Calibri" w:hAnsi="Calibri"/>
          <w:color w:val="333333"/>
          <w:sz w:val="22"/>
          <w:szCs w:val="22"/>
        </w:rPr>
        <w:t xml:space="preserve">PIN-based transaction authorisation with bcrypt hashing</w:t>
      </w:r>
    </w:p>
    <w:p>
      <w:pPr>
        <w:pStyle w:val="ListParagraph"/>
        <w:numPr>
          <w:ilvl w:val="0"/>
          <w:numId w:val="1"/>
        </w:numPr>
        <w:spacing w:after="60"/>
      </w:pPr>
      <w:r>
        <w:rPr>
          <w:rFonts w:ascii="Calibri" w:cs="Calibri" w:eastAsia="Calibri" w:hAnsi="Calibri"/>
          <w:color w:val="333333"/>
          <w:sz w:val="22"/>
          <w:szCs w:val="22"/>
        </w:rPr>
        <w:t xml:space="preserve">AWS Shield and CloudFront DDoS protection</w:t>
      </w:r>
    </w:p>
    <w:p>
      <w:pPr>
        <w:pStyle w:val="ListParagraph"/>
        <w:numPr>
          <w:ilvl w:val="0"/>
          <w:numId w:val="1"/>
        </w:numPr>
        <w:spacing w:after="60"/>
      </w:pPr>
      <w:r>
        <w:rPr>
          <w:rFonts w:ascii="Calibri" w:cs="Calibri" w:eastAsia="Calibri" w:hAnsi="Calibri"/>
          <w:color w:val="333333"/>
          <w:sz w:val="22"/>
          <w:szCs w:val="22"/>
        </w:rPr>
        <w:t xml:space="preserve">ProGuard/R8 code obfuscation for Android builds</w:t>
      </w:r>
    </w:p>
    <w:p>
      <w:pPr>
        <w:pStyle w:val="ListParagraph"/>
        <w:numPr>
          <w:ilvl w:val="0"/>
          <w:numId w:val="1"/>
        </w:numPr>
        <w:spacing w:after="60"/>
      </w:pPr>
      <w:r>
        <w:rPr>
          <w:rFonts w:ascii="Calibri" w:cs="Calibri" w:eastAsia="Calibri" w:hAnsi="Calibri"/>
          <w:color w:val="333333"/>
          <w:sz w:val="22"/>
          <w:szCs w:val="22"/>
        </w:rPr>
        <w:t xml:space="preserve">Expo SecureStore for encrypted credential storage on devices</w:t>
      </w:r>
    </w:p>
    <w:p>
      <w:pPr>
        <w:pStyle w:val="ListParagraph"/>
        <w:numPr>
          <w:ilvl w:val="0"/>
          <w:numId w:val="1"/>
        </w:numPr>
        <w:spacing w:after="60"/>
      </w:pPr>
      <w:r>
        <w:rPr>
          <w:rFonts w:ascii="Calibri" w:cs="Calibri" w:eastAsia="Calibri" w:hAnsi="Calibri"/>
          <w:color w:val="333333"/>
          <w:sz w:val="22"/>
          <w:szCs w:val="22"/>
        </w:rPr>
        <w:t xml:space="preserve">Production logging hardened — no sensitive data in production logs (__DEV__ guards)</w:t>
      </w:r>
    </w:p>
    <w:p>
      <w:pPr>
        <w:pStyle w:val="ListParagraph"/>
        <w:numPr>
          <w:ilvl w:val="0"/>
          <w:numId w:val="1"/>
        </w:numPr>
        <w:spacing w:after="60"/>
      </w:pPr>
      <w:r>
        <w:rPr>
          <w:rFonts w:ascii="Calibri" w:cs="Calibri" w:eastAsia="Calibri" w:hAnsi="Calibri"/>
          <w:color w:val="333333"/>
          <w:sz w:val="22"/>
          <w:szCs w:val="22"/>
        </w:rPr>
        <w:t xml:space="preserve">Parameterised queries and RPCs prevent SQL injection</w:t>
      </w:r>
    </w:p>
    <w:p>
      <w:pPr>
        <w:pStyle w:val="ListParagraph"/>
        <w:numPr>
          <w:ilvl w:val="0"/>
          <w:numId w:val="1"/>
        </w:numPr>
        <w:spacing w:after="60"/>
      </w:pPr>
      <w:r>
        <w:rPr>
          <w:rFonts w:ascii="Calibri" w:cs="Calibri" w:eastAsia="Calibri" w:hAnsi="Calibri"/>
          <w:color w:val="333333"/>
          <w:sz w:val="22"/>
          <w:szCs w:val="22"/>
        </w:rPr>
        <w:t xml:space="preserve">Input validation and sanitisation for all user inputs</w:t>
      </w:r>
    </w:p>
    <w:p>
      <w:pPr>
        <w:pStyle w:val="ListParagraph"/>
        <w:numPr>
          <w:ilvl w:val="0"/>
          <w:numId w:val="1"/>
        </w:numPr>
        <w:spacing w:after="60"/>
      </w:pPr>
      <w:r>
        <w:rPr>
          <w:rFonts w:ascii="Calibri" w:cs="Calibri" w:eastAsia="Calibri" w:hAnsi="Calibri"/>
          <w:color w:val="333333"/>
          <w:sz w:val="22"/>
          <w:szCs w:val="22"/>
        </w:rPr>
        <w:t xml:space="preserve">Minimum privilege access for all database roles</w:t>
      </w:r>
    </w:p>
    <w:p>
      <w:pPr>
        <w:pStyle w:val="ListParagraph"/>
        <w:numPr>
          <w:ilvl w:val="0"/>
          <w:numId w:val="1"/>
        </w:numPr>
        <w:spacing w:after="60"/>
      </w:pPr>
      <w:r>
        <w:rPr>
          <w:rFonts w:ascii="Calibri" w:cs="Calibri" w:eastAsia="Calibri" w:hAnsi="Calibri"/>
          <w:color w:val="333333"/>
          <w:sz w:val="22"/>
          <w:szCs w:val="22"/>
        </w:rPr>
        <w:t xml:space="preserve">Version control (Git) and code review for all changes</w:t>
      </w:r>
    </w:p>
    <w:p>
      <w:pPr>
        <w:pStyle w:val="ListParagraph"/>
        <w:numPr>
          <w:ilvl w:val="0"/>
          <w:numId w:val="1"/>
        </w:numPr>
        <w:spacing w:after="60"/>
      </w:pPr>
      <w:r>
        <w:rPr>
          <w:rFonts w:ascii="Calibri" w:cs="Calibri" w:eastAsia="Calibri" w:hAnsi="Calibri"/>
          <w:color w:val="333333"/>
          <w:sz w:val="22"/>
          <w:szCs w:val="22"/>
        </w:rPr>
        <w:t xml:space="preserve">Regular security testing and vulnerability assessment (planned)</w:t>
      </w:r>
    </w:p>
    <w:p>
      <w:pPr>
        <w:pStyle w:val="Heading2"/>
        <w:spacing w:after="120" w:before="300"/>
      </w:pPr>
      <w:r>
        <w:rPr>
          <w:rFonts w:ascii="Calibri" w:cs="Calibri" w:eastAsia="Calibri" w:hAnsi="Calibri"/>
          <w:b/>
          <w:bCs/>
          <w:color w:val="0A6E3C"/>
          <w:sz w:val="26"/>
          <w:szCs w:val="26"/>
        </w:rPr>
        <w:t xml:space="preserve">4.4 Residual Risk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color="0A6E3C" w:val="solid"/>
          </w:tcPr>
          <w:p>
            <w:pPr>
              <w:jc w:val="center"/>
            </w:pPr>
            <w:r>
              <w:rPr>
                <w:rFonts w:ascii="Calibri" w:cs="Calibri" w:eastAsia="Calibri" w:hAnsi="Calibri"/>
                <w:b/>
                <w:bCs/>
                <w:color w:val="FFFFFF"/>
                <w:sz w:val="20"/>
                <w:szCs w:val="20"/>
              </w:rPr>
              <w:t xml:space="preserve">Risk</w:t>
            </w:r>
          </w:p>
        </w:tc>
        <w:tc>
          <w:tcPr>
            <w:tcW w:type="pct" w:w="50%"/>
            <w:shd w:color="0A6E3C" w:val="solid"/>
          </w:tcPr>
          <w:p>
            <w:pPr>
              <w:jc w:val="center"/>
            </w:pPr>
            <w:r>
              <w:rPr>
                <w:rFonts w:ascii="Calibri" w:cs="Calibri" w:eastAsia="Calibri" w:hAnsi="Calibri"/>
                <w:b/>
                <w:bCs/>
                <w:color w:val="FFFFFF"/>
                <w:sz w:val="20"/>
                <w:szCs w:val="20"/>
              </w:rPr>
              <w:t xml:space="preserve">Residual Rating</w:t>
            </w:r>
          </w:p>
        </w:tc>
      </w:tr>
      <w:tr>
        <w:tc>
          <w:tcPr>
            <w:tcW w:type="pct" w:w="50%"/>
          </w:tcPr>
          <w:p>
            <w:r>
              <w:rPr>
                <w:rFonts w:ascii="Calibri" w:cs="Calibri" w:eastAsia="Calibri" w:hAnsi="Calibri"/>
                <w:color w:val="333333"/>
                <w:sz w:val="20"/>
                <w:szCs w:val="20"/>
              </w:rPr>
              <w:t xml:space="preserve">Unauthorised access to customer data</w:t>
            </w:r>
          </w:p>
        </w:tc>
        <w:tc>
          <w:tcPr>
            <w:tcW w:type="pct" w:w="50%"/>
          </w:tcPr>
          <w:p>
            <w:r>
              <w:rPr>
                <w:rFonts w:ascii="Calibri" w:cs="Calibri" w:eastAsia="Calibri" w:hAnsi="Calibri"/>
                <w:color w:val="333333"/>
                <w:sz w:val="20"/>
                <w:szCs w:val="20"/>
              </w:rPr>
              <w:t xml:space="preserve">Low (2)</w:t>
            </w:r>
          </w:p>
        </w:tc>
      </w:tr>
      <w:tr>
        <w:tc>
          <w:tcPr>
            <w:tcW w:type="pct" w:w="50%"/>
          </w:tcPr>
          <w:p>
            <w:r>
              <w:rPr>
                <w:rFonts w:ascii="Calibri" w:cs="Calibri" w:eastAsia="Calibri" w:hAnsi="Calibri"/>
                <w:color w:val="333333"/>
                <w:sz w:val="20"/>
                <w:szCs w:val="20"/>
              </w:rPr>
              <w:t xml:space="preserve">DDoS attack causing service outage</w:t>
            </w:r>
          </w:p>
        </w:tc>
        <w:tc>
          <w:tcPr>
            <w:tcW w:type="pct" w:w="50%"/>
          </w:tcPr>
          <w:p>
            <w:r>
              <w:rPr>
                <w:rFonts w:ascii="Calibri" w:cs="Calibri" w:eastAsia="Calibri" w:hAnsi="Calibri"/>
                <w:color w:val="333333"/>
                <w:sz w:val="20"/>
                <w:szCs w:val="20"/>
              </w:rPr>
              <w:t xml:space="preserve">Low (2)</w:t>
            </w:r>
          </w:p>
        </w:tc>
      </w:tr>
      <w:tr>
        <w:tc>
          <w:tcPr>
            <w:tcW w:type="pct" w:w="50%"/>
          </w:tcPr>
          <w:p>
            <w:r>
              <w:rPr>
                <w:rFonts w:ascii="Calibri" w:cs="Calibri" w:eastAsia="Calibri" w:hAnsi="Calibri"/>
                <w:color w:val="333333"/>
                <w:sz w:val="20"/>
                <w:szCs w:val="20"/>
              </w:rPr>
              <w:t xml:space="preserve">Exploitation of application vulnerability</w:t>
            </w:r>
          </w:p>
        </w:tc>
        <w:tc>
          <w:tcPr>
            <w:tcW w:type="pct" w:w="50%"/>
          </w:tcPr>
          <w:p>
            <w:r>
              <w:rPr>
                <w:rFonts w:ascii="Calibri" w:cs="Calibri" w:eastAsia="Calibri" w:hAnsi="Calibri"/>
                <w:color w:val="333333"/>
                <w:sz w:val="20"/>
                <w:szCs w:val="20"/>
              </w:rPr>
              <w:t xml:space="preserve">Low (2)</w:t>
            </w:r>
          </w:p>
        </w:tc>
      </w:tr>
      <w:tr>
        <w:tc>
          <w:tcPr>
            <w:tcW w:type="pct" w:w="50%"/>
          </w:tcPr>
          <w:p>
            <w:r>
              <w:rPr>
                <w:rFonts w:ascii="Calibri" w:cs="Calibri" w:eastAsia="Calibri" w:hAnsi="Calibri"/>
                <w:color w:val="333333"/>
                <w:sz w:val="20"/>
                <w:szCs w:val="20"/>
              </w:rPr>
              <w:t xml:space="preserve">Man-in-the-middle attack</w:t>
            </w:r>
          </w:p>
        </w:tc>
        <w:tc>
          <w:tcPr>
            <w:tcW w:type="pct" w:w="50%"/>
          </w:tcPr>
          <w:p>
            <w:r>
              <w:rPr>
                <w:rFonts w:ascii="Calibri" w:cs="Calibri" w:eastAsia="Calibri" w:hAnsi="Calibri"/>
                <w:color w:val="333333"/>
                <w:sz w:val="20"/>
                <w:szCs w:val="20"/>
              </w:rPr>
              <w:t xml:space="preserve">Very Low (1)</w:t>
            </w:r>
          </w:p>
        </w:tc>
      </w:tr>
      <w:tr>
        <w:tc>
          <w:tcPr>
            <w:tcW w:type="pct" w:w="50%"/>
          </w:tcPr>
          <w:p>
            <w:r>
              <w:rPr>
                <w:rFonts w:ascii="Calibri" w:cs="Calibri" w:eastAsia="Calibri" w:hAnsi="Calibri"/>
                <w:color w:val="333333"/>
                <w:sz w:val="20"/>
                <w:szCs w:val="20"/>
              </w:rPr>
              <w:t xml:space="preserve">Insider threat</w:t>
            </w:r>
          </w:p>
        </w:tc>
        <w:tc>
          <w:tcPr>
            <w:tcW w:type="pct" w:w="50%"/>
          </w:tcPr>
          <w:p>
            <w:r>
              <w:rPr>
                <w:rFonts w:ascii="Calibri" w:cs="Calibri" w:eastAsia="Calibri" w:hAnsi="Calibri"/>
                <w:color w:val="333333"/>
                <w:sz w:val="20"/>
                <w:szCs w:val="20"/>
              </w:rPr>
              <w:t xml:space="preserve">Low (2)</w:t>
            </w:r>
          </w:p>
        </w:tc>
      </w:tr>
      <w:tr>
        <w:tc>
          <w:tcPr>
            <w:tcW w:type="pct" w:w="50%"/>
          </w:tcPr>
          <w:p>
            <w:r>
              <w:rPr>
                <w:rFonts w:ascii="Calibri" w:cs="Calibri" w:eastAsia="Calibri" w:hAnsi="Calibri"/>
                <w:color w:val="333333"/>
                <w:sz w:val="20"/>
                <w:szCs w:val="20"/>
              </w:rPr>
              <w:t xml:space="preserve">Malware on customer device</w:t>
            </w:r>
          </w:p>
        </w:tc>
        <w:tc>
          <w:tcPr>
            <w:tcW w:type="pct" w:w="50%"/>
          </w:tcPr>
          <w:p>
            <w:r>
              <w:rPr>
                <w:rFonts w:ascii="Calibri" w:cs="Calibri" w:eastAsia="Calibri" w:hAnsi="Calibri"/>
                <w:color w:val="333333"/>
                <w:sz w:val="20"/>
                <w:szCs w:val="20"/>
              </w:rPr>
              <w:t xml:space="preserve">Low (2)</w:t>
            </w:r>
          </w:p>
        </w:tc>
      </w:tr>
    </w:tbl>
    <w:p>
      <w:pPr>
        <w:spacing w:after="200"/>
      </w:pPr>
    </w:p>
    <w:p>
      <w:r>
        <w:br w:type="page"/>
      </w:r>
    </w:p>
    <w:p>
      <w:pPr>
        <w:pStyle w:val="Heading1"/>
        <w:spacing w:after="120" w:before="300"/>
      </w:pPr>
      <w:r>
        <w:rPr>
          <w:rFonts w:ascii="Calibri" w:cs="Calibri" w:eastAsia="Calibri" w:hAnsi="Calibri"/>
          <w:b/>
          <w:bCs/>
          <w:color w:val="0A6E3C"/>
          <w:sz w:val="32"/>
          <w:szCs w:val="32"/>
        </w:rPr>
        <w:t xml:space="preserve">5. OPERATIONAL RISK</w:t>
      </w:r>
    </w:p>
    <w:p>
      <w:pPr>
        <w:pStyle w:val="Heading2"/>
        <w:spacing w:after="120" w:before="300"/>
      </w:pPr>
      <w:r>
        <w:rPr>
          <w:rFonts w:ascii="Calibri" w:cs="Calibri" w:eastAsia="Calibri" w:hAnsi="Calibri"/>
          <w:b/>
          <w:bCs/>
          <w:color w:val="0A6E3C"/>
          <w:sz w:val="26"/>
          <w:szCs w:val="26"/>
        </w:rPr>
        <w:t xml:space="preserve">5.1 Risk Description</w:t>
      </w:r>
    </w:p>
    <w:p>
      <w:pPr>
        <w:spacing w:after="120" w:before="0"/>
        <w:jc w:val="both"/>
      </w:pPr>
      <w:r>
        <w:rPr>
          <w:rFonts w:ascii="Calibri" w:cs="Calibri" w:eastAsia="Calibri" w:hAnsi="Calibri"/>
          <w:b w:val="false"/>
          <w:bCs w:val="false"/>
          <w:i w:val="false"/>
          <w:iCs w:val="false"/>
          <w:color w:val="333333"/>
          <w:sz w:val="22"/>
          <w:szCs w:val="22"/>
        </w:rPr>
        <w:t xml:space="preserve">Operational risk encompasses losses arising from inadequate or failed internal processes, people, systems, or external events. For Monde, this includes system outages, software bugs, human error, and third-party provider failures.</w:t>
      </w:r>
    </w:p>
    <w:p>
      <w:pPr>
        <w:pStyle w:val="Heading2"/>
        <w:spacing w:after="120" w:before="300"/>
      </w:pPr>
      <w:r>
        <w:rPr>
          <w:rFonts w:ascii="Calibri" w:cs="Calibri" w:eastAsia="Calibri" w:hAnsi="Calibri"/>
          <w:b/>
          <w:bCs/>
          <w:color w:val="0A6E3C"/>
          <w:sz w:val="26"/>
          <w:szCs w:val="26"/>
        </w:rPr>
        <w:t xml:space="preserve">5.2 Risk Assessment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color="0A6E3C" w:val="solid"/>
          </w:tcPr>
          <w:p>
            <w:pPr>
              <w:jc w:val="center"/>
            </w:pPr>
            <w:r>
              <w:rPr>
                <w:rFonts w:ascii="Calibri" w:cs="Calibri" w:eastAsia="Calibri" w:hAnsi="Calibri"/>
                <w:b/>
                <w:bCs/>
                <w:color w:val="FFFFFF"/>
                <w:sz w:val="20"/>
                <w:szCs w:val="20"/>
              </w:rPr>
              <w:t xml:space="preserve">Risk</w:t>
            </w:r>
          </w:p>
        </w:tc>
        <w:tc>
          <w:tcPr>
            <w:tcW w:type="pct" w:w="25%"/>
            <w:shd w:color="0A6E3C" w:val="solid"/>
          </w:tcPr>
          <w:p>
            <w:pPr>
              <w:jc w:val="center"/>
            </w:pPr>
            <w:r>
              <w:rPr>
                <w:rFonts w:ascii="Calibri" w:cs="Calibri" w:eastAsia="Calibri" w:hAnsi="Calibri"/>
                <w:b/>
                <w:bCs/>
                <w:color w:val="FFFFFF"/>
                <w:sz w:val="20"/>
                <w:szCs w:val="20"/>
              </w:rPr>
              <w:t xml:space="preserve">Likelihood</w:t>
            </w:r>
          </w:p>
        </w:tc>
        <w:tc>
          <w:tcPr>
            <w:tcW w:type="pct" w:w="25%"/>
            <w:shd w:color="0A6E3C" w:val="solid"/>
          </w:tcPr>
          <w:p>
            <w:pPr>
              <w:jc w:val="center"/>
            </w:pPr>
            <w:r>
              <w:rPr>
                <w:rFonts w:ascii="Calibri" w:cs="Calibri" w:eastAsia="Calibri" w:hAnsi="Calibri"/>
                <w:b/>
                <w:bCs/>
                <w:color w:val="FFFFFF"/>
                <w:sz w:val="20"/>
                <w:szCs w:val="20"/>
              </w:rPr>
              <w:t xml:space="preserve">Impact</w:t>
            </w:r>
          </w:p>
        </w:tc>
        <w:tc>
          <w:tcPr>
            <w:tcW w:type="pct" w:w="25%"/>
            <w:shd w:color="0A6E3C" w:val="solid"/>
          </w:tcPr>
          <w:p>
            <w:pPr>
              <w:jc w:val="center"/>
            </w:pPr>
            <w:r>
              <w:rPr>
                <w:rFonts w:ascii="Calibri" w:cs="Calibri" w:eastAsia="Calibri" w:hAnsi="Calibri"/>
                <w:b/>
                <w:bCs/>
                <w:color w:val="FFFFFF"/>
                <w:sz w:val="20"/>
                <w:szCs w:val="20"/>
              </w:rPr>
              <w:t xml:space="preserve">Inherent Rating</w:t>
            </w:r>
          </w:p>
        </w:tc>
      </w:tr>
      <w:tr>
        <w:tc>
          <w:tcPr>
            <w:tcW w:type="pct" w:w="25%"/>
          </w:tcPr>
          <w:p>
            <w:r>
              <w:rPr>
                <w:rFonts w:ascii="Calibri" w:cs="Calibri" w:eastAsia="Calibri" w:hAnsi="Calibri"/>
                <w:color w:val="333333"/>
                <w:sz w:val="20"/>
                <w:szCs w:val="20"/>
              </w:rPr>
              <w:t xml:space="preserve">System outage (database/API)</w:t>
            </w:r>
          </w:p>
        </w:tc>
        <w:tc>
          <w:tcPr>
            <w:tcW w:type="pct" w:w="25%"/>
          </w:tcPr>
          <w:p>
            <w:r>
              <w:rPr>
                <w:rFonts w:ascii="Calibri" w:cs="Calibri" w:eastAsia="Calibri" w:hAnsi="Calibri"/>
                <w:color w:val="333333"/>
                <w:sz w:val="20"/>
                <w:szCs w:val="20"/>
              </w:rPr>
              <w:t xml:space="preserve">Low</w:t>
            </w:r>
          </w:p>
        </w:tc>
        <w:tc>
          <w:tcPr>
            <w:tcW w:type="pct" w:w="25%"/>
          </w:tcPr>
          <w:p>
            <w:r>
              <w:rPr>
                <w:rFonts w:ascii="Calibri" w:cs="Calibri" w:eastAsia="Calibri" w:hAnsi="Calibri"/>
                <w:color w:val="333333"/>
                <w:sz w:val="20"/>
                <w:szCs w:val="20"/>
              </w:rPr>
              <w:t xml:space="preserve">Critical</w:t>
            </w:r>
          </w:p>
        </w:tc>
        <w:tc>
          <w:tcPr>
            <w:tcW w:type="pct" w:w="25%"/>
          </w:tcPr>
          <w:p>
            <w:r>
              <w:rPr>
                <w:rFonts w:ascii="Calibri" w:cs="Calibri" w:eastAsia="Calibri" w:hAnsi="Calibri"/>
                <w:color w:val="333333"/>
                <w:sz w:val="20"/>
                <w:szCs w:val="20"/>
              </w:rPr>
              <w:t xml:space="preserve">High (4)</w:t>
            </w:r>
          </w:p>
        </w:tc>
      </w:tr>
      <w:tr>
        <w:tc>
          <w:tcPr>
            <w:tcW w:type="pct" w:w="25%"/>
          </w:tcPr>
          <w:p>
            <w:r>
              <w:rPr>
                <w:rFonts w:ascii="Calibri" w:cs="Calibri" w:eastAsia="Calibri" w:hAnsi="Calibri"/>
                <w:color w:val="333333"/>
                <w:sz w:val="20"/>
                <w:szCs w:val="20"/>
              </w:rPr>
              <w:t xml:space="preserve">Payment gateway (Lipila) outage</w:t>
            </w:r>
          </w:p>
        </w:tc>
        <w:tc>
          <w:tcPr>
            <w:tcW w:type="pct" w:w="25%"/>
          </w:tcPr>
          <w:p>
            <w:r>
              <w:rPr>
                <w:rFonts w:ascii="Calibri" w:cs="Calibri" w:eastAsia="Calibri" w:hAnsi="Calibri"/>
                <w:color w:val="333333"/>
                <w:sz w:val="20"/>
                <w:szCs w:val="20"/>
              </w:rPr>
              <w:t xml:space="preserve">Medium</w:t>
            </w:r>
          </w:p>
        </w:tc>
        <w:tc>
          <w:tcPr>
            <w:tcW w:type="pct" w:w="25%"/>
          </w:tcPr>
          <w:p>
            <w:r>
              <w:rPr>
                <w:rFonts w:ascii="Calibri" w:cs="Calibri" w:eastAsia="Calibri" w:hAnsi="Calibri"/>
                <w:color w:val="333333"/>
                <w:sz w:val="20"/>
                <w:szCs w:val="20"/>
              </w:rPr>
              <w:t xml:space="preserve">High</w:t>
            </w:r>
          </w:p>
        </w:tc>
        <w:tc>
          <w:tcPr>
            <w:tcW w:type="pct" w:w="25%"/>
          </w:tcPr>
          <w:p>
            <w:r>
              <w:rPr>
                <w:rFonts w:ascii="Calibri" w:cs="Calibri" w:eastAsia="Calibri" w:hAnsi="Calibri"/>
                <w:color w:val="333333"/>
                <w:sz w:val="20"/>
                <w:szCs w:val="20"/>
              </w:rPr>
              <w:t xml:space="preserve">High (4)</w:t>
            </w:r>
          </w:p>
        </w:tc>
      </w:tr>
      <w:tr>
        <w:tc>
          <w:tcPr>
            <w:tcW w:type="pct" w:w="25%"/>
          </w:tcPr>
          <w:p>
            <w:r>
              <w:rPr>
                <w:rFonts w:ascii="Calibri" w:cs="Calibri" w:eastAsia="Calibri" w:hAnsi="Calibri"/>
                <w:color w:val="333333"/>
                <w:sz w:val="20"/>
                <w:szCs w:val="20"/>
              </w:rPr>
              <w:t xml:space="preserve">Software bug causing incorrect transactions</w:t>
            </w:r>
          </w:p>
        </w:tc>
        <w:tc>
          <w:tcPr>
            <w:tcW w:type="pct" w:w="25%"/>
          </w:tcPr>
          <w:p>
            <w:r>
              <w:rPr>
                <w:rFonts w:ascii="Calibri" w:cs="Calibri" w:eastAsia="Calibri" w:hAnsi="Calibri"/>
                <w:color w:val="333333"/>
                <w:sz w:val="20"/>
                <w:szCs w:val="20"/>
              </w:rPr>
              <w:t xml:space="preserve">Low</w:t>
            </w:r>
          </w:p>
        </w:tc>
        <w:tc>
          <w:tcPr>
            <w:tcW w:type="pct" w:w="25%"/>
          </w:tcPr>
          <w:p>
            <w:r>
              <w:rPr>
                <w:rFonts w:ascii="Calibri" w:cs="Calibri" w:eastAsia="Calibri" w:hAnsi="Calibri"/>
                <w:color w:val="333333"/>
                <w:sz w:val="20"/>
                <w:szCs w:val="20"/>
              </w:rPr>
              <w:t xml:space="preserve">Critical</w:t>
            </w:r>
          </w:p>
        </w:tc>
        <w:tc>
          <w:tcPr>
            <w:tcW w:type="pct" w:w="25%"/>
          </w:tcPr>
          <w:p>
            <w:r>
              <w:rPr>
                <w:rFonts w:ascii="Calibri" w:cs="Calibri" w:eastAsia="Calibri" w:hAnsi="Calibri"/>
                <w:color w:val="333333"/>
                <w:sz w:val="20"/>
                <w:szCs w:val="20"/>
              </w:rPr>
              <w:t xml:space="preserve">High (4)</w:t>
            </w:r>
          </w:p>
        </w:tc>
      </w:tr>
      <w:tr>
        <w:tc>
          <w:tcPr>
            <w:tcW w:type="pct" w:w="25%"/>
          </w:tcPr>
          <w:p>
            <w:r>
              <w:rPr>
                <w:rFonts w:ascii="Calibri" w:cs="Calibri" w:eastAsia="Calibri" w:hAnsi="Calibri"/>
                <w:color w:val="333333"/>
                <w:sz w:val="20"/>
                <w:szCs w:val="20"/>
              </w:rPr>
              <w:t xml:space="preserve">Loss of key personnel</w:t>
            </w:r>
          </w:p>
        </w:tc>
        <w:tc>
          <w:tcPr>
            <w:tcW w:type="pct" w:w="25%"/>
          </w:tcPr>
          <w:p>
            <w:r>
              <w:rPr>
                <w:rFonts w:ascii="Calibri" w:cs="Calibri" w:eastAsia="Calibri" w:hAnsi="Calibri"/>
                <w:color w:val="333333"/>
                <w:sz w:val="20"/>
                <w:szCs w:val="20"/>
              </w:rPr>
              <w:t xml:space="preserve">Medium</w:t>
            </w:r>
          </w:p>
        </w:tc>
        <w:tc>
          <w:tcPr>
            <w:tcW w:type="pct" w:w="25%"/>
          </w:tcPr>
          <w:p>
            <w:r>
              <w:rPr>
                <w:rFonts w:ascii="Calibri" w:cs="Calibri" w:eastAsia="Calibri" w:hAnsi="Calibri"/>
                <w:color w:val="333333"/>
                <w:sz w:val="20"/>
                <w:szCs w:val="20"/>
              </w:rPr>
              <w:t xml:space="preserve">Medium</w:t>
            </w:r>
          </w:p>
        </w:tc>
        <w:tc>
          <w:tcPr>
            <w:tcW w:type="pct" w:w="25%"/>
          </w:tcPr>
          <w:p>
            <w:r>
              <w:rPr>
                <w:rFonts w:ascii="Calibri" w:cs="Calibri" w:eastAsia="Calibri" w:hAnsi="Calibri"/>
                <w:color w:val="333333"/>
                <w:sz w:val="20"/>
                <w:szCs w:val="20"/>
              </w:rPr>
              <w:t xml:space="preserve">Medium (3)</w:t>
            </w:r>
          </w:p>
        </w:tc>
      </w:tr>
      <w:tr>
        <w:tc>
          <w:tcPr>
            <w:tcW w:type="pct" w:w="25%"/>
          </w:tcPr>
          <w:p>
            <w:r>
              <w:rPr>
                <w:rFonts w:ascii="Calibri" w:cs="Calibri" w:eastAsia="Calibri" w:hAnsi="Calibri"/>
                <w:color w:val="333333"/>
                <w:sz w:val="20"/>
                <w:szCs w:val="20"/>
              </w:rPr>
              <w:t xml:space="preserve">Third-party provider discontinuation</w:t>
            </w:r>
          </w:p>
        </w:tc>
        <w:tc>
          <w:tcPr>
            <w:tcW w:type="pct" w:w="25%"/>
          </w:tcPr>
          <w:p>
            <w:r>
              <w:rPr>
                <w:rFonts w:ascii="Calibri" w:cs="Calibri" w:eastAsia="Calibri" w:hAnsi="Calibri"/>
                <w:color w:val="333333"/>
                <w:sz w:val="20"/>
                <w:szCs w:val="20"/>
              </w:rPr>
              <w:t xml:space="preserve">Low</w:t>
            </w:r>
          </w:p>
        </w:tc>
        <w:tc>
          <w:tcPr>
            <w:tcW w:type="pct" w:w="25%"/>
          </w:tcPr>
          <w:p>
            <w:r>
              <w:rPr>
                <w:rFonts w:ascii="Calibri" w:cs="Calibri" w:eastAsia="Calibri" w:hAnsi="Calibri"/>
                <w:color w:val="333333"/>
                <w:sz w:val="20"/>
                <w:szCs w:val="20"/>
              </w:rPr>
              <w:t xml:space="preserve">High</w:t>
            </w:r>
          </w:p>
        </w:tc>
        <w:tc>
          <w:tcPr>
            <w:tcW w:type="pct" w:w="25%"/>
          </w:tcPr>
          <w:p>
            <w:r>
              <w:rPr>
                <w:rFonts w:ascii="Calibri" w:cs="Calibri" w:eastAsia="Calibri" w:hAnsi="Calibri"/>
                <w:color w:val="333333"/>
                <w:sz w:val="20"/>
                <w:szCs w:val="20"/>
              </w:rPr>
              <w:t xml:space="preserve">Medium (3)</w:t>
            </w:r>
          </w:p>
        </w:tc>
      </w:tr>
      <w:tr>
        <w:tc>
          <w:tcPr>
            <w:tcW w:type="pct" w:w="25%"/>
          </w:tcPr>
          <w:p>
            <w:r>
              <w:rPr>
                <w:rFonts w:ascii="Calibri" w:cs="Calibri" w:eastAsia="Calibri" w:hAnsi="Calibri"/>
                <w:color w:val="333333"/>
                <w:sz w:val="20"/>
                <w:szCs w:val="20"/>
              </w:rPr>
              <w:t xml:space="preserve">Human error in admin operations</w:t>
            </w:r>
          </w:p>
        </w:tc>
        <w:tc>
          <w:tcPr>
            <w:tcW w:type="pct" w:w="25%"/>
          </w:tcPr>
          <w:p>
            <w:r>
              <w:rPr>
                <w:rFonts w:ascii="Calibri" w:cs="Calibri" w:eastAsia="Calibri" w:hAnsi="Calibri"/>
                <w:color w:val="333333"/>
                <w:sz w:val="20"/>
                <w:szCs w:val="20"/>
              </w:rPr>
              <w:t xml:space="preserve">Medium</w:t>
            </w:r>
          </w:p>
        </w:tc>
        <w:tc>
          <w:tcPr>
            <w:tcW w:type="pct" w:w="25%"/>
          </w:tcPr>
          <w:p>
            <w:r>
              <w:rPr>
                <w:rFonts w:ascii="Calibri" w:cs="Calibri" w:eastAsia="Calibri" w:hAnsi="Calibri"/>
                <w:color w:val="333333"/>
                <w:sz w:val="20"/>
                <w:szCs w:val="20"/>
              </w:rPr>
              <w:t xml:space="preserve">Medium</w:t>
            </w:r>
          </w:p>
        </w:tc>
        <w:tc>
          <w:tcPr>
            <w:tcW w:type="pct" w:w="25%"/>
          </w:tcPr>
          <w:p>
            <w:r>
              <w:rPr>
                <w:rFonts w:ascii="Calibri" w:cs="Calibri" w:eastAsia="Calibri" w:hAnsi="Calibri"/>
                <w:color w:val="333333"/>
                <w:sz w:val="20"/>
                <w:szCs w:val="20"/>
              </w:rPr>
              <w:t xml:space="preserve">Medium (3)</w:t>
            </w:r>
          </w:p>
        </w:tc>
      </w:tr>
    </w:tbl>
    <w:p>
      <w:pPr>
        <w:spacing w:after="200"/>
      </w:pPr>
    </w:p>
    <w:p>
      <w:pPr>
        <w:pStyle w:val="Heading2"/>
        <w:spacing w:after="120" w:before="300"/>
      </w:pPr>
      <w:r>
        <w:rPr>
          <w:rFonts w:ascii="Calibri" w:cs="Calibri" w:eastAsia="Calibri" w:hAnsi="Calibri"/>
          <w:b/>
          <w:bCs/>
          <w:color w:val="0A6E3C"/>
          <w:sz w:val="26"/>
          <w:szCs w:val="26"/>
        </w:rPr>
        <w:t xml:space="preserve">5.3 Mitigation Controls</w:t>
      </w:r>
    </w:p>
    <w:p>
      <w:pPr>
        <w:pStyle w:val="ListParagraph"/>
        <w:numPr>
          <w:ilvl w:val="0"/>
          <w:numId w:val="1"/>
        </w:numPr>
        <w:spacing w:after="60"/>
      </w:pPr>
      <w:r>
        <w:rPr>
          <w:rFonts w:ascii="Calibri" w:cs="Calibri" w:eastAsia="Calibri" w:hAnsi="Calibri"/>
          <w:color w:val="333333"/>
          <w:sz w:val="22"/>
          <w:szCs w:val="22"/>
        </w:rPr>
        <w:t xml:space="preserve">Cloud infrastructure with 99.9% SLA (Supabase/AWS)</w:t>
      </w:r>
    </w:p>
    <w:p>
      <w:pPr>
        <w:pStyle w:val="ListParagraph"/>
        <w:numPr>
          <w:ilvl w:val="0"/>
          <w:numId w:val="1"/>
        </w:numPr>
        <w:spacing w:after="60"/>
      </w:pPr>
      <w:r>
        <w:rPr>
          <w:rFonts w:ascii="Calibri" w:cs="Calibri" w:eastAsia="Calibri" w:hAnsi="Calibri"/>
          <w:color w:val="333333"/>
          <w:sz w:val="22"/>
          <w:szCs w:val="22"/>
        </w:rPr>
        <w:t xml:space="preserve">Automated daily backups with point-in-time recovery</w:t>
      </w:r>
    </w:p>
    <w:p>
      <w:pPr>
        <w:pStyle w:val="ListParagraph"/>
        <w:numPr>
          <w:ilvl w:val="0"/>
          <w:numId w:val="1"/>
        </w:numPr>
        <w:spacing w:after="60"/>
      </w:pPr>
      <w:r>
        <w:rPr>
          <w:rFonts w:ascii="Calibri" w:cs="Calibri" w:eastAsia="Calibri" w:hAnsi="Calibri"/>
          <w:color w:val="333333"/>
          <w:sz w:val="22"/>
          <w:szCs w:val="22"/>
        </w:rPr>
        <w:t xml:space="preserve">Atomic database transactions preventing partial/incorrect settlements</w:t>
      </w:r>
    </w:p>
    <w:p>
      <w:pPr>
        <w:pStyle w:val="ListParagraph"/>
        <w:numPr>
          <w:ilvl w:val="0"/>
          <w:numId w:val="1"/>
        </w:numPr>
        <w:spacing w:after="60"/>
      </w:pPr>
      <w:r>
        <w:rPr>
          <w:rFonts w:ascii="Calibri" w:cs="Calibri" w:eastAsia="Calibri" w:hAnsi="Calibri"/>
          <w:color w:val="333333"/>
          <w:sz w:val="22"/>
          <w:szCs w:val="22"/>
        </w:rPr>
        <w:t xml:space="preserve">Non-negative balance constraints at the database level</w:t>
      </w:r>
    </w:p>
    <w:p>
      <w:pPr>
        <w:pStyle w:val="ListParagraph"/>
        <w:numPr>
          <w:ilvl w:val="0"/>
          <w:numId w:val="1"/>
        </w:numPr>
        <w:spacing w:after="60"/>
      </w:pPr>
      <w:r>
        <w:rPr>
          <w:rFonts w:ascii="Calibri" w:cs="Calibri" w:eastAsia="Calibri" w:hAnsi="Calibri"/>
          <w:color w:val="333333"/>
          <w:sz w:val="22"/>
          <w:szCs w:val="22"/>
        </w:rPr>
        <w:t xml:space="preserve">Immutable transaction records (insert-only) for audit trail</w:t>
      </w:r>
    </w:p>
    <w:p>
      <w:pPr>
        <w:pStyle w:val="ListParagraph"/>
        <w:numPr>
          <w:ilvl w:val="0"/>
          <w:numId w:val="1"/>
        </w:numPr>
        <w:spacing w:after="60"/>
      </w:pPr>
      <w:r>
        <w:rPr>
          <w:rFonts w:ascii="Calibri" w:cs="Calibri" w:eastAsia="Calibri" w:hAnsi="Calibri"/>
          <w:color w:val="333333"/>
          <w:sz w:val="22"/>
          <w:szCs w:val="22"/>
        </w:rPr>
        <w:t xml:space="preserve">Business Continuity and Disaster Recovery plan (Document 15)</w:t>
      </w:r>
    </w:p>
    <w:p>
      <w:pPr>
        <w:pStyle w:val="ListParagraph"/>
        <w:numPr>
          <w:ilvl w:val="0"/>
          <w:numId w:val="1"/>
        </w:numPr>
        <w:spacing w:after="60"/>
      </w:pPr>
      <w:r>
        <w:rPr>
          <w:rFonts w:ascii="Calibri" w:cs="Calibri" w:eastAsia="Calibri" w:hAnsi="Calibri"/>
          <w:color w:val="333333"/>
          <w:sz w:val="22"/>
          <w:szCs w:val="22"/>
        </w:rPr>
        <w:t xml:space="preserve">Graceful degradation: P2P and agent transactions continue if payment gateway is down</w:t>
      </w:r>
    </w:p>
    <w:p>
      <w:pPr>
        <w:pStyle w:val="ListParagraph"/>
        <w:numPr>
          <w:ilvl w:val="0"/>
          <w:numId w:val="1"/>
        </w:numPr>
        <w:spacing w:after="60"/>
      </w:pPr>
      <w:r>
        <w:rPr>
          <w:rFonts w:ascii="Calibri" w:cs="Calibri" w:eastAsia="Calibri" w:hAnsi="Calibri"/>
          <w:color w:val="333333"/>
          <w:sz w:val="22"/>
          <w:szCs w:val="22"/>
        </w:rPr>
        <w:t xml:space="preserve">Version-controlled code with testing before deployment</w:t>
      </w:r>
    </w:p>
    <w:p>
      <w:pPr>
        <w:pStyle w:val="ListParagraph"/>
        <w:numPr>
          <w:ilvl w:val="0"/>
          <w:numId w:val="1"/>
        </w:numPr>
        <w:spacing w:after="60"/>
      </w:pPr>
      <w:r>
        <w:rPr>
          <w:rFonts w:ascii="Calibri" w:cs="Calibri" w:eastAsia="Calibri" w:hAnsi="Calibri"/>
          <w:color w:val="333333"/>
          <w:sz w:val="22"/>
          <w:szCs w:val="22"/>
        </w:rPr>
        <w:t xml:space="preserve">Admin action logging and audit trail</w:t>
      </w:r>
    </w:p>
    <w:p>
      <w:pPr>
        <w:pStyle w:val="ListParagraph"/>
        <w:numPr>
          <w:ilvl w:val="0"/>
          <w:numId w:val="1"/>
        </w:numPr>
        <w:spacing w:after="60"/>
      </w:pPr>
      <w:r>
        <w:rPr>
          <w:rFonts w:ascii="Calibri" w:cs="Calibri" w:eastAsia="Calibri" w:hAnsi="Calibri"/>
          <w:color w:val="333333"/>
          <w:sz w:val="22"/>
          <w:szCs w:val="22"/>
        </w:rPr>
        <w:t xml:space="preserve">Cross-training of staff to reduce single-person dependencies</w:t>
      </w:r>
    </w:p>
    <w:p>
      <w:pPr>
        <w:pStyle w:val="ListParagraph"/>
        <w:numPr>
          <w:ilvl w:val="0"/>
          <w:numId w:val="1"/>
        </w:numPr>
        <w:spacing w:after="60"/>
      </w:pPr>
      <w:r>
        <w:rPr>
          <w:rFonts w:ascii="Calibri" w:cs="Calibri" w:eastAsia="Calibri" w:hAnsi="Calibri"/>
          <w:color w:val="333333"/>
          <w:sz w:val="22"/>
          <w:szCs w:val="22"/>
        </w:rPr>
        <w:t xml:space="preserve">Documented procedures for all critical operations</w:t>
      </w:r>
    </w:p>
    <w:p>
      <w:pPr>
        <w:pStyle w:val="Heading2"/>
        <w:spacing w:after="120" w:before="300"/>
      </w:pPr>
      <w:r>
        <w:rPr>
          <w:rFonts w:ascii="Calibri" w:cs="Calibri" w:eastAsia="Calibri" w:hAnsi="Calibri"/>
          <w:b/>
          <w:bCs/>
          <w:color w:val="0A6E3C"/>
          <w:sz w:val="26"/>
          <w:szCs w:val="26"/>
        </w:rPr>
        <w:t xml:space="preserve">5.4 Residual Risk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color="0A6E3C" w:val="solid"/>
          </w:tcPr>
          <w:p>
            <w:pPr>
              <w:jc w:val="center"/>
            </w:pPr>
            <w:r>
              <w:rPr>
                <w:rFonts w:ascii="Calibri" w:cs="Calibri" w:eastAsia="Calibri" w:hAnsi="Calibri"/>
                <w:b/>
                <w:bCs/>
                <w:color w:val="FFFFFF"/>
                <w:sz w:val="20"/>
                <w:szCs w:val="20"/>
              </w:rPr>
              <w:t xml:space="preserve">Risk</w:t>
            </w:r>
          </w:p>
        </w:tc>
        <w:tc>
          <w:tcPr>
            <w:tcW w:type="pct" w:w="50%"/>
            <w:shd w:color="0A6E3C" w:val="solid"/>
          </w:tcPr>
          <w:p>
            <w:pPr>
              <w:jc w:val="center"/>
            </w:pPr>
            <w:r>
              <w:rPr>
                <w:rFonts w:ascii="Calibri" w:cs="Calibri" w:eastAsia="Calibri" w:hAnsi="Calibri"/>
                <w:b/>
                <w:bCs/>
                <w:color w:val="FFFFFF"/>
                <w:sz w:val="20"/>
                <w:szCs w:val="20"/>
              </w:rPr>
              <w:t xml:space="preserve">Residual Rating</w:t>
            </w:r>
          </w:p>
        </w:tc>
      </w:tr>
      <w:tr>
        <w:tc>
          <w:tcPr>
            <w:tcW w:type="pct" w:w="50%"/>
          </w:tcPr>
          <w:p>
            <w:r>
              <w:rPr>
                <w:rFonts w:ascii="Calibri" w:cs="Calibri" w:eastAsia="Calibri" w:hAnsi="Calibri"/>
                <w:color w:val="333333"/>
                <w:sz w:val="20"/>
                <w:szCs w:val="20"/>
              </w:rPr>
              <w:t xml:space="preserve">System outage</w:t>
            </w:r>
          </w:p>
        </w:tc>
        <w:tc>
          <w:tcPr>
            <w:tcW w:type="pct" w:w="50%"/>
          </w:tcPr>
          <w:p>
            <w:r>
              <w:rPr>
                <w:rFonts w:ascii="Calibri" w:cs="Calibri" w:eastAsia="Calibri" w:hAnsi="Calibri"/>
                <w:color w:val="333333"/>
                <w:sz w:val="20"/>
                <w:szCs w:val="20"/>
              </w:rPr>
              <w:t xml:space="preserve">Low (2)</w:t>
            </w:r>
          </w:p>
        </w:tc>
      </w:tr>
      <w:tr>
        <w:tc>
          <w:tcPr>
            <w:tcW w:type="pct" w:w="50%"/>
          </w:tcPr>
          <w:p>
            <w:r>
              <w:rPr>
                <w:rFonts w:ascii="Calibri" w:cs="Calibri" w:eastAsia="Calibri" w:hAnsi="Calibri"/>
                <w:color w:val="333333"/>
                <w:sz w:val="20"/>
                <w:szCs w:val="20"/>
              </w:rPr>
              <w:t xml:space="preserve">Payment gateway outage</w:t>
            </w:r>
          </w:p>
        </w:tc>
        <w:tc>
          <w:tcPr>
            <w:tcW w:type="pct" w:w="50%"/>
          </w:tcPr>
          <w:p>
            <w:r>
              <w:rPr>
                <w:rFonts w:ascii="Calibri" w:cs="Calibri" w:eastAsia="Calibri" w:hAnsi="Calibri"/>
                <w:color w:val="333333"/>
                <w:sz w:val="20"/>
                <w:szCs w:val="20"/>
              </w:rPr>
              <w:t xml:space="preserve">Low-Medium (2-3)</w:t>
            </w:r>
          </w:p>
        </w:tc>
      </w:tr>
      <w:tr>
        <w:tc>
          <w:tcPr>
            <w:tcW w:type="pct" w:w="50%"/>
          </w:tcPr>
          <w:p>
            <w:r>
              <w:rPr>
                <w:rFonts w:ascii="Calibri" w:cs="Calibri" w:eastAsia="Calibri" w:hAnsi="Calibri"/>
                <w:color w:val="333333"/>
                <w:sz w:val="20"/>
                <w:szCs w:val="20"/>
              </w:rPr>
              <w:t xml:space="preserve">Software bug</w:t>
            </w:r>
          </w:p>
        </w:tc>
        <w:tc>
          <w:tcPr>
            <w:tcW w:type="pct" w:w="50%"/>
          </w:tcPr>
          <w:p>
            <w:r>
              <w:rPr>
                <w:rFonts w:ascii="Calibri" w:cs="Calibri" w:eastAsia="Calibri" w:hAnsi="Calibri"/>
                <w:color w:val="333333"/>
                <w:sz w:val="20"/>
                <w:szCs w:val="20"/>
              </w:rPr>
              <w:t xml:space="preserve">Low (2)</w:t>
            </w:r>
          </w:p>
        </w:tc>
      </w:tr>
      <w:tr>
        <w:tc>
          <w:tcPr>
            <w:tcW w:type="pct" w:w="50%"/>
          </w:tcPr>
          <w:p>
            <w:r>
              <w:rPr>
                <w:rFonts w:ascii="Calibri" w:cs="Calibri" w:eastAsia="Calibri" w:hAnsi="Calibri"/>
                <w:color w:val="333333"/>
                <w:sz w:val="20"/>
                <w:szCs w:val="20"/>
              </w:rPr>
              <w:t xml:space="preserve">Loss of key personnel</w:t>
            </w:r>
          </w:p>
        </w:tc>
        <w:tc>
          <w:tcPr>
            <w:tcW w:type="pct" w:w="50%"/>
          </w:tcPr>
          <w:p>
            <w:r>
              <w:rPr>
                <w:rFonts w:ascii="Calibri" w:cs="Calibri" w:eastAsia="Calibri" w:hAnsi="Calibri"/>
                <w:color w:val="333333"/>
                <w:sz w:val="20"/>
                <w:szCs w:val="20"/>
              </w:rPr>
              <w:t xml:space="preserve">Low-Medium (2-3)</w:t>
            </w:r>
          </w:p>
        </w:tc>
      </w:tr>
      <w:tr>
        <w:tc>
          <w:tcPr>
            <w:tcW w:type="pct" w:w="50%"/>
          </w:tcPr>
          <w:p>
            <w:r>
              <w:rPr>
                <w:rFonts w:ascii="Calibri" w:cs="Calibri" w:eastAsia="Calibri" w:hAnsi="Calibri"/>
                <w:color w:val="333333"/>
                <w:sz w:val="20"/>
                <w:szCs w:val="20"/>
              </w:rPr>
              <w:t xml:space="preserve">Provider discontinuation</w:t>
            </w:r>
          </w:p>
        </w:tc>
        <w:tc>
          <w:tcPr>
            <w:tcW w:type="pct" w:w="50%"/>
          </w:tcPr>
          <w:p>
            <w:r>
              <w:rPr>
                <w:rFonts w:ascii="Calibri" w:cs="Calibri" w:eastAsia="Calibri" w:hAnsi="Calibri"/>
                <w:color w:val="333333"/>
                <w:sz w:val="20"/>
                <w:szCs w:val="20"/>
              </w:rPr>
              <w:t xml:space="preserve">Low (2)</w:t>
            </w:r>
          </w:p>
        </w:tc>
      </w:tr>
      <w:tr>
        <w:tc>
          <w:tcPr>
            <w:tcW w:type="pct" w:w="50%"/>
          </w:tcPr>
          <w:p>
            <w:r>
              <w:rPr>
                <w:rFonts w:ascii="Calibri" w:cs="Calibri" w:eastAsia="Calibri" w:hAnsi="Calibri"/>
                <w:color w:val="333333"/>
                <w:sz w:val="20"/>
                <w:szCs w:val="20"/>
              </w:rPr>
              <w:t xml:space="preserve">Human error</w:t>
            </w:r>
          </w:p>
        </w:tc>
        <w:tc>
          <w:tcPr>
            <w:tcW w:type="pct" w:w="50%"/>
          </w:tcPr>
          <w:p>
            <w:r>
              <w:rPr>
                <w:rFonts w:ascii="Calibri" w:cs="Calibri" w:eastAsia="Calibri" w:hAnsi="Calibri"/>
                <w:color w:val="333333"/>
                <w:sz w:val="20"/>
                <w:szCs w:val="20"/>
              </w:rPr>
              <w:t xml:space="preserve">Low (2)</w:t>
            </w:r>
          </w:p>
        </w:tc>
      </w:tr>
    </w:tbl>
    <w:p>
      <w:pPr>
        <w:spacing w:after="200"/>
      </w:pPr>
    </w:p>
    <w:p>
      <w:r>
        <w:br w:type="page"/>
      </w:r>
    </w:p>
    <w:p>
      <w:pPr>
        <w:pStyle w:val="Heading1"/>
        <w:spacing w:after="120" w:before="300"/>
      </w:pPr>
      <w:r>
        <w:rPr>
          <w:rFonts w:ascii="Calibri" w:cs="Calibri" w:eastAsia="Calibri" w:hAnsi="Calibri"/>
          <w:b/>
          <w:bCs/>
          <w:color w:val="0A6E3C"/>
          <w:sz w:val="32"/>
          <w:szCs w:val="32"/>
        </w:rPr>
        <w:t xml:space="preserve">6. CREDIT RISK</w:t>
      </w:r>
    </w:p>
    <w:p>
      <w:pPr>
        <w:pStyle w:val="Heading2"/>
        <w:spacing w:after="120" w:before="300"/>
      </w:pPr>
      <w:r>
        <w:rPr>
          <w:rFonts w:ascii="Calibri" w:cs="Calibri" w:eastAsia="Calibri" w:hAnsi="Calibri"/>
          <w:b/>
          <w:bCs/>
          <w:color w:val="0A6E3C"/>
          <w:sz w:val="26"/>
          <w:szCs w:val="26"/>
        </w:rPr>
        <w:t xml:space="preserve">6.1 Risk Description</w:t>
      </w:r>
    </w:p>
    <w:p>
      <w:pPr>
        <w:spacing w:after="120" w:before="0"/>
        <w:jc w:val="both"/>
      </w:pPr>
      <w:r>
        <w:rPr>
          <w:rFonts w:ascii="Calibri" w:cs="Calibri" w:eastAsia="Calibri" w:hAnsi="Calibri"/>
          <w:b w:val="false"/>
          <w:bCs w:val="false"/>
          <w:i w:val="false"/>
          <w:iCs w:val="false"/>
          <w:color w:val="333333"/>
          <w:sz w:val="22"/>
          <w:szCs w:val="22"/>
        </w:rPr>
        <w:t xml:space="preserve">Credit risk is the risk that a counterparty fails to meet its financial obligations. In the Monde context, credit risk primarily arises from:</w:t>
      </w:r>
    </w:p>
    <w:p>
      <w:pPr>
        <w:pStyle w:val="ListParagraph"/>
        <w:numPr>
          <w:ilvl w:val="0"/>
          <w:numId w:val="1"/>
        </w:numPr>
        <w:spacing w:after="60"/>
      </w:pPr>
      <w:r>
        <w:rPr>
          <w:rFonts w:ascii="Calibri" w:cs="Calibri" w:eastAsia="Calibri" w:hAnsi="Calibri"/>
          <w:color w:val="333333"/>
          <w:sz w:val="22"/>
          <w:szCs w:val="22"/>
        </w:rPr>
        <w:t xml:space="preserve">Payment gateway (Lipila) failing to settle collected funds</w:t>
      </w:r>
    </w:p>
    <w:p>
      <w:pPr>
        <w:pStyle w:val="ListParagraph"/>
        <w:numPr>
          <w:ilvl w:val="0"/>
          <w:numId w:val="1"/>
        </w:numPr>
        <w:spacing w:after="60"/>
      </w:pPr>
      <w:r>
        <w:rPr>
          <w:rFonts w:ascii="Calibri" w:cs="Calibri" w:eastAsia="Calibri" w:hAnsi="Calibri"/>
          <w:color w:val="333333"/>
          <w:sz w:val="22"/>
          <w:szCs w:val="22"/>
        </w:rPr>
        <w:t xml:space="preserve">Agent float insufficiency</w:t>
      </w:r>
    </w:p>
    <w:p>
      <w:pPr>
        <w:pStyle w:val="ListParagraph"/>
        <w:numPr>
          <w:ilvl w:val="0"/>
          <w:numId w:val="1"/>
        </w:numPr>
        <w:spacing w:after="60"/>
      </w:pPr>
      <w:r>
        <w:rPr>
          <w:rFonts w:ascii="Calibri" w:cs="Calibri" w:eastAsia="Calibri" w:hAnsi="Calibri"/>
          <w:color w:val="333333"/>
          <w:sz w:val="22"/>
          <w:szCs w:val="22"/>
        </w:rPr>
        <w:t xml:space="preserve">Failed withdrawals where funds have been debited but not yet reversed</w:t>
      </w:r>
    </w:p>
    <w:p>
      <w:pPr>
        <w:pStyle w:val="Heading2"/>
        <w:spacing w:after="120" w:before="300"/>
      </w:pPr>
      <w:r>
        <w:rPr>
          <w:rFonts w:ascii="Calibri" w:cs="Calibri" w:eastAsia="Calibri" w:hAnsi="Calibri"/>
          <w:b/>
          <w:bCs/>
          <w:color w:val="0A6E3C"/>
          <w:sz w:val="26"/>
          <w:szCs w:val="26"/>
        </w:rPr>
        <w:t xml:space="preserve">6.2 Risk Assessment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color="0A6E3C" w:val="solid"/>
          </w:tcPr>
          <w:p>
            <w:pPr>
              <w:jc w:val="center"/>
            </w:pPr>
            <w:r>
              <w:rPr>
                <w:rFonts w:ascii="Calibri" w:cs="Calibri" w:eastAsia="Calibri" w:hAnsi="Calibri"/>
                <w:b/>
                <w:bCs/>
                <w:color w:val="FFFFFF"/>
                <w:sz w:val="20"/>
                <w:szCs w:val="20"/>
              </w:rPr>
              <w:t xml:space="preserve">Risk</w:t>
            </w:r>
          </w:p>
        </w:tc>
        <w:tc>
          <w:tcPr>
            <w:tcW w:type="pct" w:w="25%"/>
            <w:shd w:color="0A6E3C" w:val="solid"/>
          </w:tcPr>
          <w:p>
            <w:pPr>
              <w:jc w:val="center"/>
            </w:pPr>
            <w:r>
              <w:rPr>
                <w:rFonts w:ascii="Calibri" w:cs="Calibri" w:eastAsia="Calibri" w:hAnsi="Calibri"/>
                <w:b/>
                <w:bCs/>
                <w:color w:val="FFFFFF"/>
                <w:sz w:val="20"/>
                <w:szCs w:val="20"/>
              </w:rPr>
              <w:t xml:space="preserve">Likelihood</w:t>
            </w:r>
          </w:p>
        </w:tc>
        <w:tc>
          <w:tcPr>
            <w:tcW w:type="pct" w:w="25%"/>
            <w:shd w:color="0A6E3C" w:val="solid"/>
          </w:tcPr>
          <w:p>
            <w:pPr>
              <w:jc w:val="center"/>
            </w:pPr>
            <w:r>
              <w:rPr>
                <w:rFonts w:ascii="Calibri" w:cs="Calibri" w:eastAsia="Calibri" w:hAnsi="Calibri"/>
                <w:b/>
                <w:bCs/>
                <w:color w:val="FFFFFF"/>
                <w:sz w:val="20"/>
                <w:szCs w:val="20"/>
              </w:rPr>
              <w:t xml:space="preserve">Impact</w:t>
            </w:r>
          </w:p>
        </w:tc>
        <w:tc>
          <w:tcPr>
            <w:tcW w:type="pct" w:w="25%"/>
            <w:shd w:color="0A6E3C" w:val="solid"/>
          </w:tcPr>
          <w:p>
            <w:pPr>
              <w:jc w:val="center"/>
            </w:pPr>
            <w:r>
              <w:rPr>
                <w:rFonts w:ascii="Calibri" w:cs="Calibri" w:eastAsia="Calibri" w:hAnsi="Calibri"/>
                <w:b/>
                <w:bCs/>
                <w:color w:val="FFFFFF"/>
                <w:sz w:val="20"/>
                <w:szCs w:val="20"/>
              </w:rPr>
              <w:t xml:space="preserve">Inherent Rating</w:t>
            </w:r>
          </w:p>
        </w:tc>
      </w:tr>
      <w:tr>
        <w:tc>
          <w:tcPr>
            <w:tcW w:type="pct" w:w="25%"/>
          </w:tcPr>
          <w:p>
            <w:r>
              <w:rPr>
                <w:rFonts w:ascii="Calibri" w:cs="Calibri" w:eastAsia="Calibri" w:hAnsi="Calibri"/>
                <w:color w:val="333333"/>
                <w:sz w:val="20"/>
                <w:szCs w:val="20"/>
              </w:rPr>
              <w:t xml:space="preserve">Lipila settlement failure</w:t>
            </w:r>
          </w:p>
        </w:tc>
        <w:tc>
          <w:tcPr>
            <w:tcW w:type="pct" w:w="25%"/>
          </w:tcPr>
          <w:p>
            <w:r>
              <w:rPr>
                <w:rFonts w:ascii="Calibri" w:cs="Calibri" w:eastAsia="Calibri" w:hAnsi="Calibri"/>
                <w:color w:val="333333"/>
                <w:sz w:val="20"/>
                <w:szCs w:val="20"/>
              </w:rPr>
              <w:t xml:space="preserve">Low</w:t>
            </w:r>
          </w:p>
        </w:tc>
        <w:tc>
          <w:tcPr>
            <w:tcW w:type="pct" w:w="25%"/>
          </w:tcPr>
          <w:p>
            <w:r>
              <w:rPr>
                <w:rFonts w:ascii="Calibri" w:cs="Calibri" w:eastAsia="Calibri" w:hAnsi="Calibri"/>
                <w:color w:val="333333"/>
                <w:sz w:val="20"/>
                <w:szCs w:val="20"/>
              </w:rPr>
              <w:t xml:space="preserve">High</w:t>
            </w:r>
          </w:p>
        </w:tc>
        <w:tc>
          <w:tcPr>
            <w:tcW w:type="pct" w:w="25%"/>
          </w:tcPr>
          <w:p>
            <w:r>
              <w:rPr>
                <w:rFonts w:ascii="Calibri" w:cs="Calibri" w:eastAsia="Calibri" w:hAnsi="Calibri"/>
                <w:color w:val="333333"/>
                <w:sz w:val="20"/>
                <w:szCs w:val="20"/>
              </w:rPr>
              <w:t xml:space="preserve">Medium (3)</w:t>
            </w:r>
          </w:p>
        </w:tc>
      </w:tr>
      <w:tr>
        <w:tc>
          <w:tcPr>
            <w:tcW w:type="pct" w:w="25%"/>
          </w:tcPr>
          <w:p>
            <w:r>
              <w:rPr>
                <w:rFonts w:ascii="Calibri" w:cs="Calibri" w:eastAsia="Calibri" w:hAnsi="Calibri"/>
                <w:color w:val="333333"/>
                <w:sz w:val="20"/>
                <w:szCs w:val="20"/>
              </w:rPr>
              <w:t xml:space="preserve">Agent float depletion</w:t>
            </w:r>
          </w:p>
        </w:tc>
        <w:tc>
          <w:tcPr>
            <w:tcW w:type="pct" w:w="25%"/>
          </w:tcPr>
          <w:p>
            <w:r>
              <w:rPr>
                <w:rFonts w:ascii="Calibri" w:cs="Calibri" w:eastAsia="Calibri" w:hAnsi="Calibri"/>
                <w:color w:val="333333"/>
                <w:sz w:val="20"/>
                <w:szCs w:val="20"/>
              </w:rPr>
              <w:t xml:space="preserve">Medium</w:t>
            </w:r>
          </w:p>
        </w:tc>
        <w:tc>
          <w:tcPr>
            <w:tcW w:type="pct" w:w="25%"/>
          </w:tcPr>
          <w:p>
            <w:r>
              <w:rPr>
                <w:rFonts w:ascii="Calibri" w:cs="Calibri" w:eastAsia="Calibri" w:hAnsi="Calibri"/>
                <w:color w:val="333333"/>
                <w:sz w:val="20"/>
                <w:szCs w:val="20"/>
              </w:rPr>
              <w:t xml:space="preserve">Low</w:t>
            </w:r>
          </w:p>
        </w:tc>
        <w:tc>
          <w:tcPr>
            <w:tcW w:type="pct" w:w="25%"/>
          </w:tcPr>
          <w:p>
            <w:r>
              <w:rPr>
                <w:rFonts w:ascii="Calibri" w:cs="Calibri" w:eastAsia="Calibri" w:hAnsi="Calibri"/>
                <w:color w:val="333333"/>
                <w:sz w:val="20"/>
                <w:szCs w:val="20"/>
              </w:rPr>
              <w:t xml:space="preserve">Low (2)</w:t>
            </w:r>
          </w:p>
        </w:tc>
      </w:tr>
      <w:tr>
        <w:tc>
          <w:tcPr>
            <w:tcW w:type="pct" w:w="25%"/>
          </w:tcPr>
          <w:p>
            <w:r>
              <w:rPr>
                <w:rFonts w:ascii="Calibri" w:cs="Calibri" w:eastAsia="Calibri" w:hAnsi="Calibri"/>
                <w:color w:val="333333"/>
                <w:sz w:val="20"/>
                <w:szCs w:val="20"/>
              </w:rPr>
              <w:t xml:space="preserve">Customer overdraft (negative balance)</w:t>
            </w:r>
          </w:p>
        </w:tc>
        <w:tc>
          <w:tcPr>
            <w:tcW w:type="pct" w:w="25%"/>
          </w:tcPr>
          <w:p>
            <w:r>
              <w:rPr>
                <w:rFonts w:ascii="Calibri" w:cs="Calibri" w:eastAsia="Calibri" w:hAnsi="Calibri"/>
                <w:color w:val="333333"/>
                <w:sz w:val="20"/>
                <w:szCs w:val="20"/>
              </w:rPr>
              <w:t xml:space="preserve">Very Low</w:t>
            </w:r>
          </w:p>
        </w:tc>
        <w:tc>
          <w:tcPr>
            <w:tcW w:type="pct" w:w="25%"/>
          </w:tcPr>
          <w:p>
            <w:r>
              <w:rPr>
                <w:rFonts w:ascii="Calibri" w:cs="Calibri" w:eastAsia="Calibri" w:hAnsi="Calibri"/>
                <w:color w:val="333333"/>
                <w:sz w:val="20"/>
                <w:szCs w:val="20"/>
              </w:rPr>
              <w:t xml:space="preserve">Medium</w:t>
            </w:r>
          </w:p>
        </w:tc>
        <w:tc>
          <w:tcPr>
            <w:tcW w:type="pct" w:w="25%"/>
          </w:tcPr>
          <w:p>
            <w:r>
              <w:rPr>
                <w:rFonts w:ascii="Calibri" w:cs="Calibri" w:eastAsia="Calibri" w:hAnsi="Calibri"/>
                <w:color w:val="333333"/>
                <w:sz w:val="20"/>
                <w:szCs w:val="20"/>
              </w:rPr>
              <w:t xml:space="preserve">Low (2)</w:t>
            </w:r>
          </w:p>
        </w:tc>
      </w:tr>
    </w:tbl>
    <w:p>
      <w:pPr>
        <w:spacing w:after="200"/>
      </w:pPr>
    </w:p>
    <w:p>
      <w:pPr>
        <w:pStyle w:val="Heading2"/>
        <w:spacing w:after="120" w:before="300"/>
      </w:pPr>
      <w:r>
        <w:rPr>
          <w:rFonts w:ascii="Calibri" w:cs="Calibri" w:eastAsia="Calibri" w:hAnsi="Calibri"/>
          <w:b/>
          <w:bCs/>
          <w:color w:val="0A6E3C"/>
          <w:sz w:val="26"/>
          <w:szCs w:val="26"/>
        </w:rPr>
        <w:t xml:space="preserve">6.3 Mitigation Controls</w:t>
      </w:r>
    </w:p>
    <w:p>
      <w:pPr>
        <w:pStyle w:val="ListParagraph"/>
        <w:numPr>
          <w:ilvl w:val="0"/>
          <w:numId w:val="1"/>
        </w:numPr>
        <w:spacing w:after="60"/>
      </w:pPr>
      <w:r>
        <w:rPr>
          <w:rFonts w:ascii="Calibri" w:cs="Calibri" w:eastAsia="Calibri" w:hAnsi="Calibri"/>
          <w:color w:val="333333"/>
          <w:sz w:val="22"/>
          <w:szCs w:val="22"/>
        </w:rPr>
        <w:t xml:space="preserve">Pre-funded model: Monde wallet is pre-funded (top-up before spend). No credit is extended to customers.</w:t>
      </w:r>
    </w:p>
    <w:p>
      <w:pPr>
        <w:pStyle w:val="ListParagraph"/>
        <w:numPr>
          <w:ilvl w:val="0"/>
          <w:numId w:val="1"/>
        </w:numPr>
        <w:spacing w:after="60"/>
      </w:pPr>
      <w:r>
        <w:rPr>
          <w:rFonts w:ascii="Calibri" w:cs="Calibri" w:eastAsia="Calibri" w:hAnsi="Calibri"/>
          <w:color w:val="333333"/>
          <w:sz w:val="22"/>
          <w:szCs w:val="22"/>
        </w:rPr>
        <w:t xml:space="preserve">Non-negative balance constraint: Database constraint prevents any balance from going below zero</w:t>
      </w:r>
    </w:p>
    <w:p>
      <w:pPr>
        <w:pStyle w:val="ListParagraph"/>
        <w:numPr>
          <w:ilvl w:val="0"/>
          <w:numId w:val="1"/>
        </w:numPr>
        <w:spacing w:after="60"/>
      </w:pPr>
      <w:r>
        <w:rPr>
          <w:rFonts w:ascii="Calibri" w:cs="Calibri" w:eastAsia="Calibri" w:hAnsi="Calibri"/>
          <w:color w:val="333333"/>
          <w:sz w:val="22"/>
          <w:szCs w:val="22"/>
        </w:rPr>
        <w:t xml:space="preserve">Real-time balance checks: All transactions verify sufficient balance before processing</w:t>
      </w:r>
    </w:p>
    <w:p>
      <w:pPr>
        <w:pStyle w:val="ListParagraph"/>
        <w:numPr>
          <w:ilvl w:val="0"/>
          <w:numId w:val="1"/>
        </w:numPr>
        <w:spacing w:after="60"/>
      </w:pPr>
      <w:r>
        <w:rPr>
          <w:rFonts w:ascii="Calibri" w:cs="Calibri" w:eastAsia="Calibri" w:hAnsi="Calibri"/>
          <w:color w:val="333333"/>
          <w:sz w:val="22"/>
          <w:szCs w:val="22"/>
        </w:rPr>
        <w:t xml:space="preserve">Lipila is a licensed payment gateway regulated by the Bank of Zambia</w:t>
      </w:r>
    </w:p>
    <w:p>
      <w:pPr>
        <w:pStyle w:val="ListParagraph"/>
        <w:numPr>
          <w:ilvl w:val="0"/>
          <w:numId w:val="1"/>
        </w:numPr>
        <w:spacing w:after="60"/>
      </w:pPr>
      <w:r>
        <w:rPr>
          <w:rFonts w:ascii="Calibri" w:cs="Calibri" w:eastAsia="Calibri" w:hAnsi="Calibri"/>
          <w:color w:val="333333"/>
          <w:sz w:val="22"/>
          <w:szCs w:val="22"/>
        </w:rPr>
        <w:t xml:space="preserve">Daily reconciliation of Lipila settlements against internal records</w:t>
      </w:r>
    </w:p>
    <w:p>
      <w:pPr>
        <w:pStyle w:val="ListParagraph"/>
        <w:numPr>
          <w:ilvl w:val="0"/>
          <w:numId w:val="1"/>
        </w:numPr>
        <w:spacing w:after="60"/>
      </w:pPr>
      <w:r>
        <w:rPr>
          <w:rFonts w:ascii="Calibri" w:cs="Calibri" w:eastAsia="Calibri" w:hAnsi="Calibri"/>
          <w:color w:val="333333"/>
          <w:sz w:val="22"/>
          <w:szCs w:val="22"/>
        </w:rPr>
        <w:t xml:space="preserve">Automatic reversal of failed withdrawals (callback-triggered)</w:t>
      </w:r>
    </w:p>
    <w:p>
      <w:pPr>
        <w:pStyle w:val="ListParagraph"/>
        <w:numPr>
          <w:ilvl w:val="0"/>
          <w:numId w:val="1"/>
        </w:numPr>
        <w:spacing w:after="60"/>
      </w:pPr>
      <w:r>
        <w:rPr>
          <w:rFonts w:ascii="Calibri" w:cs="Calibri" w:eastAsia="Calibri" w:hAnsi="Calibri"/>
          <w:color w:val="333333"/>
          <w:sz w:val="22"/>
          <w:szCs w:val="22"/>
        </w:rPr>
        <w:t xml:space="preserve">Agent float is the agent own funds — agent deposits debit the agent balance, not Monde</w:t>
      </w:r>
    </w:p>
    <w:p>
      <w:pPr>
        <w:pStyle w:val="Heading2"/>
        <w:spacing w:after="120" w:before="300"/>
      </w:pPr>
      <w:r>
        <w:rPr>
          <w:rFonts w:ascii="Calibri" w:cs="Calibri" w:eastAsia="Calibri" w:hAnsi="Calibri"/>
          <w:b/>
          <w:bCs/>
          <w:color w:val="0A6E3C"/>
          <w:sz w:val="26"/>
          <w:szCs w:val="26"/>
        </w:rPr>
        <w:t xml:space="preserve">6.4 Residual Risk</w:t>
      </w:r>
    </w:p>
    <w:p>
      <w:pPr>
        <w:spacing w:after="120" w:before="0"/>
        <w:jc w:val="both"/>
      </w:pPr>
      <w:r>
        <w:rPr>
          <w:rFonts w:ascii="Calibri" w:cs="Calibri" w:eastAsia="Calibri" w:hAnsi="Calibri"/>
          <w:b w:val="false"/>
          <w:bCs w:val="false"/>
          <w:i w:val="false"/>
          <w:iCs w:val="false"/>
          <w:color w:val="333333"/>
          <w:sz w:val="22"/>
          <w:szCs w:val="22"/>
        </w:rPr>
        <w:t xml:space="preserve">Credit risk is inherently very low in the Monde model because it is a pre-funded (not credit) system. No user can spend more than their available balance. Residual rating: Very Low (1).</w:t>
      </w:r>
    </w:p>
    <w:p>
      <w:pPr>
        <w:pStyle w:val="Heading1"/>
        <w:spacing w:after="120" w:before="300"/>
      </w:pPr>
      <w:r>
        <w:rPr>
          <w:rFonts w:ascii="Calibri" w:cs="Calibri" w:eastAsia="Calibri" w:hAnsi="Calibri"/>
          <w:b/>
          <w:bCs/>
          <w:color w:val="0A6E3C"/>
          <w:sz w:val="32"/>
          <w:szCs w:val="32"/>
        </w:rPr>
        <w:t xml:space="preserve">7. LIQUIDITY RISK</w:t>
      </w:r>
    </w:p>
    <w:p>
      <w:pPr>
        <w:pStyle w:val="Heading2"/>
        <w:spacing w:after="120" w:before="300"/>
      </w:pPr>
      <w:r>
        <w:rPr>
          <w:rFonts w:ascii="Calibri" w:cs="Calibri" w:eastAsia="Calibri" w:hAnsi="Calibri"/>
          <w:b/>
          <w:bCs/>
          <w:color w:val="0A6E3C"/>
          <w:sz w:val="26"/>
          <w:szCs w:val="26"/>
        </w:rPr>
        <w:t xml:space="preserve">7.1 Risk Description</w:t>
      </w:r>
    </w:p>
    <w:p>
      <w:pPr>
        <w:spacing w:after="120" w:before="0"/>
        <w:jc w:val="both"/>
      </w:pPr>
      <w:r>
        <w:rPr>
          <w:rFonts w:ascii="Calibri" w:cs="Calibri" w:eastAsia="Calibri" w:hAnsi="Calibri"/>
          <w:b w:val="false"/>
          <w:bCs w:val="false"/>
          <w:i w:val="false"/>
          <w:iCs w:val="false"/>
          <w:color w:val="333333"/>
          <w:sz w:val="22"/>
          <w:szCs w:val="22"/>
        </w:rPr>
        <w:t xml:space="preserve">Liquidity risk is the risk that Monde cannot meet its financial obligations as they fall due, particularly the obligation to honour customer withdrawal requests.</w:t>
      </w:r>
    </w:p>
    <w:p>
      <w:pPr>
        <w:pStyle w:val="Heading2"/>
        <w:spacing w:after="120" w:before="300"/>
      </w:pPr>
      <w:r>
        <w:rPr>
          <w:rFonts w:ascii="Calibri" w:cs="Calibri" w:eastAsia="Calibri" w:hAnsi="Calibri"/>
          <w:b/>
          <w:bCs/>
          <w:color w:val="0A6E3C"/>
          <w:sz w:val="26"/>
          <w:szCs w:val="26"/>
        </w:rPr>
        <w:t xml:space="preserve">7.2 Risk Assessment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color="0A6E3C" w:val="solid"/>
          </w:tcPr>
          <w:p>
            <w:pPr>
              <w:jc w:val="center"/>
            </w:pPr>
            <w:r>
              <w:rPr>
                <w:rFonts w:ascii="Calibri" w:cs="Calibri" w:eastAsia="Calibri" w:hAnsi="Calibri"/>
                <w:b/>
                <w:bCs/>
                <w:color w:val="FFFFFF"/>
                <w:sz w:val="20"/>
                <w:szCs w:val="20"/>
              </w:rPr>
              <w:t xml:space="preserve">Risk</w:t>
            </w:r>
          </w:p>
        </w:tc>
        <w:tc>
          <w:tcPr>
            <w:tcW w:type="pct" w:w="25%"/>
            <w:shd w:color="0A6E3C" w:val="solid"/>
          </w:tcPr>
          <w:p>
            <w:pPr>
              <w:jc w:val="center"/>
            </w:pPr>
            <w:r>
              <w:rPr>
                <w:rFonts w:ascii="Calibri" w:cs="Calibri" w:eastAsia="Calibri" w:hAnsi="Calibri"/>
                <w:b/>
                <w:bCs/>
                <w:color w:val="FFFFFF"/>
                <w:sz w:val="20"/>
                <w:szCs w:val="20"/>
              </w:rPr>
              <w:t xml:space="preserve">Likelihood</w:t>
            </w:r>
          </w:p>
        </w:tc>
        <w:tc>
          <w:tcPr>
            <w:tcW w:type="pct" w:w="25%"/>
            <w:shd w:color="0A6E3C" w:val="solid"/>
          </w:tcPr>
          <w:p>
            <w:pPr>
              <w:jc w:val="center"/>
            </w:pPr>
            <w:r>
              <w:rPr>
                <w:rFonts w:ascii="Calibri" w:cs="Calibri" w:eastAsia="Calibri" w:hAnsi="Calibri"/>
                <w:b/>
                <w:bCs/>
                <w:color w:val="FFFFFF"/>
                <w:sz w:val="20"/>
                <w:szCs w:val="20"/>
              </w:rPr>
              <w:t xml:space="preserve">Impact</w:t>
            </w:r>
          </w:p>
        </w:tc>
        <w:tc>
          <w:tcPr>
            <w:tcW w:type="pct" w:w="25%"/>
            <w:shd w:color="0A6E3C" w:val="solid"/>
          </w:tcPr>
          <w:p>
            <w:pPr>
              <w:jc w:val="center"/>
            </w:pPr>
            <w:r>
              <w:rPr>
                <w:rFonts w:ascii="Calibri" w:cs="Calibri" w:eastAsia="Calibri" w:hAnsi="Calibri"/>
                <w:b/>
                <w:bCs/>
                <w:color w:val="FFFFFF"/>
                <w:sz w:val="20"/>
                <w:szCs w:val="20"/>
              </w:rPr>
              <w:t xml:space="preserve">Inherent Rating</w:t>
            </w:r>
          </w:p>
        </w:tc>
      </w:tr>
      <w:tr>
        <w:tc>
          <w:tcPr>
            <w:tcW w:type="pct" w:w="25%"/>
          </w:tcPr>
          <w:p>
            <w:r>
              <w:rPr>
                <w:rFonts w:ascii="Calibri" w:cs="Calibri" w:eastAsia="Calibri" w:hAnsi="Calibri"/>
                <w:color w:val="333333"/>
                <w:sz w:val="20"/>
                <w:szCs w:val="20"/>
              </w:rPr>
              <w:t xml:space="preserve">Inability to honour withdrawal requests</w:t>
            </w:r>
          </w:p>
        </w:tc>
        <w:tc>
          <w:tcPr>
            <w:tcW w:type="pct" w:w="25%"/>
          </w:tcPr>
          <w:p>
            <w:r>
              <w:rPr>
                <w:rFonts w:ascii="Calibri" w:cs="Calibri" w:eastAsia="Calibri" w:hAnsi="Calibri"/>
                <w:color w:val="333333"/>
                <w:sz w:val="20"/>
                <w:szCs w:val="20"/>
              </w:rPr>
              <w:t xml:space="preserve">Low</w:t>
            </w:r>
          </w:p>
        </w:tc>
        <w:tc>
          <w:tcPr>
            <w:tcW w:type="pct" w:w="25%"/>
          </w:tcPr>
          <w:p>
            <w:r>
              <w:rPr>
                <w:rFonts w:ascii="Calibri" w:cs="Calibri" w:eastAsia="Calibri" w:hAnsi="Calibri"/>
                <w:color w:val="333333"/>
                <w:sz w:val="20"/>
                <w:szCs w:val="20"/>
              </w:rPr>
              <w:t xml:space="preserve">Critical</w:t>
            </w:r>
          </w:p>
        </w:tc>
        <w:tc>
          <w:tcPr>
            <w:tcW w:type="pct" w:w="25%"/>
          </w:tcPr>
          <w:p>
            <w:r>
              <w:rPr>
                <w:rFonts w:ascii="Calibri" w:cs="Calibri" w:eastAsia="Calibri" w:hAnsi="Calibri"/>
                <w:color w:val="333333"/>
                <w:sz w:val="20"/>
                <w:szCs w:val="20"/>
              </w:rPr>
              <w:t xml:space="preserve">High (4)</w:t>
            </w:r>
          </w:p>
        </w:tc>
      </w:tr>
      <w:tr>
        <w:tc>
          <w:tcPr>
            <w:tcW w:type="pct" w:w="25%"/>
          </w:tcPr>
          <w:p>
            <w:r>
              <w:rPr>
                <w:rFonts w:ascii="Calibri" w:cs="Calibri" w:eastAsia="Calibri" w:hAnsi="Calibri"/>
                <w:color w:val="333333"/>
                <w:sz w:val="20"/>
                <w:szCs w:val="20"/>
              </w:rPr>
              <w:t xml:space="preserve">Trust account shortfall</w:t>
            </w:r>
          </w:p>
        </w:tc>
        <w:tc>
          <w:tcPr>
            <w:tcW w:type="pct" w:w="25%"/>
          </w:tcPr>
          <w:p>
            <w:r>
              <w:rPr>
                <w:rFonts w:ascii="Calibri" w:cs="Calibri" w:eastAsia="Calibri" w:hAnsi="Calibri"/>
                <w:color w:val="333333"/>
                <w:sz w:val="20"/>
                <w:szCs w:val="20"/>
              </w:rPr>
              <w:t xml:space="preserve">Very Low</w:t>
            </w:r>
          </w:p>
        </w:tc>
        <w:tc>
          <w:tcPr>
            <w:tcW w:type="pct" w:w="25%"/>
          </w:tcPr>
          <w:p>
            <w:r>
              <w:rPr>
                <w:rFonts w:ascii="Calibri" w:cs="Calibri" w:eastAsia="Calibri" w:hAnsi="Calibri"/>
                <w:color w:val="333333"/>
                <w:sz w:val="20"/>
                <w:szCs w:val="20"/>
              </w:rPr>
              <w:t xml:space="preserve">Critical</w:t>
            </w:r>
          </w:p>
        </w:tc>
        <w:tc>
          <w:tcPr>
            <w:tcW w:type="pct" w:w="25%"/>
          </w:tcPr>
          <w:p>
            <w:r>
              <w:rPr>
                <w:rFonts w:ascii="Calibri" w:cs="Calibri" w:eastAsia="Calibri" w:hAnsi="Calibri"/>
                <w:color w:val="333333"/>
                <w:sz w:val="20"/>
                <w:szCs w:val="20"/>
              </w:rPr>
              <w:t xml:space="preserve">Medium (3)</w:t>
            </w:r>
          </w:p>
        </w:tc>
      </w:tr>
      <w:tr>
        <w:tc>
          <w:tcPr>
            <w:tcW w:type="pct" w:w="25%"/>
          </w:tcPr>
          <w:p>
            <w:r>
              <w:rPr>
                <w:rFonts w:ascii="Calibri" w:cs="Calibri" w:eastAsia="Calibri" w:hAnsi="Calibri"/>
                <w:color w:val="333333"/>
                <w:sz w:val="20"/>
                <w:szCs w:val="20"/>
              </w:rPr>
              <w:t xml:space="preserve">Lipila settlement delay</w:t>
            </w:r>
          </w:p>
        </w:tc>
        <w:tc>
          <w:tcPr>
            <w:tcW w:type="pct" w:w="25%"/>
          </w:tcPr>
          <w:p>
            <w:r>
              <w:rPr>
                <w:rFonts w:ascii="Calibri" w:cs="Calibri" w:eastAsia="Calibri" w:hAnsi="Calibri"/>
                <w:color w:val="333333"/>
                <w:sz w:val="20"/>
                <w:szCs w:val="20"/>
              </w:rPr>
              <w:t xml:space="preserve">Low</w:t>
            </w:r>
          </w:p>
        </w:tc>
        <w:tc>
          <w:tcPr>
            <w:tcW w:type="pct" w:w="25%"/>
          </w:tcPr>
          <w:p>
            <w:r>
              <w:rPr>
                <w:rFonts w:ascii="Calibri" w:cs="Calibri" w:eastAsia="Calibri" w:hAnsi="Calibri"/>
                <w:color w:val="333333"/>
                <w:sz w:val="20"/>
                <w:szCs w:val="20"/>
              </w:rPr>
              <w:t xml:space="preserve">Medium</w:t>
            </w:r>
          </w:p>
        </w:tc>
        <w:tc>
          <w:tcPr>
            <w:tcW w:type="pct" w:w="25%"/>
          </w:tcPr>
          <w:p>
            <w:r>
              <w:rPr>
                <w:rFonts w:ascii="Calibri" w:cs="Calibri" w:eastAsia="Calibri" w:hAnsi="Calibri"/>
                <w:color w:val="333333"/>
                <w:sz w:val="20"/>
                <w:szCs w:val="20"/>
              </w:rPr>
              <w:t xml:space="preserve">Low (2)</w:t>
            </w:r>
          </w:p>
        </w:tc>
      </w:tr>
    </w:tbl>
    <w:p>
      <w:pPr>
        <w:spacing w:after="200"/>
      </w:pPr>
    </w:p>
    <w:p>
      <w:pPr>
        <w:pStyle w:val="Heading2"/>
        <w:spacing w:after="120" w:before="300"/>
      </w:pPr>
      <w:r>
        <w:rPr>
          <w:rFonts w:ascii="Calibri" w:cs="Calibri" w:eastAsia="Calibri" w:hAnsi="Calibri"/>
          <w:b/>
          <w:bCs/>
          <w:color w:val="0A6E3C"/>
          <w:sz w:val="26"/>
          <w:szCs w:val="26"/>
        </w:rPr>
        <w:t xml:space="preserve">7.3 Mitigation Controls</w:t>
      </w:r>
    </w:p>
    <w:p>
      <w:pPr>
        <w:pStyle w:val="ListParagraph"/>
        <w:numPr>
          <w:ilvl w:val="0"/>
          <w:numId w:val="1"/>
        </w:numPr>
        <w:spacing w:after="60"/>
      </w:pPr>
      <w:r>
        <w:rPr>
          <w:rFonts w:ascii="Calibri" w:cs="Calibri" w:eastAsia="Calibri" w:hAnsi="Calibri"/>
          <w:color w:val="333333"/>
          <w:sz w:val="22"/>
          <w:szCs w:val="22"/>
        </w:rPr>
        <w:t xml:space="preserve">Trust account segregation: Customer funds are held separately from operational funds and are always available</w:t>
      </w:r>
    </w:p>
    <w:p>
      <w:pPr>
        <w:pStyle w:val="ListParagraph"/>
        <w:numPr>
          <w:ilvl w:val="0"/>
          <w:numId w:val="1"/>
        </w:numPr>
        <w:spacing w:after="60"/>
      </w:pPr>
      <w:r>
        <w:rPr>
          <w:rFonts w:ascii="Calibri" w:cs="Calibri" w:eastAsia="Calibri" w:hAnsi="Calibri"/>
          <w:color w:val="333333"/>
          <w:sz w:val="22"/>
          <w:szCs w:val="22"/>
        </w:rPr>
        <w:t xml:space="preserve">1:1 backing: The trust account balance always equals or exceeds the sum of all customer wallet balances</w:t>
      </w:r>
    </w:p>
    <w:p>
      <w:pPr>
        <w:pStyle w:val="ListParagraph"/>
        <w:numPr>
          <w:ilvl w:val="0"/>
          <w:numId w:val="1"/>
        </w:numPr>
        <w:spacing w:after="60"/>
      </w:pPr>
      <w:r>
        <w:rPr>
          <w:rFonts w:ascii="Calibri" w:cs="Calibri" w:eastAsia="Calibri" w:hAnsi="Calibri"/>
          <w:color w:val="333333"/>
          <w:sz w:val="22"/>
          <w:szCs w:val="22"/>
        </w:rPr>
        <w:t xml:space="preserve">Daily reconciliation: Trust account balance verified against aggregate customer balances daily</w:t>
      </w:r>
    </w:p>
    <w:p>
      <w:pPr>
        <w:pStyle w:val="ListParagraph"/>
        <w:numPr>
          <w:ilvl w:val="0"/>
          <w:numId w:val="1"/>
        </w:numPr>
        <w:spacing w:after="60"/>
      </w:pPr>
      <w:r>
        <w:rPr>
          <w:rFonts w:ascii="Calibri" w:cs="Calibri" w:eastAsia="Calibri" w:hAnsi="Calibri"/>
          <w:color w:val="333333"/>
          <w:sz w:val="22"/>
          <w:szCs w:val="22"/>
        </w:rPr>
        <w:t xml:space="preserve">No use of customer funds for operations: Strict prohibition on using trust account for operational purposes</w:t>
      </w:r>
    </w:p>
    <w:p>
      <w:pPr>
        <w:pStyle w:val="ListParagraph"/>
        <w:numPr>
          <w:ilvl w:val="0"/>
          <w:numId w:val="1"/>
        </w:numPr>
        <w:spacing w:after="60"/>
      </w:pPr>
      <w:r>
        <w:rPr>
          <w:rFonts w:ascii="Calibri" w:cs="Calibri" w:eastAsia="Calibri" w:hAnsi="Calibri"/>
          <w:color w:val="333333"/>
          <w:sz w:val="22"/>
          <w:szCs w:val="22"/>
        </w:rPr>
        <w:t xml:space="preserve">Operational reserve: Monde maintains a minimum operational reserve for contingencies</w:t>
      </w:r>
    </w:p>
    <w:p>
      <w:pPr>
        <w:pStyle w:val="ListParagraph"/>
        <w:numPr>
          <w:ilvl w:val="0"/>
          <w:numId w:val="1"/>
        </w:numPr>
        <w:spacing w:after="60"/>
      </w:pPr>
      <w:r>
        <w:rPr>
          <w:rFonts w:ascii="Calibri" w:cs="Calibri" w:eastAsia="Calibri" w:hAnsi="Calibri"/>
          <w:color w:val="333333"/>
          <w:sz w:val="22"/>
          <w:szCs w:val="22"/>
        </w:rPr>
        <w:t xml:space="preserve">Pre-funded model: All value in the system has been funded through actual collections — no value is created ex nihilo</w:t>
      </w:r>
    </w:p>
    <w:p>
      <w:pPr>
        <w:pStyle w:val="Heading2"/>
        <w:spacing w:after="120" w:before="300"/>
      </w:pPr>
      <w:r>
        <w:rPr>
          <w:rFonts w:ascii="Calibri" w:cs="Calibri" w:eastAsia="Calibri" w:hAnsi="Calibri"/>
          <w:b/>
          <w:bCs/>
          <w:color w:val="0A6E3C"/>
          <w:sz w:val="26"/>
          <w:szCs w:val="26"/>
        </w:rPr>
        <w:t xml:space="preserve">7.4 Residual Risk</w:t>
      </w:r>
    </w:p>
    <w:p>
      <w:pPr>
        <w:spacing w:after="120" w:before="0"/>
        <w:jc w:val="both"/>
      </w:pPr>
      <w:r>
        <w:rPr>
          <w:rFonts w:ascii="Calibri" w:cs="Calibri" w:eastAsia="Calibri" w:hAnsi="Calibri"/>
          <w:b w:val="false"/>
          <w:bCs w:val="false"/>
          <w:i w:val="false"/>
          <w:iCs w:val="false"/>
          <w:color w:val="333333"/>
          <w:sz w:val="22"/>
          <w:szCs w:val="22"/>
        </w:rPr>
        <w:t xml:space="preserve">Liquidity risk is low because the system is fully pre-funded and customer funds are segregated. The trust account provides 1:1 backing for all customer balances. Residual rating: Low (2).</w:t>
      </w:r>
    </w:p>
    <w:p>
      <w:r>
        <w:br w:type="page"/>
      </w:r>
    </w:p>
    <w:p>
      <w:pPr>
        <w:pStyle w:val="Heading1"/>
        <w:spacing w:after="120" w:before="300"/>
      </w:pPr>
      <w:r>
        <w:rPr>
          <w:rFonts w:ascii="Calibri" w:cs="Calibri" w:eastAsia="Calibri" w:hAnsi="Calibri"/>
          <w:b/>
          <w:bCs/>
          <w:color w:val="0A6E3C"/>
          <w:sz w:val="32"/>
          <w:szCs w:val="32"/>
        </w:rPr>
        <w:t xml:space="preserve">8. MONEY LAUNDERING / TERRORISM FINANCING / PROLIFERATION RISK</w:t>
      </w:r>
    </w:p>
    <w:p>
      <w:pPr>
        <w:pStyle w:val="Heading2"/>
        <w:spacing w:after="120" w:before="300"/>
      </w:pPr>
      <w:r>
        <w:rPr>
          <w:rFonts w:ascii="Calibri" w:cs="Calibri" w:eastAsia="Calibri" w:hAnsi="Calibri"/>
          <w:b/>
          <w:bCs/>
          <w:color w:val="0A6E3C"/>
          <w:sz w:val="26"/>
          <w:szCs w:val="26"/>
        </w:rPr>
        <w:t xml:space="preserve">8.1 Risk Description</w:t>
      </w:r>
    </w:p>
    <w:p>
      <w:pPr>
        <w:spacing w:after="120" w:before="0"/>
        <w:jc w:val="both"/>
      </w:pPr>
      <w:r>
        <w:rPr>
          <w:rFonts w:ascii="Calibri" w:cs="Calibri" w:eastAsia="Calibri" w:hAnsi="Calibri"/>
          <w:b w:val="false"/>
          <w:bCs w:val="false"/>
          <w:i w:val="false"/>
          <w:iCs w:val="false"/>
          <w:color w:val="333333"/>
          <w:sz w:val="22"/>
          <w:szCs w:val="22"/>
        </w:rPr>
        <w:t xml:space="preserve">ML/TF/PF risk is the risk that the Monde platform is used to launder money, finance terrorism, or facilitate proliferation financing. As a digital payment system handling cash transactions through agents, Monde is exposed to structuring, layering, and other ML/TF techniques.</w:t>
      </w:r>
    </w:p>
    <w:p>
      <w:pPr>
        <w:pStyle w:val="Heading2"/>
        <w:spacing w:after="120" w:before="300"/>
      </w:pPr>
      <w:r>
        <w:rPr>
          <w:rFonts w:ascii="Calibri" w:cs="Calibri" w:eastAsia="Calibri" w:hAnsi="Calibri"/>
          <w:b/>
          <w:bCs/>
          <w:color w:val="0A6E3C"/>
          <w:sz w:val="26"/>
          <w:szCs w:val="26"/>
        </w:rPr>
        <w:t xml:space="preserve">8.2 Risk Assessment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color="0A6E3C" w:val="solid"/>
          </w:tcPr>
          <w:p>
            <w:pPr>
              <w:jc w:val="center"/>
            </w:pPr>
            <w:r>
              <w:rPr>
                <w:rFonts w:ascii="Calibri" w:cs="Calibri" w:eastAsia="Calibri" w:hAnsi="Calibri"/>
                <w:b/>
                <w:bCs/>
                <w:color w:val="FFFFFF"/>
                <w:sz w:val="20"/>
                <w:szCs w:val="20"/>
              </w:rPr>
              <w:t xml:space="preserve">Risk</w:t>
            </w:r>
          </w:p>
        </w:tc>
        <w:tc>
          <w:tcPr>
            <w:tcW w:type="pct" w:w="25%"/>
            <w:shd w:color="0A6E3C" w:val="solid"/>
          </w:tcPr>
          <w:p>
            <w:pPr>
              <w:jc w:val="center"/>
            </w:pPr>
            <w:r>
              <w:rPr>
                <w:rFonts w:ascii="Calibri" w:cs="Calibri" w:eastAsia="Calibri" w:hAnsi="Calibri"/>
                <w:b/>
                <w:bCs/>
                <w:color w:val="FFFFFF"/>
                <w:sz w:val="20"/>
                <w:szCs w:val="20"/>
              </w:rPr>
              <w:t xml:space="preserve">Likelihood</w:t>
            </w:r>
          </w:p>
        </w:tc>
        <w:tc>
          <w:tcPr>
            <w:tcW w:type="pct" w:w="25%"/>
            <w:shd w:color="0A6E3C" w:val="solid"/>
          </w:tcPr>
          <w:p>
            <w:pPr>
              <w:jc w:val="center"/>
            </w:pPr>
            <w:r>
              <w:rPr>
                <w:rFonts w:ascii="Calibri" w:cs="Calibri" w:eastAsia="Calibri" w:hAnsi="Calibri"/>
                <w:b/>
                <w:bCs/>
                <w:color w:val="FFFFFF"/>
                <w:sz w:val="20"/>
                <w:szCs w:val="20"/>
              </w:rPr>
              <w:t xml:space="preserve">Impact</w:t>
            </w:r>
          </w:p>
        </w:tc>
        <w:tc>
          <w:tcPr>
            <w:tcW w:type="pct" w:w="25%"/>
            <w:shd w:color="0A6E3C" w:val="solid"/>
          </w:tcPr>
          <w:p>
            <w:pPr>
              <w:jc w:val="center"/>
            </w:pPr>
            <w:r>
              <w:rPr>
                <w:rFonts w:ascii="Calibri" w:cs="Calibri" w:eastAsia="Calibri" w:hAnsi="Calibri"/>
                <w:b/>
                <w:bCs/>
                <w:color w:val="FFFFFF"/>
                <w:sz w:val="20"/>
                <w:szCs w:val="20"/>
              </w:rPr>
              <w:t xml:space="preserve">Inherent Rating</w:t>
            </w:r>
          </w:p>
        </w:tc>
      </w:tr>
      <w:tr>
        <w:tc>
          <w:tcPr>
            <w:tcW w:type="pct" w:w="25%"/>
          </w:tcPr>
          <w:p>
            <w:r>
              <w:rPr>
                <w:rFonts w:ascii="Calibri" w:cs="Calibri" w:eastAsia="Calibri" w:hAnsi="Calibri"/>
                <w:color w:val="333333"/>
                <w:sz w:val="20"/>
                <w:szCs w:val="20"/>
              </w:rPr>
              <w:t xml:space="preserve">Structuring (multiple small cash-in deposits)</w:t>
            </w:r>
          </w:p>
        </w:tc>
        <w:tc>
          <w:tcPr>
            <w:tcW w:type="pct" w:w="25%"/>
          </w:tcPr>
          <w:p>
            <w:r>
              <w:rPr>
                <w:rFonts w:ascii="Calibri" w:cs="Calibri" w:eastAsia="Calibri" w:hAnsi="Calibri"/>
                <w:color w:val="333333"/>
                <w:sz w:val="20"/>
                <w:szCs w:val="20"/>
              </w:rPr>
              <w:t xml:space="preserve">Medium</w:t>
            </w:r>
          </w:p>
        </w:tc>
        <w:tc>
          <w:tcPr>
            <w:tcW w:type="pct" w:w="25%"/>
          </w:tcPr>
          <w:p>
            <w:r>
              <w:rPr>
                <w:rFonts w:ascii="Calibri" w:cs="Calibri" w:eastAsia="Calibri" w:hAnsi="Calibri"/>
                <w:color w:val="333333"/>
                <w:sz w:val="20"/>
                <w:szCs w:val="20"/>
              </w:rPr>
              <w:t xml:space="preserve">High</w:t>
            </w:r>
          </w:p>
        </w:tc>
        <w:tc>
          <w:tcPr>
            <w:tcW w:type="pct" w:w="25%"/>
          </w:tcPr>
          <w:p>
            <w:r>
              <w:rPr>
                <w:rFonts w:ascii="Calibri" w:cs="Calibri" w:eastAsia="Calibri" w:hAnsi="Calibri"/>
                <w:color w:val="333333"/>
                <w:sz w:val="20"/>
                <w:szCs w:val="20"/>
              </w:rPr>
              <w:t xml:space="preserve">High (4)</w:t>
            </w:r>
          </w:p>
        </w:tc>
      </w:tr>
      <w:tr>
        <w:tc>
          <w:tcPr>
            <w:tcW w:type="pct" w:w="25%"/>
          </w:tcPr>
          <w:p>
            <w:r>
              <w:rPr>
                <w:rFonts w:ascii="Calibri" w:cs="Calibri" w:eastAsia="Calibri" w:hAnsi="Calibri"/>
                <w:color w:val="333333"/>
                <w:sz w:val="20"/>
                <w:szCs w:val="20"/>
              </w:rPr>
              <w:t xml:space="preserve">Layering (rapid P2P transfers to obscure source)</w:t>
            </w:r>
          </w:p>
        </w:tc>
        <w:tc>
          <w:tcPr>
            <w:tcW w:type="pct" w:w="25%"/>
          </w:tcPr>
          <w:p>
            <w:r>
              <w:rPr>
                <w:rFonts w:ascii="Calibri" w:cs="Calibri" w:eastAsia="Calibri" w:hAnsi="Calibri"/>
                <w:color w:val="333333"/>
                <w:sz w:val="20"/>
                <w:szCs w:val="20"/>
              </w:rPr>
              <w:t xml:space="preserve">Medium</w:t>
            </w:r>
          </w:p>
        </w:tc>
        <w:tc>
          <w:tcPr>
            <w:tcW w:type="pct" w:w="25%"/>
          </w:tcPr>
          <w:p>
            <w:r>
              <w:rPr>
                <w:rFonts w:ascii="Calibri" w:cs="Calibri" w:eastAsia="Calibri" w:hAnsi="Calibri"/>
                <w:color w:val="333333"/>
                <w:sz w:val="20"/>
                <w:szCs w:val="20"/>
              </w:rPr>
              <w:t xml:space="preserve">High</w:t>
            </w:r>
          </w:p>
        </w:tc>
        <w:tc>
          <w:tcPr>
            <w:tcW w:type="pct" w:w="25%"/>
          </w:tcPr>
          <w:p>
            <w:r>
              <w:rPr>
                <w:rFonts w:ascii="Calibri" w:cs="Calibri" w:eastAsia="Calibri" w:hAnsi="Calibri"/>
                <w:color w:val="333333"/>
                <w:sz w:val="20"/>
                <w:szCs w:val="20"/>
              </w:rPr>
              <w:t xml:space="preserve">High (4)</w:t>
            </w:r>
          </w:p>
        </w:tc>
      </w:tr>
      <w:tr>
        <w:tc>
          <w:tcPr>
            <w:tcW w:type="pct" w:w="25%"/>
          </w:tcPr>
          <w:p>
            <w:r>
              <w:rPr>
                <w:rFonts w:ascii="Calibri" w:cs="Calibri" w:eastAsia="Calibri" w:hAnsi="Calibri"/>
                <w:color w:val="333333"/>
                <w:sz w:val="20"/>
                <w:szCs w:val="20"/>
              </w:rPr>
              <w:t xml:space="preserve">Agent collusion in money laundering</w:t>
            </w:r>
          </w:p>
        </w:tc>
        <w:tc>
          <w:tcPr>
            <w:tcW w:type="pct" w:w="25%"/>
          </w:tcPr>
          <w:p>
            <w:r>
              <w:rPr>
                <w:rFonts w:ascii="Calibri" w:cs="Calibri" w:eastAsia="Calibri" w:hAnsi="Calibri"/>
                <w:color w:val="333333"/>
                <w:sz w:val="20"/>
                <w:szCs w:val="20"/>
              </w:rPr>
              <w:t xml:space="preserve">Low</w:t>
            </w:r>
          </w:p>
        </w:tc>
        <w:tc>
          <w:tcPr>
            <w:tcW w:type="pct" w:w="25%"/>
          </w:tcPr>
          <w:p>
            <w:r>
              <w:rPr>
                <w:rFonts w:ascii="Calibri" w:cs="Calibri" w:eastAsia="Calibri" w:hAnsi="Calibri"/>
                <w:color w:val="333333"/>
                <w:sz w:val="20"/>
                <w:szCs w:val="20"/>
              </w:rPr>
              <w:t xml:space="preserve">High</w:t>
            </w:r>
          </w:p>
        </w:tc>
        <w:tc>
          <w:tcPr>
            <w:tcW w:type="pct" w:w="25%"/>
          </w:tcPr>
          <w:p>
            <w:r>
              <w:rPr>
                <w:rFonts w:ascii="Calibri" w:cs="Calibri" w:eastAsia="Calibri" w:hAnsi="Calibri"/>
                <w:color w:val="333333"/>
                <w:sz w:val="20"/>
                <w:szCs w:val="20"/>
              </w:rPr>
              <w:t xml:space="preserve">Medium (3)</w:t>
            </w:r>
          </w:p>
        </w:tc>
      </w:tr>
      <w:tr>
        <w:tc>
          <w:tcPr>
            <w:tcW w:type="pct" w:w="25%"/>
          </w:tcPr>
          <w:p>
            <w:r>
              <w:rPr>
                <w:rFonts w:ascii="Calibri" w:cs="Calibri" w:eastAsia="Calibri" w:hAnsi="Calibri"/>
                <w:color w:val="333333"/>
                <w:sz w:val="20"/>
                <w:szCs w:val="20"/>
              </w:rPr>
              <w:t xml:space="preserve">Terrorist financing through P2P payments</w:t>
            </w:r>
          </w:p>
        </w:tc>
        <w:tc>
          <w:tcPr>
            <w:tcW w:type="pct" w:w="25%"/>
          </w:tcPr>
          <w:p>
            <w:r>
              <w:rPr>
                <w:rFonts w:ascii="Calibri" w:cs="Calibri" w:eastAsia="Calibri" w:hAnsi="Calibri"/>
                <w:color w:val="333333"/>
                <w:sz w:val="20"/>
                <w:szCs w:val="20"/>
              </w:rPr>
              <w:t xml:space="preserve">Low</w:t>
            </w:r>
          </w:p>
        </w:tc>
        <w:tc>
          <w:tcPr>
            <w:tcW w:type="pct" w:w="25%"/>
          </w:tcPr>
          <w:p>
            <w:r>
              <w:rPr>
                <w:rFonts w:ascii="Calibri" w:cs="Calibri" w:eastAsia="Calibri" w:hAnsi="Calibri"/>
                <w:color w:val="333333"/>
                <w:sz w:val="20"/>
                <w:szCs w:val="20"/>
              </w:rPr>
              <w:t xml:space="preserve">Critical</w:t>
            </w:r>
          </w:p>
        </w:tc>
        <w:tc>
          <w:tcPr>
            <w:tcW w:type="pct" w:w="25%"/>
          </w:tcPr>
          <w:p>
            <w:r>
              <w:rPr>
                <w:rFonts w:ascii="Calibri" w:cs="Calibri" w:eastAsia="Calibri" w:hAnsi="Calibri"/>
                <w:color w:val="333333"/>
                <w:sz w:val="20"/>
                <w:szCs w:val="20"/>
              </w:rPr>
              <w:t xml:space="preserve">High (4)</w:t>
            </w:r>
          </w:p>
        </w:tc>
      </w:tr>
      <w:tr>
        <w:tc>
          <w:tcPr>
            <w:tcW w:type="pct" w:w="25%"/>
          </w:tcPr>
          <w:p>
            <w:r>
              <w:rPr>
                <w:rFonts w:ascii="Calibri" w:cs="Calibri" w:eastAsia="Calibri" w:hAnsi="Calibri"/>
                <w:color w:val="333333"/>
                <w:sz w:val="20"/>
                <w:szCs w:val="20"/>
              </w:rPr>
              <w:t xml:space="preserve">Use of stolen/fake identities for accounts</w:t>
            </w:r>
          </w:p>
        </w:tc>
        <w:tc>
          <w:tcPr>
            <w:tcW w:type="pct" w:w="25%"/>
          </w:tcPr>
          <w:p>
            <w:r>
              <w:rPr>
                <w:rFonts w:ascii="Calibri" w:cs="Calibri" w:eastAsia="Calibri" w:hAnsi="Calibri"/>
                <w:color w:val="333333"/>
                <w:sz w:val="20"/>
                <w:szCs w:val="20"/>
              </w:rPr>
              <w:t xml:space="preserve">Medium</w:t>
            </w:r>
          </w:p>
        </w:tc>
        <w:tc>
          <w:tcPr>
            <w:tcW w:type="pct" w:w="25%"/>
          </w:tcPr>
          <w:p>
            <w:r>
              <w:rPr>
                <w:rFonts w:ascii="Calibri" w:cs="Calibri" w:eastAsia="Calibri" w:hAnsi="Calibri"/>
                <w:color w:val="333333"/>
                <w:sz w:val="20"/>
                <w:szCs w:val="20"/>
              </w:rPr>
              <w:t xml:space="preserve">High</w:t>
            </w:r>
          </w:p>
        </w:tc>
        <w:tc>
          <w:tcPr>
            <w:tcW w:type="pct" w:w="25%"/>
          </w:tcPr>
          <w:p>
            <w:r>
              <w:rPr>
                <w:rFonts w:ascii="Calibri" w:cs="Calibri" w:eastAsia="Calibri" w:hAnsi="Calibri"/>
                <w:color w:val="333333"/>
                <w:sz w:val="20"/>
                <w:szCs w:val="20"/>
              </w:rPr>
              <w:t xml:space="preserve">High (4)</w:t>
            </w:r>
          </w:p>
        </w:tc>
      </w:tr>
    </w:tbl>
    <w:p>
      <w:pPr>
        <w:spacing w:after="200"/>
      </w:pPr>
    </w:p>
    <w:p>
      <w:pPr>
        <w:pStyle w:val="Heading2"/>
        <w:spacing w:after="120" w:before="300"/>
      </w:pPr>
      <w:r>
        <w:rPr>
          <w:rFonts w:ascii="Calibri" w:cs="Calibri" w:eastAsia="Calibri" w:hAnsi="Calibri"/>
          <w:b/>
          <w:bCs/>
          <w:color w:val="0A6E3C"/>
          <w:sz w:val="26"/>
          <w:szCs w:val="26"/>
        </w:rPr>
        <w:t xml:space="preserve">8.3 Mitigation Controls</w:t>
      </w:r>
    </w:p>
    <w:p>
      <w:pPr>
        <w:pStyle w:val="ListParagraph"/>
        <w:numPr>
          <w:ilvl w:val="0"/>
          <w:numId w:val="1"/>
        </w:numPr>
        <w:spacing w:after="60"/>
      </w:pPr>
      <w:r>
        <w:rPr>
          <w:rFonts w:ascii="Calibri" w:cs="Calibri" w:eastAsia="Calibri" w:hAnsi="Calibri"/>
          <w:color w:val="333333"/>
          <w:sz w:val="22"/>
          <w:szCs w:val="22"/>
        </w:rPr>
        <w:t xml:space="preserve">Tiered KYC: Simplified KYC at registration; Standard/Enhanced KYC for higher tiers</w:t>
      </w:r>
    </w:p>
    <w:p>
      <w:pPr>
        <w:pStyle w:val="ListParagraph"/>
        <w:numPr>
          <w:ilvl w:val="0"/>
          <w:numId w:val="1"/>
        </w:numPr>
        <w:spacing w:after="60"/>
      </w:pPr>
      <w:r>
        <w:rPr>
          <w:rFonts w:ascii="Calibri" w:cs="Calibri" w:eastAsia="Calibri" w:hAnsi="Calibri"/>
          <w:color w:val="333333"/>
          <w:sz w:val="22"/>
          <w:szCs w:val="22"/>
        </w:rPr>
        <w:t xml:space="preserve">Phone OTP verification: Confirms SIM ownership at registration</w:t>
      </w:r>
    </w:p>
    <w:p>
      <w:pPr>
        <w:pStyle w:val="ListParagraph"/>
        <w:numPr>
          <w:ilvl w:val="0"/>
          <w:numId w:val="1"/>
        </w:numPr>
        <w:spacing w:after="60"/>
      </w:pPr>
      <w:r>
        <w:rPr>
          <w:rFonts w:ascii="Calibri" w:cs="Calibri" w:eastAsia="Calibri" w:hAnsi="Calibri"/>
          <w:color w:val="333333"/>
          <w:sz w:val="22"/>
          <w:szCs w:val="22"/>
        </w:rPr>
        <w:t xml:space="preserve">Account tier limits: Copper K100k balance/K20k daily, Gold K250k/K50k, Platinum K500k/K100k</w:t>
      </w:r>
    </w:p>
    <w:p>
      <w:pPr>
        <w:pStyle w:val="ListParagraph"/>
        <w:numPr>
          <w:ilvl w:val="0"/>
          <w:numId w:val="1"/>
        </w:numPr>
        <w:spacing w:after="60"/>
      </w:pPr>
      <w:r>
        <w:rPr>
          <w:rFonts w:ascii="Calibri" w:cs="Calibri" w:eastAsia="Calibri" w:hAnsi="Calibri"/>
          <w:color w:val="333333"/>
          <w:sz w:val="22"/>
          <w:szCs w:val="22"/>
        </w:rPr>
        <w:t xml:space="preserve">One account per phone number: Prevents multiple accounts for structuring</w:t>
      </w:r>
    </w:p>
    <w:p>
      <w:pPr>
        <w:pStyle w:val="ListParagraph"/>
        <w:numPr>
          <w:ilvl w:val="0"/>
          <w:numId w:val="1"/>
        </w:numPr>
        <w:spacing w:after="60"/>
      </w:pPr>
      <w:r>
        <w:rPr>
          <w:rFonts w:ascii="Calibri" w:cs="Calibri" w:eastAsia="Calibri" w:hAnsi="Calibri"/>
          <w:color w:val="333333"/>
          <w:sz w:val="22"/>
          <w:szCs w:val="22"/>
        </w:rPr>
        <w:t xml:space="preserve">Daily transaction limits: Enforced at database level per tier</w:t>
      </w:r>
    </w:p>
    <w:p>
      <w:pPr>
        <w:pStyle w:val="ListParagraph"/>
        <w:numPr>
          <w:ilvl w:val="0"/>
          <w:numId w:val="1"/>
        </w:numPr>
        <w:spacing w:after="60"/>
      </w:pPr>
      <w:r>
        <w:rPr>
          <w:rFonts w:ascii="Calibri" w:cs="Calibri" w:eastAsia="Calibri" w:hAnsi="Calibri"/>
          <w:color w:val="333333"/>
          <w:sz w:val="22"/>
          <w:szCs w:val="22"/>
        </w:rPr>
        <w:t xml:space="preserve">Velocity controls: Max 3 deposits/withdrawals per customer per agent per day</w:t>
      </w:r>
    </w:p>
    <w:p>
      <w:pPr>
        <w:pStyle w:val="ListParagraph"/>
        <w:numPr>
          <w:ilvl w:val="0"/>
          <w:numId w:val="1"/>
        </w:numPr>
        <w:spacing w:after="60"/>
      </w:pPr>
      <w:r>
        <w:rPr>
          <w:rFonts w:ascii="Calibri" w:cs="Calibri" w:eastAsia="Calibri" w:hAnsi="Calibri"/>
          <w:color w:val="333333"/>
          <w:sz w:val="22"/>
          <w:szCs w:val="22"/>
        </w:rPr>
        <w:t xml:space="preserve">Circular fraud detection: Cash-out blocked if same agent deposited to same customer in 24 hours</w:t>
      </w:r>
    </w:p>
    <w:p>
      <w:pPr>
        <w:pStyle w:val="ListParagraph"/>
        <w:numPr>
          <w:ilvl w:val="0"/>
          <w:numId w:val="1"/>
        </w:numPr>
        <w:spacing w:after="60"/>
      </w:pPr>
      <w:r>
        <w:rPr>
          <w:rFonts w:ascii="Calibri" w:cs="Calibri" w:eastAsia="Calibri" w:hAnsi="Calibri"/>
          <w:color w:val="333333"/>
          <w:sz w:val="22"/>
          <w:szCs w:val="22"/>
        </w:rPr>
        <w:t xml:space="preserve">Agent daily transfer cap: K50,000 for agent-to-agent transfers</w:t>
      </w:r>
    </w:p>
    <w:p>
      <w:pPr>
        <w:pStyle w:val="ListParagraph"/>
        <w:numPr>
          <w:ilvl w:val="0"/>
          <w:numId w:val="1"/>
        </w:numPr>
        <w:spacing w:after="60"/>
      </w:pPr>
      <w:r>
        <w:rPr>
          <w:rFonts w:ascii="Calibri" w:cs="Calibri" w:eastAsia="Calibri" w:hAnsi="Calibri"/>
          <w:color w:val="333333"/>
          <w:sz w:val="22"/>
          <w:szCs w:val="22"/>
        </w:rPr>
        <w:t xml:space="preserve">Account freezing: Immediate freeze capability for suspicious accounts</w:t>
      </w:r>
    </w:p>
    <w:p>
      <w:pPr>
        <w:pStyle w:val="ListParagraph"/>
        <w:numPr>
          <w:ilvl w:val="0"/>
          <w:numId w:val="1"/>
        </w:numPr>
        <w:spacing w:after="60"/>
      </w:pPr>
      <w:r>
        <w:rPr>
          <w:rFonts w:ascii="Calibri" w:cs="Calibri" w:eastAsia="Calibri" w:hAnsi="Calibri"/>
          <w:color w:val="333333"/>
          <w:sz w:val="22"/>
          <w:szCs w:val="22"/>
        </w:rPr>
        <w:t xml:space="preserve">Transaction monitoring: Automated monitoring with manual review for flagged activity</w:t>
      </w:r>
    </w:p>
    <w:p>
      <w:pPr>
        <w:pStyle w:val="ListParagraph"/>
        <w:numPr>
          <w:ilvl w:val="0"/>
          <w:numId w:val="1"/>
        </w:numPr>
        <w:spacing w:after="60"/>
      </w:pPr>
      <w:r>
        <w:rPr>
          <w:rFonts w:ascii="Calibri" w:cs="Calibri" w:eastAsia="Calibri" w:hAnsi="Calibri"/>
          <w:color w:val="333333"/>
          <w:sz w:val="22"/>
          <w:szCs w:val="22"/>
        </w:rPr>
        <w:t xml:space="preserve">STR filing: CCO/MLRO files Suspicious Transaction Reports with FIC as required</w:t>
      </w:r>
    </w:p>
    <w:p>
      <w:pPr>
        <w:pStyle w:val="ListParagraph"/>
        <w:numPr>
          <w:ilvl w:val="0"/>
          <w:numId w:val="1"/>
        </w:numPr>
        <w:spacing w:after="60"/>
      </w:pPr>
      <w:r>
        <w:rPr>
          <w:rFonts w:ascii="Calibri" w:cs="Calibri" w:eastAsia="Calibri" w:hAnsi="Calibri"/>
          <w:color w:val="333333"/>
          <w:sz w:val="22"/>
          <w:szCs w:val="22"/>
        </w:rPr>
        <w:t xml:space="preserve">Staff and agent AML/CFT training: Mandatory training programme</w:t>
      </w:r>
    </w:p>
    <w:p>
      <w:pPr>
        <w:pStyle w:val="ListParagraph"/>
        <w:numPr>
          <w:ilvl w:val="0"/>
          <w:numId w:val="1"/>
        </w:numPr>
        <w:spacing w:after="60"/>
      </w:pPr>
      <w:r>
        <w:rPr>
          <w:rFonts w:ascii="Calibri" w:cs="Calibri" w:eastAsia="Calibri" w:hAnsi="Calibri"/>
          <w:color w:val="333333"/>
          <w:sz w:val="22"/>
          <w:szCs w:val="22"/>
        </w:rPr>
        <w:t xml:space="preserve">Sanctions screening: For Gold/Platinum tier customers (planned)</w:t>
      </w:r>
    </w:p>
    <w:p>
      <w:pPr>
        <w:pStyle w:val="ListParagraph"/>
        <w:numPr>
          <w:ilvl w:val="0"/>
          <w:numId w:val="1"/>
        </w:numPr>
        <w:spacing w:after="60"/>
      </w:pPr>
      <w:r>
        <w:rPr>
          <w:rFonts w:ascii="Calibri" w:cs="Calibri" w:eastAsia="Calibri" w:hAnsi="Calibri"/>
          <w:color w:val="333333"/>
          <w:sz w:val="22"/>
          <w:szCs w:val="22"/>
        </w:rPr>
        <w:t xml:space="preserve">Comprehensive AML/CFT Policy: Document 07</w:t>
      </w:r>
    </w:p>
    <w:p>
      <w:pPr>
        <w:pStyle w:val="Heading2"/>
        <w:spacing w:after="120" w:before="300"/>
      </w:pPr>
      <w:r>
        <w:rPr>
          <w:rFonts w:ascii="Calibri" w:cs="Calibri" w:eastAsia="Calibri" w:hAnsi="Calibri"/>
          <w:b/>
          <w:bCs/>
          <w:color w:val="0A6E3C"/>
          <w:sz w:val="26"/>
          <w:szCs w:val="26"/>
        </w:rPr>
        <w:t xml:space="preserve">8.4 Residual Risk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color="0A6E3C" w:val="solid"/>
          </w:tcPr>
          <w:p>
            <w:pPr>
              <w:jc w:val="center"/>
            </w:pPr>
            <w:r>
              <w:rPr>
                <w:rFonts w:ascii="Calibri" w:cs="Calibri" w:eastAsia="Calibri" w:hAnsi="Calibri"/>
                <w:b/>
                <w:bCs/>
                <w:color w:val="FFFFFF"/>
                <w:sz w:val="20"/>
                <w:szCs w:val="20"/>
              </w:rPr>
              <w:t xml:space="preserve">Risk</w:t>
            </w:r>
          </w:p>
        </w:tc>
        <w:tc>
          <w:tcPr>
            <w:tcW w:type="pct" w:w="50%"/>
            <w:shd w:color="0A6E3C" w:val="solid"/>
          </w:tcPr>
          <w:p>
            <w:pPr>
              <w:jc w:val="center"/>
            </w:pPr>
            <w:r>
              <w:rPr>
                <w:rFonts w:ascii="Calibri" w:cs="Calibri" w:eastAsia="Calibri" w:hAnsi="Calibri"/>
                <w:b/>
                <w:bCs/>
                <w:color w:val="FFFFFF"/>
                <w:sz w:val="20"/>
                <w:szCs w:val="20"/>
              </w:rPr>
              <w:t xml:space="preserve">Residual Rating</w:t>
            </w:r>
          </w:p>
        </w:tc>
      </w:tr>
      <w:tr>
        <w:tc>
          <w:tcPr>
            <w:tcW w:type="pct" w:w="50%"/>
          </w:tcPr>
          <w:p>
            <w:r>
              <w:rPr>
                <w:rFonts w:ascii="Calibri" w:cs="Calibri" w:eastAsia="Calibri" w:hAnsi="Calibri"/>
                <w:color w:val="333333"/>
                <w:sz w:val="20"/>
                <w:szCs w:val="20"/>
              </w:rPr>
              <w:t xml:space="preserve">Structuring</w:t>
            </w:r>
          </w:p>
        </w:tc>
        <w:tc>
          <w:tcPr>
            <w:tcW w:type="pct" w:w="50%"/>
          </w:tcPr>
          <w:p>
            <w:r>
              <w:rPr>
                <w:rFonts w:ascii="Calibri" w:cs="Calibri" w:eastAsia="Calibri" w:hAnsi="Calibri"/>
                <w:color w:val="333333"/>
                <w:sz w:val="20"/>
                <w:szCs w:val="20"/>
              </w:rPr>
              <w:t xml:space="preserve">Low-Medium (2-3)</w:t>
            </w:r>
          </w:p>
        </w:tc>
      </w:tr>
      <w:tr>
        <w:tc>
          <w:tcPr>
            <w:tcW w:type="pct" w:w="50%"/>
          </w:tcPr>
          <w:p>
            <w:r>
              <w:rPr>
                <w:rFonts w:ascii="Calibri" w:cs="Calibri" w:eastAsia="Calibri" w:hAnsi="Calibri"/>
                <w:color w:val="333333"/>
                <w:sz w:val="20"/>
                <w:szCs w:val="20"/>
              </w:rPr>
              <w:t xml:space="preserve">Layering</w:t>
            </w:r>
          </w:p>
        </w:tc>
        <w:tc>
          <w:tcPr>
            <w:tcW w:type="pct" w:w="50%"/>
          </w:tcPr>
          <w:p>
            <w:r>
              <w:rPr>
                <w:rFonts w:ascii="Calibri" w:cs="Calibri" w:eastAsia="Calibri" w:hAnsi="Calibri"/>
                <w:color w:val="333333"/>
                <w:sz w:val="20"/>
                <w:szCs w:val="20"/>
              </w:rPr>
              <w:t xml:space="preserve">Low (2)</w:t>
            </w:r>
          </w:p>
        </w:tc>
      </w:tr>
      <w:tr>
        <w:tc>
          <w:tcPr>
            <w:tcW w:type="pct" w:w="50%"/>
          </w:tcPr>
          <w:p>
            <w:r>
              <w:rPr>
                <w:rFonts w:ascii="Calibri" w:cs="Calibri" w:eastAsia="Calibri" w:hAnsi="Calibri"/>
                <w:color w:val="333333"/>
                <w:sz w:val="20"/>
                <w:szCs w:val="20"/>
              </w:rPr>
              <w:t xml:space="preserve">Agent collusion</w:t>
            </w:r>
          </w:p>
        </w:tc>
        <w:tc>
          <w:tcPr>
            <w:tcW w:type="pct" w:w="50%"/>
          </w:tcPr>
          <w:p>
            <w:r>
              <w:rPr>
                <w:rFonts w:ascii="Calibri" w:cs="Calibri" w:eastAsia="Calibri" w:hAnsi="Calibri"/>
                <w:color w:val="333333"/>
                <w:sz w:val="20"/>
                <w:szCs w:val="20"/>
              </w:rPr>
              <w:t xml:space="preserve">Low (2)</w:t>
            </w:r>
          </w:p>
        </w:tc>
      </w:tr>
      <w:tr>
        <w:tc>
          <w:tcPr>
            <w:tcW w:type="pct" w:w="50%"/>
          </w:tcPr>
          <w:p>
            <w:r>
              <w:rPr>
                <w:rFonts w:ascii="Calibri" w:cs="Calibri" w:eastAsia="Calibri" w:hAnsi="Calibri"/>
                <w:color w:val="333333"/>
                <w:sz w:val="20"/>
                <w:szCs w:val="20"/>
              </w:rPr>
              <w:t xml:space="preserve">Terrorist financing</w:t>
            </w:r>
          </w:p>
        </w:tc>
        <w:tc>
          <w:tcPr>
            <w:tcW w:type="pct" w:w="50%"/>
          </w:tcPr>
          <w:p>
            <w:r>
              <w:rPr>
                <w:rFonts w:ascii="Calibri" w:cs="Calibri" w:eastAsia="Calibri" w:hAnsi="Calibri"/>
                <w:color w:val="333333"/>
                <w:sz w:val="20"/>
                <w:szCs w:val="20"/>
              </w:rPr>
              <w:t xml:space="preserve">Low (2)</w:t>
            </w:r>
          </w:p>
        </w:tc>
      </w:tr>
      <w:tr>
        <w:tc>
          <w:tcPr>
            <w:tcW w:type="pct" w:w="50%"/>
          </w:tcPr>
          <w:p>
            <w:r>
              <w:rPr>
                <w:rFonts w:ascii="Calibri" w:cs="Calibri" w:eastAsia="Calibri" w:hAnsi="Calibri"/>
                <w:color w:val="333333"/>
                <w:sz w:val="20"/>
                <w:szCs w:val="20"/>
              </w:rPr>
              <w:t xml:space="preserve">Stolen/fake identities</w:t>
            </w:r>
          </w:p>
        </w:tc>
        <w:tc>
          <w:tcPr>
            <w:tcW w:type="pct" w:w="50%"/>
          </w:tcPr>
          <w:p>
            <w:r>
              <w:rPr>
                <w:rFonts w:ascii="Calibri" w:cs="Calibri" w:eastAsia="Calibri" w:hAnsi="Calibri"/>
                <w:color w:val="333333"/>
                <w:sz w:val="20"/>
                <w:szCs w:val="20"/>
              </w:rPr>
              <w:t xml:space="preserve">Low-Medium (2-3)</w:t>
            </w:r>
          </w:p>
        </w:tc>
      </w:tr>
    </w:tbl>
    <w:p>
      <w:pPr>
        <w:spacing w:after="200"/>
      </w:pPr>
    </w:p>
    <w:p>
      <w:pPr>
        <w:pStyle w:val="Heading1"/>
        <w:spacing w:after="120" w:before="300"/>
      </w:pPr>
      <w:r>
        <w:rPr>
          <w:rFonts w:ascii="Calibri" w:cs="Calibri" w:eastAsia="Calibri" w:hAnsi="Calibri"/>
          <w:b/>
          <w:bCs/>
          <w:color w:val="0A6E3C"/>
          <w:sz w:val="32"/>
          <w:szCs w:val="32"/>
        </w:rPr>
        <w:t xml:space="preserve">9. ADDITIONAL RISKS</w:t>
      </w:r>
    </w:p>
    <w:p>
      <w:pPr>
        <w:pStyle w:val="Heading2"/>
        <w:spacing w:after="120" w:before="300"/>
      </w:pPr>
      <w:r>
        <w:rPr>
          <w:rFonts w:ascii="Calibri" w:cs="Calibri" w:eastAsia="Calibri" w:hAnsi="Calibri"/>
          <w:b/>
          <w:bCs/>
          <w:color w:val="0A6E3C"/>
          <w:sz w:val="26"/>
          <w:szCs w:val="26"/>
        </w:rPr>
        <w:t xml:space="preserve">9.1 Regulatory Risk</w:t>
      </w:r>
    </w:p>
    <w:p>
      <w:pPr>
        <w:spacing w:after="120" w:before="0"/>
        <w:jc w:val="both"/>
      </w:pPr>
      <w:r>
        <w:rPr>
          <w:rFonts w:ascii="Calibri" w:cs="Calibri" w:eastAsia="Calibri" w:hAnsi="Calibri"/>
          <w:b w:val="false"/>
          <w:bCs w:val="false"/>
          <w:i w:val="false"/>
          <w:iCs w:val="false"/>
          <w:color w:val="333333"/>
          <w:sz w:val="22"/>
          <w:szCs w:val="22"/>
        </w:rPr>
        <w:t xml:space="preserve">Risk: Changes in regulations that impact Monde operations or business model.</w:t>
      </w:r>
    </w:p>
    <w:p>
      <w:pPr>
        <w:spacing w:after="120" w:before="0"/>
        <w:jc w:val="both"/>
      </w:pPr>
      <w:r>
        <w:rPr>
          <w:rFonts w:ascii="Calibri" w:cs="Calibri" w:eastAsia="Calibri" w:hAnsi="Calibri"/>
          <w:b w:val="false"/>
          <w:bCs w:val="false"/>
          <w:i w:val="false"/>
          <w:iCs w:val="false"/>
          <w:color w:val="333333"/>
          <w:sz w:val="22"/>
          <w:szCs w:val="22"/>
        </w:rPr>
        <w:t xml:space="preserve">Mitigation: Active engagement with the Bank of Zambia; monitoring of regulatory developments; flexible technology architecture that can accommodate regulatory changes; dedicated CCO role.</w:t>
      </w:r>
    </w:p>
    <w:p>
      <w:pPr>
        <w:spacing w:after="120" w:before="0"/>
        <w:jc w:val="both"/>
      </w:pPr>
      <w:r>
        <w:rPr>
          <w:rFonts w:ascii="Calibri" w:cs="Calibri" w:eastAsia="Calibri" w:hAnsi="Calibri"/>
          <w:b w:val="false"/>
          <w:bCs w:val="false"/>
          <w:i w:val="false"/>
          <w:iCs w:val="false"/>
          <w:color w:val="333333"/>
          <w:sz w:val="22"/>
          <w:szCs w:val="22"/>
        </w:rPr>
        <w:t xml:space="preserve">Residual Rating: Low (2)</w:t>
      </w:r>
    </w:p>
    <w:p>
      <w:pPr>
        <w:pStyle w:val="Heading2"/>
        <w:spacing w:after="120" w:before="300"/>
      </w:pPr>
      <w:r>
        <w:rPr>
          <w:rFonts w:ascii="Calibri" w:cs="Calibri" w:eastAsia="Calibri" w:hAnsi="Calibri"/>
          <w:b/>
          <w:bCs/>
          <w:color w:val="0A6E3C"/>
          <w:sz w:val="26"/>
          <w:szCs w:val="26"/>
        </w:rPr>
        <w:t xml:space="preserve">9.2 Reputational Risk</w:t>
      </w:r>
    </w:p>
    <w:p>
      <w:pPr>
        <w:spacing w:after="120" w:before="0"/>
        <w:jc w:val="both"/>
      </w:pPr>
      <w:r>
        <w:rPr>
          <w:rFonts w:ascii="Calibri" w:cs="Calibri" w:eastAsia="Calibri" w:hAnsi="Calibri"/>
          <w:b w:val="false"/>
          <w:bCs w:val="false"/>
          <w:i w:val="false"/>
          <w:iCs w:val="false"/>
          <w:color w:val="333333"/>
          <w:sz w:val="22"/>
          <w:szCs w:val="22"/>
        </w:rPr>
        <w:t xml:space="preserve">Risk: Negative publicity from security incidents, service outages, or customer complaints.</w:t>
      </w:r>
    </w:p>
    <w:p>
      <w:pPr>
        <w:spacing w:after="120" w:before="0"/>
        <w:jc w:val="both"/>
      </w:pPr>
      <w:r>
        <w:rPr>
          <w:rFonts w:ascii="Calibri" w:cs="Calibri" w:eastAsia="Calibri" w:hAnsi="Calibri"/>
          <w:b w:val="false"/>
          <w:bCs w:val="false"/>
          <w:i w:val="false"/>
          <w:iCs w:val="false"/>
          <w:color w:val="333333"/>
          <w:sz w:val="22"/>
          <w:szCs w:val="22"/>
        </w:rPr>
        <w:t xml:space="preserve">Mitigation: Robust security controls; high availability infrastructure; responsive complaints handling; transparent communication with customers and regulators.</w:t>
      </w:r>
    </w:p>
    <w:p>
      <w:pPr>
        <w:spacing w:after="120" w:before="0"/>
        <w:jc w:val="both"/>
      </w:pPr>
      <w:r>
        <w:rPr>
          <w:rFonts w:ascii="Calibri" w:cs="Calibri" w:eastAsia="Calibri" w:hAnsi="Calibri"/>
          <w:b w:val="false"/>
          <w:bCs w:val="false"/>
          <w:i w:val="false"/>
          <w:iCs w:val="false"/>
          <w:color w:val="333333"/>
          <w:sz w:val="22"/>
          <w:szCs w:val="22"/>
        </w:rPr>
        <w:t xml:space="preserve">Residual Rating: Low-Medium (2-3)</w:t>
      </w:r>
    </w:p>
    <w:p>
      <w:pPr>
        <w:pStyle w:val="Heading2"/>
        <w:spacing w:after="120" w:before="300"/>
      </w:pPr>
      <w:r>
        <w:rPr>
          <w:rFonts w:ascii="Calibri" w:cs="Calibri" w:eastAsia="Calibri" w:hAnsi="Calibri"/>
          <w:b/>
          <w:bCs/>
          <w:color w:val="0A6E3C"/>
          <w:sz w:val="26"/>
          <w:szCs w:val="26"/>
        </w:rPr>
        <w:t xml:space="preserve">9.3 Strategic Risk</w:t>
      </w:r>
    </w:p>
    <w:p>
      <w:pPr>
        <w:spacing w:after="120" w:before="0"/>
        <w:jc w:val="both"/>
      </w:pPr>
      <w:r>
        <w:rPr>
          <w:rFonts w:ascii="Calibri" w:cs="Calibri" w:eastAsia="Calibri" w:hAnsi="Calibri"/>
          <w:b w:val="false"/>
          <w:bCs w:val="false"/>
          <w:i w:val="false"/>
          <w:iCs w:val="false"/>
          <w:color w:val="333333"/>
          <w:sz w:val="22"/>
          <w:szCs w:val="22"/>
        </w:rPr>
        <w:t xml:space="preserve">Risk: Failure to achieve business objectives due to competitive pressure or market changes.</w:t>
      </w:r>
    </w:p>
    <w:p>
      <w:pPr>
        <w:spacing w:after="120" w:before="0"/>
        <w:jc w:val="both"/>
      </w:pPr>
      <w:r>
        <w:rPr>
          <w:rFonts w:ascii="Calibri" w:cs="Calibri" w:eastAsia="Calibri" w:hAnsi="Calibri"/>
          <w:b w:val="false"/>
          <w:bCs w:val="false"/>
          <w:i w:val="false"/>
          <w:iCs w:val="false"/>
          <w:color w:val="333333"/>
          <w:sz w:val="22"/>
          <w:szCs w:val="22"/>
        </w:rPr>
        <w:t xml:space="preserve">Mitigation: Competitive pricing; modern user experience; continuous feature development; agent network as differentiation; regular market analysis.</w:t>
      </w:r>
    </w:p>
    <w:p>
      <w:pPr>
        <w:spacing w:after="120" w:before="0"/>
        <w:jc w:val="both"/>
      </w:pPr>
      <w:r>
        <w:rPr>
          <w:rFonts w:ascii="Calibri" w:cs="Calibri" w:eastAsia="Calibri" w:hAnsi="Calibri"/>
          <w:b w:val="false"/>
          <w:bCs w:val="false"/>
          <w:i w:val="false"/>
          <w:iCs w:val="false"/>
          <w:color w:val="333333"/>
          <w:sz w:val="22"/>
          <w:szCs w:val="22"/>
        </w:rPr>
        <w:t xml:space="preserve">Residual Rating: Medium (3)</w:t>
      </w:r>
    </w:p>
    <w:p>
      <w:pPr>
        <w:pStyle w:val="Heading1"/>
        <w:spacing w:after="120" w:before="300"/>
      </w:pPr>
      <w:r>
        <w:rPr>
          <w:rFonts w:ascii="Calibri" w:cs="Calibri" w:eastAsia="Calibri" w:hAnsi="Calibri"/>
          <w:b/>
          <w:bCs/>
          <w:color w:val="0A6E3C"/>
          <w:sz w:val="32"/>
          <w:szCs w:val="32"/>
        </w:rPr>
        <w:t xml:space="preserve">10. RISK MONITORING AND REPORTING</w:t>
      </w:r>
    </w:p>
    <w:p>
      <w:pPr>
        <w:pStyle w:val="ListParagraph"/>
        <w:numPr>
          <w:ilvl w:val="0"/>
          <w:numId w:val="1"/>
        </w:numPr>
        <w:spacing w:after="60"/>
      </w:pPr>
      <w:r>
        <w:rPr>
          <w:rFonts w:ascii="Calibri" w:cs="Calibri" w:eastAsia="Calibri" w:hAnsi="Calibri"/>
          <w:color w:val="333333"/>
          <w:sz w:val="22"/>
          <w:szCs w:val="22"/>
        </w:rPr>
        <w:t xml:space="preserve">Daily: Automated monitoring dashboards reviewed by CITO and operations team</w:t>
      </w:r>
    </w:p>
    <w:p>
      <w:pPr>
        <w:pStyle w:val="ListParagraph"/>
        <w:numPr>
          <w:ilvl w:val="0"/>
          <w:numId w:val="1"/>
        </w:numPr>
        <w:spacing w:after="60"/>
      </w:pPr>
      <w:r>
        <w:rPr>
          <w:rFonts w:ascii="Calibri" w:cs="Calibri" w:eastAsia="Calibri" w:hAnsi="Calibri"/>
          <w:color w:val="333333"/>
          <w:sz w:val="22"/>
          <w:szCs w:val="22"/>
        </w:rPr>
        <w:t xml:space="preserve">Weekly: Risk summary report to CEO covering operational incidents and resolved items</w:t>
      </w:r>
    </w:p>
    <w:p>
      <w:pPr>
        <w:pStyle w:val="ListParagraph"/>
        <w:numPr>
          <w:ilvl w:val="0"/>
          <w:numId w:val="1"/>
        </w:numPr>
        <w:spacing w:after="60"/>
      </w:pPr>
      <w:r>
        <w:rPr>
          <w:rFonts w:ascii="Calibri" w:cs="Calibri" w:eastAsia="Calibri" w:hAnsi="Calibri"/>
          <w:color w:val="333333"/>
          <w:sz w:val="22"/>
          <w:szCs w:val="22"/>
        </w:rPr>
        <w:t xml:space="preserve">Monthly: Comprehensive risk report to senior management</w:t>
      </w:r>
    </w:p>
    <w:p>
      <w:pPr>
        <w:pStyle w:val="ListParagraph"/>
        <w:numPr>
          <w:ilvl w:val="0"/>
          <w:numId w:val="1"/>
        </w:numPr>
        <w:spacing w:after="60"/>
      </w:pPr>
      <w:r>
        <w:rPr>
          <w:rFonts w:ascii="Calibri" w:cs="Calibri" w:eastAsia="Calibri" w:hAnsi="Calibri"/>
          <w:color w:val="333333"/>
          <w:sz w:val="22"/>
          <w:szCs w:val="22"/>
        </w:rPr>
        <w:t xml:space="preserve">Quarterly: Board risk report covering all risk categories, incident trends, and control effectiveness</w:t>
      </w:r>
    </w:p>
    <w:p>
      <w:pPr>
        <w:pStyle w:val="ListParagraph"/>
        <w:numPr>
          <w:ilvl w:val="0"/>
          <w:numId w:val="1"/>
        </w:numPr>
        <w:spacing w:after="60"/>
      </w:pPr>
      <w:r>
        <w:rPr>
          <w:rFonts w:ascii="Calibri" w:cs="Calibri" w:eastAsia="Calibri" w:hAnsi="Calibri"/>
          <w:color w:val="333333"/>
          <w:sz w:val="22"/>
          <w:szCs w:val="22"/>
        </w:rPr>
        <w:t xml:space="preserve">Annual: Full risk assessment review and framework update</w:t>
      </w:r>
    </w:p>
    <w:p>
      <w:pPr>
        <w:pStyle w:val="ListParagraph"/>
        <w:numPr>
          <w:ilvl w:val="0"/>
          <w:numId w:val="1"/>
        </w:numPr>
        <w:spacing w:after="60"/>
      </w:pPr>
      <w:r>
        <w:rPr>
          <w:rFonts w:ascii="Calibri" w:cs="Calibri" w:eastAsia="Calibri" w:hAnsi="Calibri"/>
          <w:color w:val="333333"/>
          <w:sz w:val="22"/>
          <w:szCs w:val="22"/>
        </w:rPr>
        <w:t xml:space="preserve">Ad-hoc: Immediate escalation of Critical (P1) risks to CEO and Board</w:t>
      </w:r>
    </w:p>
    <w:p>
      <w:pPr>
        <w:pStyle w:val="Heading1"/>
        <w:spacing w:after="120" w:before="300"/>
      </w:pPr>
      <w:r>
        <w:rPr>
          <w:rFonts w:ascii="Calibri" w:cs="Calibri" w:eastAsia="Calibri" w:hAnsi="Calibri"/>
          <w:b/>
          <w:bCs/>
          <w:color w:val="0A6E3C"/>
          <w:sz w:val="32"/>
          <w:szCs w:val="32"/>
        </w:rPr>
        <w:t xml:space="preserve">11. FRAMEWORK REVIEW</w:t>
      </w:r>
    </w:p>
    <w:p>
      <w:pPr>
        <w:spacing w:after="120" w:before="0"/>
        <w:jc w:val="both"/>
      </w:pPr>
      <w:r>
        <w:rPr>
          <w:rFonts w:ascii="Calibri" w:cs="Calibri" w:eastAsia="Calibri" w:hAnsi="Calibri"/>
          <w:b w:val="false"/>
          <w:bCs w:val="false"/>
          <w:i w:val="false"/>
          <w:iCs w:val="false"/>
          <w:color w:val="333333"/>
          <w:sz w:val="22"/>
          <w:szCs w:val="22"/>
        </w:rPr>
        <w:t xml:space="preserve">This Risk Management Framework shall be reviewed:</w:t>
      </w:r>
    </w:p>
    <w:p>
      <w:pPr>
        <w:pStyle w:val="ListParagraph"/>
        <w:numPr>
          <w:ilvl w:val="0"/>
          <w:numId w:val="1"/>
        </w:numPr>
        <w:spacing w:after="60"/>
      </w:pPr>
      <w:r>
        <w:rPr>
          <w:rFonts w:ascii="Calibri" w:cs="Calibri" w:eastAsia="Calibri" w:hAnsi="Calibri"/>
          <w:color w:val="333333"/>
          <w:sz w:val="22"/>
          <w:szCs w:val="22"/>
        </w:rPr>
        <w:t xml:space="preserve">Annually by the Board of Directors</w:t>
      </w:r>
    </w:p>
    <w:p>
      <w:pPr>
        <w:pStyle w:val="ListParagraph"/>
        <w:numPr>
          <w:ilvl w:val="0"/>
          <w:numId w:val="1"/>
        </w:numPr>
        <w:spacing w:after="60"/>
      </w:pPr>
      <w:r>
        <w:rPr>
          <w:rFonts w:ascii="Calibri" w:cs="Calibri" w:eastAsia="Calibri" w:hAnsi="Calibri"/>
          <w:color w:val="333333"/>
          <w:sz w:val="22"/>
          <w:szCs w:val="22"/>
        </w:rPr>
        <w:t xml:space="preserve">Following any material risk event or near-miss</w:t>
      </w:r>
    </w:p>
    <w:p>
      <w:pPr>
        <w:pStyle w:val="ListParagraph"/>
        <w:numPr>
          <w:ilvl w:val="0"/>
          <w:numId w:val="1"/>
        </w:numPr>
        <w:spacing w:after="60"/>
      </w:pPr>
      <w:r>
        <w:rPr>
          <w:rFonts w:ascii="Calibri" w:cs="Calibri" w:eastAsia="Calibri" w:hAnsi="Calibri"/>
          <w:color w:val="333333"/>
          <w:sz w:val="22"/>
          <w:szCs w:val="22"/>
        </w:rPr>
        <w:t xml:space="preserve">When significant changes are made to products, services, or infrastructure</w:t>
      </w:r>
    </w:p>
    <w:p>
      <w:pPr>
        <w:pStyle w:val="ListParagraph"/>
        <w:numPr>
          <w:ilvl w:val="0"/>
          <w:numId w:val="1"/>
        </w:numPr>
        <w:spacing w:after="60"/>
      </w:pPr>
      <w:r>
        <w:rPr>
          <w:rFonts w:ascii="Calibri" w:cs="Calibri" w:eastAsia="Calibri" w:hAnsi="Calibri"/>
          <w:color w:val="333333"/>
          <w:sz w:val="22"/>
          <w:szCs w:val="22"/>
        </w:rPr>
        <w:t xml:space="preserve">When new regulatory requirements are introduced</w:t>
      </w:r>
    </w:p>
    <w:p>
      <w:pPr>
        <w:pStyle w:val="ListParagraph"/>
        <w:numPr>
          <w:ilvl w:val="0"/>
          <w:numId w:val="1"/>
        </w:numPr>
        <w:spacing w:after="60"/>
      </w:pPr>
      <w:r>
        <w:rPr>
          <w:rFonts w:ascii="Calibri" w:cs="Calibri" w:eastAsia="Calibri" w:hAnsi="Calibri"/>
          <w:color w:val="333333"/>
          <w:sz w:val="22"/>
          <w:szCs w:val="22"/>
        </w:rPr>
        <w:t xml:space="preserve">The CITO is responsible for maintaining the technology risk register; the CCO for compliance risks; and the CFO for financial risks. The CEO ensures cross-functional coordination.</w:t>
      </w:r>
    </w:p>
    <w:sectPr>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2026-03-20T08:58:56.586Z</dcterms:created>
  <dcterms:modified xsi:type="dcterms:W3CDTF">2026-03-20T08:58:56.587Z</dcterms:modified>
</cp:coreProperties>
</file>

<file path=docProps/custom.xml><?xml version="1.0" encoding="utf-8"?>
<Properties xmlns="http://schemas.openxmlformats.org/officeDocument/2006/custom-properties" xmlns:vt="http://schemas.openxmlformats.org/officeDocument/2006/docPropsVTypes"/>
</file>