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before="0"/>
        <w:jc w:val="center"/>
      </w:pPr>
      <w:r>
        <w:rPr>
          <w:rFonts w:ascii="Calibri" w:cs="Calibri" w:eastAsia="Calibri" w:hAnsi="Calibri"/>
          <w:b/>
          <w:bCs/>
          <w:color w:val="0A6E3C"/>
          <w:sz w:val="72"/>
          <w:szCs w:val="72"/>
        </w:rPr>
        <w:t xml:space="preserve">MONDE</w:t>
      </w:r>
    </w:p>
    <w:p>
      <w:pPr>
        <w:spacing w:after="200" w:before="0"/>
        <w:jc w:val="center"/>
      </w:pPr>
      <w:r>
        <w:rPr>
          <w:rFonts w:ascii="Calibri" w:cs="Calibri" w:eastAsia="Calibri" w:hAnsi="Calibri"/>
          <w:b/>
          <w:bCs/>
          <w:color w:val="666666"/>
          <w:sz w:val="36"/>
          <w:szCs w:val="36"/>
        </w:rPr>
        <w:t xml:space="preserve">Digital Payment System</w:t>
      </w:r>
    </w:p>
    <w:p>
      <w:pPr>
        <w:spacing w:after="400"/>
      </w:pPr>
    </w:p>
    <w:p>
      <w:pPr>
        <w:spacing w:after="200" w:before="0"/>
        <w:jc w:val="center"/>
      </w:pPr>
      <w:r>
        <w:rPr>
          <w:rFonts w:ascii="Calibri" w:cs="Calibri" w:eastAsia="Calibri" w:hAnsi="Calibri"/>
          <w:b/>
          <w:bCs/>
          <w:color w:val="0A6E3C"/>
          <w:sz w:val="40"/>
          <w:szCs w:val="40"/>
        </w:rPr>
        <w:t xml:space="preserve">Complaints Handling &amp;
Resolution Policy</w:t>
      </w:r>
    </w:p>
    <w:p>
      <w:pPr>
        <w:spacing w:after="200" w:before="0"/>
        <w:jc w:val="center"/>
      </w:pPr>
      <w:r>
        <w:rPr>
          <w:rFonts w:ascii="Calibri" w:cs="Calibri" w:eastAsia="Calibri" w:hAnsi="Calibri"/>
          <w:b/>
          <w:bCs/>
          <w:color w:val="666666"/>
          <w:sz w:val="28"/>
          <w:szCs w:val="28"/>
        </w:rPr>
        <w:t xml:space="preserve">Customer Complaints Management
Framework and Procedures</w:t>
      </w:r>
    </w:p>
    <w:p>
      <w:pPr>
        <w:spacing w:after="600"/>
      </w:pPr>
    </w:p>
    <w:p>
      <w:pPr>
        <w:spacing w:after="120" w:before="0"/>
        <w:jc w:val="center"/>
      </w:pPr>
      <w:r>
        <w:rPr>
          <w:rFonts w:ascii="Calibri" w:cs="Calibri" w:eastAsia="Calibri" w:hAnsi="Calibri"/>
          <w:b w:val="false"/>
          <w:bCs w:val="false"/>
          <w:i w:val="false"/>
          <w:iCs w:val="false"/>
          <w:color w:val="666666"/>
          <w:sz w:val="22"/>
          <w:szCs w:val="22"/>
        </w:rPr>
        <w:t xml:space="preserve">Version: 1.0</w:t>
      </w:r>
    </w:p>
    <w:p>
      <w:pPr>
        <w:spacing w:after="120" w:before="0"/>
        <w:jc w:val="center"/>
      </w:pPr>
      <w:r>
        <w:rPr>
          <w:rFonts w:ascii="Calibri" w:cs="Calibri" w:eastAsia="Calibri" w:hAnsi="Calibri"/>
          <w:b w:val="false"/>
          <w:bCs w:val="false"/>
          <w:i w:val="false"/>
          <w:iCs w:val="false"/>
          <w:color w:val="666666"/>
          <w:sz w:val="22"/>
          <w:szCs w:val="22"/>
        </w:rPr>
        <w:t xml:space="preserve">Date: 20 March 2026</w:t>
      </w:r>
    </w:p>
    <w:p>
      <w:pPr>
        <w:spacing w:after="120" w:before="0"/>
        <w:jc w:val="center"/>
      </w:pPr>
      <w:r>
        <w:rPr>
          <w:rFonts w:ascii="Calibri" w:cs="Calibri" w:eastAsia="Calibri" w:hAnsi="Calibri"/>
          <w:b/>
          <w:bCs/>
          <w:i w:val="false"/>
          <w:iCs w:val="false"/>
          <w:color w:val="CC0000"/>
          <w:sz w:val="22"/>
          <w:szCs w:val="22"/>
        </w:rPr>
        <w:t xml:space="preserve">Classification: CONFIDENTIAL</w:t>
      </w:r>
    </w:p>
    <w:p>
      <w:pPr>
        <w:spacing w:after="400"/>
      </w:pPr>
    </w:p>
    <w:p>
      <w:pPr>
        <w:spacing w:after="120" w:before="0"/>
        <w:jc w:val="center"/>
      </w:pPr>
      <w:r>
        <w:rPr>
          <w:rFonts w:ascii="Calibri" w:cs="Calibri" w:eastAsia="Calibri" w:hAnsi="Calibri"/>
          <w:b w:val="false"/>
          <w:bCs w:val="false"/>
          <w:i/>
          <w:iCs/>
          <w:color w:val="666666"/>
          <w:sz w:val="22"/>
          <w:szCs w:val="22"/>
        </w:rPr>
        <w:t xml:space="preserve">Prepared for submission to the Bank of Zambia</w:t>
      </w:r>
    </w:p>
    <w:p>
      <w:pPr>
        <w:spacing w:after="120" w:before="0"/>
        <w:jc w:val="center"/>
      </w:pPr>
      <w:r>
        <w:rPr>
          <w:rFonts w:ascii="Calibri" w:cs="Calibri" w:eastAsia="Calibri" w:hAnsi="Calibri"/>
          <w:b w:val="false"/>
          <w:bCs w:val="false"/>
          <w:i/>
          <w:iCs/>
          <w:color w:val="666666"/>
          <w:sz w:val="22"/>
          <w:szCs w:val="22"/>
        </w:rPr>
        <w:t xml:space="preserve">Payment Systems Department</w:t>
      </w:r>
    </w:p>
    <w:p>
      <w:r>
        <w:br w:type="page"/>
      </w:r>
    </w:p>
    <w:p>
      <w:pPr>
        <w:pStyle w:val="Heading1"/>
        <w:spacing w:after="120" w:before="300"/>
      </w:pPr>
      <w:r>
        <w:rPr>
          <w:rFonts w:ascii="Calibri" w:cs="Calibri" w:eastAsia="Calibri" w:hAnsi="Calibri"/>
          <w:b/>
          <w:bCs/>
          <w:color w:val="0A6E3C"/>
          <w:sz w:val="32"/>
          <w:szCs w:val="32"/>
        </w:rPr>
        <w:t xml:space="preserve">CONFIDENTIALITY NOTICE</w:t>
      </w:r>
    </w:p>
    <w:p>
      <w:pPr>
        <w:spacing w:after="120" w:before="0"/>
        <w:jc w:val="both"/>
      </w:pPr>
      <w:r>
        <w:rPr>
          <w:rFonts w:ascii="Calibri" w:cs="Calibri" w:eastAsia="Calibri" w:hAnsi="Calibri"/>
          <w:b w:val="false"/>
          <w:bCs w:val="false"/>
          <w:i w:val="false"/>
          <w:iCs w:val="false"/>
          <w:color w:val="333333"/>
          <w:sz w:val="22"/>
          <w:szCs w:val="22"/>
        </w:rPr>
        <w:t xml:space="preserve">This document contains proprietary and confidential information belonging to Monde. The information contained herein is intended solely for the use of the Bank of Zambia in connection with the application for designation as a payment system under the National Payment Systems Act, 2007. Any reproduction, distribution, or disclosure of this document or its contents to any unauthorized party is strictly prohibited.</w:t>
      </w:r>
    </w:p>
    <w:p>
      <w:pPr>
        <w:spacing w:after="200"/>
      </w:pPr>
    </w:p>
    <w:p>
      <w:pPr>
        <w:pStyle w:val="Heading1"/>
        <w:spacing w:after="120" w:before="300"/>
      </w:pPr>
      <w:r>
        <w:rPr>
          <w:rFonts w:ascii="Calibri" w:cs="Calibri" w:eastAsia="Calibri" w:hAnsi="Calibri"/>
          <w:b/>
          <w:bCs/>
          <w:color w:val="0A6E3C"/>
          <w:sz w:val="32"/>
          <w:szCs w:val="32"/>
        </w:rPr>
        <w:t xml:space="preserve">1. INTRODUCTION</w:t>
      </w:r>
    </w:p>
    <w:p>
      <w:pPr>
        <w:spacing w:after="120" w:before="0"/>
        <w:jc w:val="both"/>
      </w:pPr>
      <w:r>
        <w:rPr>
          <w:rFonts w:ascii="Calibri" w:cs="Calibri" w:eastAsia="Calibri" w:hAnsi="Calibri"/>
          <w:b w:val="false"/>
          <w:bCs w:val="false"/>
          <w:i w:val="false"/>
          <w:iCs w:val="false"/>
          <w:color w:val="333333"/>
          <w:sz w:val="22"/>
          <w:szCs w:val="22"/>
        </w:rPr>
        <w:t xml:space="preserve">This document sets out the Complaints Handling and Resolution Policy for Monde Limited. It establishes the framework, procedures, and responsibilities for receiving, investigating, and resolving customer complaints in a fair, timely, and transparent manner.</w:t>
      </w:r>
    </w:p>
    <w:p>
      <w:pPr>
        <w:spacing w:after="120" w:before="0"/>
        <w:jc w:val="both"/>
      </w:pPr>
      <w:r>
        <w:rPr>
          <w:rFonts w:ascii="Calibri" w:cs="Calibri" w:eastAsia="Calibri" w:hAnsi="Calibri"/>
          <w:b w:val="false"/>
          <w:bCs w:val="false"/>
          <w:i w:val="false"/>
          <w:iCs w:val="false"/>
          <w:color w:val="333333"/>
          <w:sz w:val="22"/>
          <w:szCs w:val="22"/>
        </w:rPr>
        <w:t xml:space="preserve">This policy is prepared in compliance with Section 1.7.3(d) of the Bank of Zambia Requirements for Designation of a Payment System, February 2025, which requires a Complaints Handling and Resolution Policy.</w:t>
      </w:r>
    </w:p>
    <w:p>
      <w:pPr>
        <w:spacing w:after="120" w:before="0"/>
        <w:jc w:val="both"/>
      </w:pPr>
      <w:r>
        <w:rPr>
          <w:rFonts w:ascii="Calibri" w:cs="Calibri" w:eastAsia="Calibri" w:hAnsi="Calibri"/>
          <w:b w:val="false"/>
          <w:bCs w:val="false"/>
          <w:i w:val="false"/>
          <w:iCs w:val="false"/>
          <w:color w:val="333333"/>
          <w:sz w:val="22"/>
          <w:szCs w:val="22"/>
        </w:rPr>
        <w:t xml:space="preserve">Monde is committed to treating every complaint as an opportunity to improve its services and maintain the trust of its customers.</w:t>
      </w:r>
    </w:p>
    <w:p>
      <w:pPr>
        <w:pStyle w:val="Heading1"/>
        <w:spacing w:after="120" w:before="300"/>
      </w:pPr>
      <w:r>
        <w:rPr>
          <w:rFonts w:ascii="Calibri" w:cs="Calibri" w:eastAsia="Calibri" w:hAnsi="Calibri"/>
          <w:b/>
          <w:bCs/>
          <w:color w:val="0A6E3C"/>
          <w:sz w:val="32"/>
          <w:szCs w:val="32"/>
        </w:rPr>
        <w:t xml:space="preserve">2. SCOPE</w:t>
      </w:r>
    </w:p>
    <w:p>
      <w:pPr>
        <w:spacing w:after="120" w:before="0"/>
        <w:jc w:val="both"/>
      </w:pPr>
      <w:r>
        <w:rPr>
          <w:rFonts w:ascii="Calibri" w:cs="Calibri" w:eastAsia="Calibri" w:hAnsi="Calibri"/>
          <w:b w:val="false"/>
          <w:bCs w:val="false"/>
          <w:i w:val="false"/>
          <w:iCs w:val="false"/>
          <w:color w:val="333333"/>
          <w:sz w:val="22"/>
          <w:szCs w:val="22"/>
        </w:rPr>
        <w:t xml:space="preserve">This policy applies to:</w:t>
      </w:r>
    </w:p>
    <w:p>
      <w:pPr>
        <w:pStyle w:val="ListParagraph"/>
        <w:numPr>
          <w:ilvl w:val="0"/>
          <w:numId w:val="1"/>
        </w:numPr>
        <w:spacing w:after="60"/>
      </w:pPr>
      <w:r>
        <w:rPr>
          <w:rFonts w:ascii="Calibri" w:cs="Calibri" w:eastAsia="Calibri" w:hAnsi="Calibri"/>
          <w:color w:val="333333"/>
          <w:sz w:val="22"/>
          <w:szCs w:val="22"/>
        </w:rPr>
        <w:t xml:space="preserve">All complaints received from Monde customers (individuals and agents)</w:t>
      </w:r>
    </w:p>
    <w:p>
      <w:pPr>
        <w:pStyle w:val="ListParagraph"/>
        <w:numPr>
          <w:ilvl w:val="0"/>
          <w:numId w:val="1"/>
        </w:numPr>
        <w:spacing w:after="60"/>
      </w:pPr>
      <w:r>
        <w:rPr>
          <w:rFonts w:ascii="Calibri" w:cs="Calibri" w:eastAsia="Calibri" w:hAnsi="Calibri"/>
          <w:color w:val="333333"/>
          <w:sz w:val="22"/>
          <w:szCs w:val="22"/>
        </w:rPr>
        <w:t xml:space="preserve">All Monde employees and agents involved in customer interactions</w:t>
      </w:r>
    </w:p>
    <w:p>
      <w:pPr>
        <w:pStyle w:val="ListParagraph"/>
        <w:numPr>
          <w:ilvl w:val="0"/>
          <w:numId w:val="1"/>
        </w:numPr>
        <w:spacing w:after="60"/>
      </w:pPr>
      <w:r>
        <w:rPr>
          <w:rFonts w:ascii="Calibri" w:cs="Calibri" w:eastAsia="Calibri" w:hAnsi="Calibri"/>
          <w:color w:val="333333"/>
          <w:sz w:val="22"/>
          <w:szCs w:val="22"/>
        </w:rPr>
        <w:t xml:space="preserve">All channels through which complaints may be received</w:t>
      </w:r>
    </w:p>
    <w:p>
      <w:pPr>
        <w:pStyle w:val="ListParagraph"/>
        <w:numPr>
          <w:ilvl w:val="0"/>
          <w:numId w:val="1"/>
        </w:numPr>
        <w:spacing w:after="60"/>
      </w:pPr>
      <w:r>
        <w:rPr>
          <w:rFonts w:ascii="Calibri" w:cs="Calibri" w:eastAsia="Calibri" w:hAnsi="Calibri"/>
          <w:color w:val="333333"/>
          <w:sz w:val="22"/>
          <w:szCs w:val="22"/>
        </w:rPr>
        <w:t xml:space="preserve">All products and services offered by Monde</w:t>
      </w:r>
    </w:p>
    <w:p>
      <w:pPr>
        <w:pStyle w:val="Heading1"/>
        <w:spacing w:after="120" w:before="300"/>
      </w:pPr>
      <w:r>
        <w:rPr>
          <w:rFonts w:ascii="Calibri" w:cs="Calibri" w:eastAsia="Calibri" w:hAnsi="Calibri"/>
          <w:b/>
          <w:bCs/>
          <w:color w:val="0A6E3C"/>
          <w:sz w:val="32"/>
          <w:szCs w:val="32"/>
        </w:rPr>
        <w:t xml:space="preserve">3. DEFINITIONS</w:t>
      </w:r>
    </w:p>
    <w:p>
      <w:pPr>
        <w:pStyle w:val="ListParagraph"/>
        <w:numPr>
          <w:ilvl w:val="0"/>
          <w:numId w:val="1"/>
        </w:numPr>
        <w:spacing w:after="60"/>
      </w:pPr>
      <w:r>
        <w:rPr>
          <w:rFonts w:ascii="Calibri" w:cs="Calibri" w:eastAsia="Calibri" w:hAnsi="Calibri"/>
          <w:color w:val="333333"/>
          <w:sz w:val="22"/>
          <w:szCs w:val="22"/>
        </w:rPr>
        <w:t xml:space="preserve">Complaint: An expression of dissatisfaction by a customer regarding a Monde product, service, or employee that requires a response or resolution.</w:t>
      </w:r>
    </w:p>
    <w:p>
      <w:pPr>
        <w:pStyle w:val="ListParagraph"/>
        <w:numPr>
          <w:ilvl w:val="0"/>
          <w:numId w:val="1"/>
        </w:numPr>
        <w:spacing w:after="60"/>
      </w:pPr>
      <w:r>
        <w:rPr>
          <w:rFonts w:ascii="Calibri" w:cs="Calibri" w:eastAsia="Calibri" w:hAnsi="Calibri"/>
          <w:color w:val="333333"/>
          <w:sz w:val="22"/>
          <w:szCs w:val="22"/>
        </w:rPr>
        <w:t xml:space="preserve">Complainant: A customer or agent who lodges a complaint.</w:t>
      </w:r>
    </w:p>
    <w:p>
      <w:pPr>
        <w:pStyle w:val="ListParagraph"/>
        <w:numPr>
          <w:ilvl w:val="0"/>
          <w:numId w:val="1"/>
        </w:numPr>
        <w:spacing w:after="60"/>
      </w:pPr>
      <w:r>
        <w:rPr>
          <w:rFonts w:ascii="Calibri" w:cs="Calibri" w:eastAsia="Calibri" w:hAnsi="Calibri"/>
          <w:color w:val="333333"/>
          <w:sz w:val="22"/>
          <w:szCs w:val="22"/>
        </w:rPr>
        <w:t xml:space="preserve">First Contact Resolution: A complaint that is resolved at the time of first contact with the customer.</w:t>
      </w:r>
    </w:p>
    <w:p>
      <w:pPr>
        <w:pStyle w:val="ListParagraph"/>
        <w:numPr>
          <w:ilvl w:val="0"/>
          <w:numId w:val="1"/>
        </w:numPr>
        <w:spacing w:after="60"/>
      </w:pPr>
      <w:r>
        <w:rPr>
          <w:rFonts w:ascii="Calibri" w:cs="Calibri" w:eastAsia="Calibri" w:hAnsi="Calibri"/>
          <w:color w:val="333333"/>
          <w:sz w:val="22"/>
          <w:szCs w:val="22"/>
        </w:rPr>
        <w:t xml:space="preserve">Escalated Complaint: A complaint that cannot be resolved at the first level and is referred to a senior team member or the CCO.</w:t>
      </w:r>
    </w:p>
    <w:p>
      <w:pPr>
        <w:pStyle w:val="Heading1"/>
        <w:spacing w:after="120" w:before="300"/>
      </w:pPr>
      <w:r>
        <w:rPr>
          <w:rFonts w:ascii="Calibri" w:cs="Calibri" w:eastAsia="Calibri" w:hAnsi="Calibri"/>
          <w:b/>
          <w:bCs/>
          <w:color w:val="0A6E3C"/>
          <w:sz w:val="32"/>
          <w:szCs w:val="32"/>
        </w:rPr>
        <w:t xml:space="preserve">4. COMPLAINTS CHANNELS</w:t>
      </w:r>
    </w:p>
    <w:p>
      <w:pPr>
        <w:spacing w:after="120" w:before="0"/>
        <w:jc w:val="both"/>
      </w:pPr>
      <w:r>
        <w:rPr>
          <w:rFonts w:ascii="Calibri" w:cs="Calibri" w:eastAsia="Calibri" w:hAnsi="Calibri"/>
          <w:b w:val="false"/>
          <w:bCs w:val="false"/>
          <w:i w:val="false"/>
          <w:iCs w:val="false"/>
          <w:color w:val="333333"/>
          <w:sz w:val="22"/>
          <w:szCs w:val="22"/>
        </w:rPr>
        <w:t xml:space="preserve">Monde accepts complaints through the following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color="0A6E3C" w:val="solid"/>
          </w:tcPr>
          <w:p>
            <w:pPr>
              <w:jc w:val="center"/>
            </w:pPr>
            <w:r>
              <w:rPr>
                <w:rFonts w:ascii="Calibri" w:cs="Calibri" w:eastAsia="Calibri" w:hAnsi="Calibri"/>
                <w:b/>
                <w:bCs/>
                <w:color w:val="FFFFFF"/>
                <w:sz w:val="20"/>
                <w:szCs w:val="20"/>
              </w:rPr>
              <w:t xml:space="preserve">Channel</w:t>
            </w:r>
          </w:p>
        </w:tc>
        <w:tc>
          <w:tcPr>
            <w:tcW w:type="pct" w:w="33%"/>
            <w:shd w:color="0A6E3C" w:val="solid"/>
          </w:tcPr>
          <w:p>
            <w:pPr>
              <w:jc w:val="center"/>
            </w:pPr>
            <w:r>
              <w:rPr>
                <w:rFonts w:ascii="Calibri" w:cs="Calibri" w:eastAsia="Calibri" w:hAnsi="Calibri"/>
                <w:b/>
                <w:bCs/>
                <w:color w:val="FFFFFF"/>
                <w:sz w:val="20"/>
                <w:szCs w:val="20"/>
              </w:rPr>
              <w:t xml:space="preserve">Details</w:t>
            </w:r>
          </w:p>
        </w:tc>
        <w:tc>
          <w:tcPr>
            <w:tcW w:type="pct" w:w="33%"/>
            <w:shd w:color="0A6E3C" w:val="solid"/>
          </w:tcPr>
          <w:p>
            <w:pPr>
              <w:jc w:val="center"/>
            </w:pPr>
            <w:r>
              <w:rPr>
                <w:rFonts w:ascii="Calibri" w:cs="Calibri" w:eastAsia="Calibri" w:hAnsi="Calibri"/>
                <w:b/>
                <w:bCs/>
                <w:color w:val="FFFFFF"/>
                <w:sz w:val="20"/>
                <w:szCs w:val="20"/>
              </w:rPr>
              <w:t xml:space="preserve">Availability</w:t>
            </w:r>
          </w:p>
        </w:tc>
      </w:tr>
      <w:tr>
        <w:tc>
          <w:tcPr>
            <w:tcW w:type="pct" w:w="33%"/>
          </w:tcPr>
          <w:p>
            <w:r>
              <w:rPr>
                <w:rFonts w:ascii="Calibri" w:cs="Calibri" w:eastAsia="Calibri" w:hAnsi="Calibri"/>
                <w:color w:val="333333"/>
                <w:sz w:val="20"/>
                <w:szCs w:val="20"/>
              </w:rPr>
              <w:t xml:space="preserve">Phone</w:t>
            </w:r>
          </w:p>
        </w:tc>
        <w:tc>
          <w:tcPr>
            <w:tcW w:type="pct" w:w="33%"/>
          </w:tcPr>
          <w:p>
            <w:r>
              <w:rPr>
                <w:rFonts w:ascii="Calibri" w:cs="Calibri" w:eastAsia="Calibri" w:hAnsi="Calibri"/>
                <w:color w:val="333333"/>
                <w:sz w:val="20"/>
                <w:szCs w:val="20"/>
              </w:rPr>
              <w:t xml:space="preserve">Customer support hotline (to be established)</w:t>
            </w:r>
          </w:p>
        </w:tc>
        <w:tc>
          <w:tcPr>
            <w:tcW w:type="pct" w:w="33%"/>
          </w:tcPr>
          <w:p>
            <w:r>
              <w:rPr>
                <w:rFonts w:ascii="Calibri" w:cs="Calibri" w:eastAsia="Calibri" w:hAnsi="Calibri"/>
                <w:color w:val="333333"/>
                <w:sz w:val="20"/>
                <w:szCs w:val="20"/>
              </w:rPr>
              <w:t xml:space="preserve">Business hours (Mon-Fri 08:00-17:00, Sat 09:00-13:00)</w:t>
            </w:r>
          </w:p>
        </w:tc>
      </w:tr>
      <w:tr>
        <w:tc>
          <w:tcPr>
            <w:tcW w:type="pct" w:w="33%"/>
          </w:tcPr>
          <w:p>
            <w:r>
              <w:rPr>
                <w:rFonts w:ascii="Calibri" w:cs="Calibri" w:eastAsia="Calibri" w:hAnsi="Calibri"/>
                <w:color w:val="333333"/>
                <w:sz w:val="20"/>
                <w:szCs w:val="20"/>
              </w:rPr>
              <w:t xml:space="preserve">WhatsApp</w:t>
            </w:r>
          </w:p>
        </w:tc>
        <w:tc>
          <w:tcPr>
            <w:tcW w:type="pct" w:w="33%"/>
          </w:tcPr>
          <w:p>
            <w:r>
              <w:rPr>
                <w:rFonts w:ascii="Calibri" w:cs="Calibri" w:eastAsia="Calibri" w:hAnsi="Calibri"/>
                <w:color w:val="333333"/>
                <w:sz w:val="20"/>
                <w:szCs w:val="20"/>
              </w:rPr>
              <w:t xml:space="preserve">Dedicated WhatsApp support number (to be established)</w:t>
            </w:r>
          </w:p>
        </w:tc>
        <w:tc>
          <w:tcPr>
            <w:tcW w:type="pct" w:w="33%"/>
          </w:tcPr>
          <w:p>
            <w:r>
              <w:rPr>
                <w:rFonts w:ascii="Calibri" w:cs="Calibri" w:eastAsia="Calibri" w:hAnsi="Calibri"/>
                <w:color w:val="333333"/>
                <w:sz w:val="20"/>
                <w:szCs w:val="20"/>
              </w:rPr>
              <w:t xml:space="preserve">Business hours + automated responses after hours</w:t>
            </w:r>
          </w:p>
        </w:tc>
      </w:tr>
      <w:tr>
        <w:tc>
          <w:tcPr>
            <w:tcW w:type="pct" w:w="33%"/>
          </w:tcPr>
          <w:p>
            <w:r>
              <w:rPr>
                <w:rFonts w:ascii="Calibri" w:cs="Calibri" w:eastAsia="Calibri" w:hAnsi="Calibri"/>
                <w:color w:val="333333"/>
                <w:sz w:val="20"/>
                <w:szCs w:val="20"/>
              </w:rPr>
              <w:t xml:space="preserve">Email</w:t>
            </w:r>
          </w:p>
        </w:tc>
        <w:tc>
          <w:tcPr>
            <w:tcW w:type="pct" w:w="33%"/>
          </w:tcPr>
          <w:p>
            <w:r>
              <w:rPr>
                <w:rFonts w:ascii="Calibri" w:cs="Calibri" w:eastAsia="Calibri" w:hAnsi="Calibri"/>
                <w:color w:val="333333"/>
                <w:sz w:val="20"/>
                <w:szCs w:val="20"/>
              </w:rPr>
              <w:t xml:space="preserve">support@monde.co.zm (to be activated)</w:t>
            </w:r>
          </w:p>
        </w:tc>
        <w:tc>
          <w:tcPr>
            <w:tcW w:type="pct" w:w="33%"/>
          </w:tcPr>
          <w:p>
            <w:r>
              <w:rPr>
                <w:rFonts w:ascii="Calibri" w:cs="Calibri" w:eastAsia="Calibri" w:hAnsi="Calibri"/>
                <w:color w:val="333333"/>
                <w:sz w:val="20"/>
                <w:szCs w:val="20"/>
              </w:rPr>
              <w:t xml:space="preserve">24/7 receipt; response during business hours</w:t>
            </w:r>
          </w:p>
        </w:tc>
      </w:tr>
      <w:tr>
        <w:tc>
          <w:tcPr>
            <w:tcW w:type="pct" w:w="33%"/>
          </w:tcPr>
          <w:p>
            <w:r>
              <w:rPr>
                <w:rFonts w:ascii="Calibri" w:cs="Calibri" w:eastAsia="Calibri" w:hAnsi="Calibri"/>
                <w:color w:val="333333"/>
                <w:sz w:val="20"/>
                <w:szCs w:val="20"/>
              </w:rPr>
              <w:t xml:space="preserve">In-App</w:t>
            </w:r>
          </w:p>
        </w:tc>
        <w:tc>
          <w:tcPr>
            <w:tcW w:type="pct" w:w="33%"/>
          </w:tcPr>
          <w:p>
            <w:r>
              <w:rPr>
                <w:rFonts w:ascii="Calibri" w:cs="Calibri" w:eastAsia="Calibri" w:hAnsi="Calibri"/>
                <w:color w:val="333333"/>
                <w:sz w:val="20"/>
                <w:szCs w:val="20"/>
              </w:rPr>
              <w:t xml:space="preserve">In-app support feature (planned)</w:t>
            </w:r>
          </w:p>
        </w:tc>
        <w:tc>
          <w:tcPr>
            <w:tcW w:type="pct" w:w="33%"/>
          </w:tcPr>
          <w:p>
            <w:r>
              <w:rPr>
                <w:rFonts w:ascii="Calibri" w:cs="Calibri" w:eastAsia="Calibri" w:hAnsi="Calibri"/>
                <w:color w:val="333333"/>
                <w:sz w:val="20"/>
                <w:szCs w:val="20"/>
              </w:rPr>
              <w:t xml:space="preserve">24/7 receipt; response during business hours</w:t>
            </w:r>
          </w:p>
        </w:tc>
      </w:tr>
      <w:tr>
        <w:tc>
          <w:tcPr>
            <w:tcW w:type="pct" w:w="33%"/>
          </w:tcPr>
          <w:p>
            <w:r>
              <w:rPr>
                <w:rFonts w:ascii="Calibri" w:cs="Calibri" w:eastAsia="Calibri" w:hAnsi="Calibri"/>
                <w:color w:val="333333"/>
                <w:sz w:val="20"/>
                <w:szCs w:val="20"/>
              </w:rPr>
              <w:t xml:space="preserve">Walk-In</w:t>
            </w:r>
          </w:p>
        </w:tc>
        <w:tc>
          <w:tcPr>
            <w:tcW w:type="pct" w:w="33%"/>
          </w:tcPr>
          <w:p>
            <w:r>
              <w:rPr>
                <w:rFonts w:ascii="Calibri" w:cs="Calibri" w:eastAsia="Calibri" w:hAnsi="Calibri"/>
                <w:color w:val="333333"/>
                <w:sz w:val="20"/>
                <w:szCs w:val="20"/>
              </w:rPr>
              <w:t xml:space="preserve">Head office, Lusaka (when established)</w:t>
            </w:r>
          </w:p>
        </w:tc>
        <w:tc>
          <w:tcPr>
            <w:tcW w:type="pct" w:w="33%"/>
          </w:tcPr>
          <w:p>
            <w:r>
              <w:rPr>
                <w:rFonts w:ascii="Calibri" w:cs="Calibri" w:eastAsia="Calibri" w:hAnsi="Calibri"/>
                <w:color w:val="333333"/>
                <w:sz w:val="20"/>
                <w:szCs w:val="20"/>
              </w:rPr>
              <w:t xml:space="preserve">Business hours</w:t>
            </w:r>
          </w:p>
        </w:tc>
      </w:tr>
      <w:tr>
        <w:tc>
          <w:tcPr>
            <w:tcW w:type="pct" w:w="33%"/>
          </w:tcPr>
          <w:p>
            <w:r>
              <w:rPr>
                <w:rFonts w:ascii="Calibri" w:cs="Calibri" w:eastAsia="Calibri" w:hAnsi="Calibri"/>
                <w:color w:val="333333"/>
                <w:sz w:val="20"/>
                <w:szCs w:val="20"/>
              </w:rPr>
              <w:t xml:space="preserve">Agent</w:t>
            </w:r>
          </w:p>
        </w:tc>
        <w:tc>
          <w:tcPr>
            <w:tcW w:type="pct" w:w="33%"/>
          </w:tcPr>
          <w:p>
            <w:r>
              <w:rPr>
                <w:rFonts w:ascii="Calibri" w:cs="Calibri" w:eastAsia="Calibri" w:hAnsi="Calibri"/>
                <w:color w:val="333333"/>
                <w:sz w:val="20"/>
                <w:szCs w:val="20"/>
              </w:rPr>
              <w:t xml:space="preserve">Complaints received by Monde agents and escalated to support</w:t>
            </w:r>
          </w:p>
        </w:tc>
        <w:tc>
          <w:tcPr>
            <w:tcW w:type="pct" w:w="33%"/>
          </w:tcPr>
          <w:p>
            <w:r>
              <w:rPr>
                <w:rFonts w:ascii="Calibri" w:cs="Calibri" w:eastAsia="Calibri" w:hAnsi="Calibri"/>
                <w:color w:val="333333"/>
                <w:sz w:val="20"/>
                <w:szCs w:val="20"/>
              </w:rPr>
              <w:t xml:space="preserve">Agent operating hours</w:t>
            </w:r>
          </w:p>
        </w:tc>
      </w:tr>
    </w:tbl>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All complaint channels are accessible free of charge to the customer.</w:t>
      </w:r>
    </w:p>
    <w:p>
      <w:pPr>
        <w:pStyle w:val="Heading1"/>
        <w:spacing w:after="120" w:before="300"/>
      </w:pPr>
      <w:r>
        <w:rPr>
          <w:rFonts w:ascii="Calibri" w:cs="Calibri" w:eastAsia="Calibri" w:hAnsi="Calibri"/>
          <w:b/>
          <w:bCs/>
          <w:color w:val="0A6E3C"/>
          <w:sz w:val="32"/>
          <w:szCs w:val="32"/>
        </w:rPr>
        <w:t xml:space="preserve">5. COMPLAINTS HANDLING PROCEDURE</w:t>
      </w:r>
    </w:p>
    <w:p>
      <w:pPr>
        <w:pStyle w:val="Heading2"/>
        <w:spacing w:after="120" w:before="300"/>
      </w:pPr>
      <w:r>
        <w:rPr>
          <w:rFonts w:ascii="Calibri" w:cs="Calibri" w:eastAsia="Calibri" w:hAnsi="Calibri"/>
          <w:b/>
          <w:bCs/>
          <w:color w:val="0A6E3C"/>
          <w:sz w:val="26"/>
          <w:szCs w:val="26"/>
        </w:rPr>
        <w:t xml:space="preserve">5.1 Step 1: Receipt and Acknowledgement</w:t>
      </w:r>
    </w:p>
    <w:p>
      <w:pPr>
        <w:pStyle w:val="ListParagraph"/>
        <w:numPr>
          <w:ilvl w:val="0"/>
          <w:numId w:val="1"/>
        </w:numPr>
        <w:spacing w:after="60"/>
      </w:pPr>
      <w:r>
        <w:rPr>
          <w:rFonts w:ascii="Calibri" w:cs="Calibri" w:eastAsia="Calibri" w:hAnsi="Calibri"/>
          <w:color w:val="333333"/>
          <w:sz w:val="22"/>
          <w:szCs w:val="22"/>
        </w:rPr>
        <w:t xml:space="preserve">All complaints are logged in the Complaints Register with a unique reference number</w:t>
      </w:r>
    </w:p>
    <w:p>
      <w:pPr>
        <w:pStyle w:val="ListParagraph"/>
        <w:numPr>
          <w:ilvl w:val="0"/>
          <w:numId w:val="1"/>
        </w:numPr>
        <w:spacing w:after="60"/>
      </w:pPr>
      <w:r>
        <w:rPr>
          <w:rFonts w:ascii="Calibri" w:cs="Calibri" w:eastAsia="Calibri" w:hAnsi="Calibri"/>
          <w:color w:val="333333"/>
          <w:sz w:val="22"/>
          <w:szCs w:val="22"/>
        </w:rPr>
        <w:t xml:space="preserve">The complainant receives acknowledgement within 24 hours of receipt</w:t>
      </w:r>
    </w:p>
    <w:p>
      <w:pPr>
        <w:pStyle w:val="ListParagraph"/>
        <w:numPr>
          <w:ilvl w:val="0"/>
          <w:numId w:val="1"/>
        </w:numPr>
        <w:spacing w:after="60"/>
      </w:pPr>
      <w:r>
        <w:rPr>
          <w:rFonts w:ascii="Calibri" w:cs="Calibri" w:eastAsia="Calibri" w:hAnsi="Calibri"/>
          <w:color w:val="333333"/>
          <w:sz w:val="22"/>
          <w:szCs w:val="22"/>
        </w:rPr>
        <w:t xml:space="preserve">Acknowledgement includes: reference number, name of assigned handler, expected resolution timeframe</w:t>
      </w:r>
    </w:p>
    <w:p>
      <w:pPr>
        <w:pStyle w:val="ListParagraph"/>
        <w:numPr>
          <w:ilvl w:val="0"/>
          <w:numId w:val="1"/>
        </w:numPr>
        <w:spacing w:after="60"/>
      </w:pPr>
      <w:r>
        <w:rPr>
          <w:rFonts w:ascii="Calibri" w:cs="Calibri" w:eastAsia="Calibri" w:hAnsi="Calibri"/>
          <w:color w:val="333333"/>
          <w:sz w:val="22"/>
          <w:szCs w:val="22"/>
        </w:rPr>
        <w:t xml:space="preserve">Verbal complaints are documented in writing by the receiving staff member</w:t>
      </w:r>
    </w:p>
    <w:p>
      <w:pPr>
        <w:pStyle w:val="Heading2"/>
        <w:spacing w:after="120" w:before="300"/>
      </w:pPr>
      <w:r>
        <w:rPr>
          <w:rFonts w:ascii="Calibri" w:cs="Calibri" w:eastAsia="Calibri" w:hAnsi="Calibri"/>
          <w:b/>
          <w:bCs/>
          <w:color w:val="0A6E3C"/>
          <w:sz w:val="26"/>
          <w:szCs w:val="26"/>
        </w:rPr>
        <w:t xml:space="preserve">5.2 Step 2: Classification</w:t>
      </w:r>
    </w:p>
    <w:p>
      <w:pPr>
        <w:spacing w:after="120" w:before="0"/>
        <w:jc w:val="both"/>
      </w:pPr>
      <w:r>
        <w:rPr>
          <w:rFonts w:ascii="Calibri" w:cs="Calibri" w:eastAsia="Calibri" w:hAnsi="Calibri"/>
          <w:b w:val="false"/>
          <w:bCs w:val="false"/>
          <w:i w:val="false"/>
          <w:iCs w:val="false"/>
          <w:color w:val="333333"/>
          <w:sz w:val="22"/>
          <w:szCs w:val="22"/>
        </w:rPr>
        <w:t xml:space="preserve">Complaints are classified by type and priority: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Category</w:t>
            </w:r>
          </w:p>
        </w:tc>
        <w:tc>
          <w:tcPr>
            <w:tcW w:type="pct" w:w="25%"/>
            <w:shd w:color="0A6E3C" w:val="solid"/>
          </w:tcPr>
          <w:p>
            <w:pPr>
              <w:jc w:val="center"/>
            </w:pPr>
            <w:r>
              <w:rPr>
                <w:rFonts w:ascii="Calibri" w:cs="Calibri" w:eastAsia="Calibri" w:hAnsi="Calibri"/>
                <w:b/>
                <w:bCs/>
                <w:color w:val="FFFFFF"/>
                <w:sz w:val="20"/>
                <w:szCs w:val="20"/>
              </w:rPr>
              <w:t xml:space="preserve">Examples</w:t>
            </w:r>
          </w:p>
        </w:tc>
        <w:tc>
          <w:tcPr>
            <w:tcW w:type="pct" w:w="25%"/>
            <w:shd w:color="0A6E3C" w:val="solid"/>
          </w:tcPr>
          <w:p>
            <w:pPr>
              <w:jc w:val="center"/>
            </w:pPr>
            <w:r>
              <w:rPr>
                <w:rFonts w:ascii="Calibri" w:cs="Calibri" w:eastAsia="Calibri" w:hAnsi="Calibri"/>
                <w:b/>
                <w:bCs/>
                <w:color w:val="FFFFFF"/>
                <w:sz w:val="20"/>
                <w:szCs w:val="20"/>
              </w:rPr>
              <w:t xml:space="preserve">Priority</w:t>
            </w:r>
          </w:p>
        </w:tc>
        <w:tc>
          <w:tcPr>
            <w:tcW w:type="pct" w:w="25%"/>
            <w:shd w:color="0A6E3C" w:val="solid"/>
          </w:tcPr>
          <w:p>
            <w:pPr>
              <w:jc w:val="center"/>
            </w:pPr>
            <w:r>
              <w:rPr>
                <w:rFonts w:ascii="Calibri" w:cs="Calibri" w:eastAsia="Calibri" w:hAnsi="Calibri"/>
                <w:b/>
                <w:bCs/>
                <w:color w:val="FFFFFF"/>
                <w:sz w:val="20"/>
                <w:szCs w:val="20"/>
              </w:rPr>
              <w:t xml:space="preserve">Target Resolution</w:t>
            </w:r>
          </w:p>
        </w:tc>
      </w:tr>
      <w:tr>
        <w:tc>
          <w:tcPr>
            <w:tcW w:type="pct" w:w="25%"/>
          </w:tcPr>
          <w:p>
            <w:r>
              <w:rPr>
                <w:rFonts w:ascii="Calibri" w:cs="Calibri" w:eastAsia="Calibri" w:hAnsi="Calibri"/>
                <w:color w:val="333333"/>
                <w:sz w:val="20"/>
                <w:szCs w:val="20"/>
              </w:rPr>
              <w:t xml:space="preserve">Transaction Error</w:t>
            </w:r>
          </w:p>
        </w:tc>
        <w:tc>
          <w:tcPr>
            <w:tcW w:type="pct" w:w="25%"/>
          </w:tcPr>
          <w:p>
            <w:r>
              <w:rPr>
                <w:rFonts w:ascii="Calibri" w:cs="Calibri" w:eastAsia="Calibri" w:hAnsi="Calibri"/>
                <w:color w:val="333333"/>
                <w:sz w:val="20"/>
                <w:szCs w:val="20"/>
              </w:rPr>
              <w:t xml:space="preserve">Incorrect debit/credit, missing funds, failed transaction not reversed</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48 hours</w:t>
            </w:r>
          </w:p>
        </w:tc>
      </w:tr>
      <w:tr>
        <w:tc>
          <w:tcPr>
            <w:tcW w:type="pct" w:w="25%"/>
          </w:tcPr>
          <w:p>
            <w:r>
              <w:rPr>
                <w:rFonts w:ascii="Calibri" w:cs="Calibri" w:eastAsia="Calibri" w:hAnsi="Calibri"/>
                <w:color w:val="333333"/>
                <w:sz w:val="20"/>
                <w:szCs w:val="20"/>
              </w:rPr>
              <w:t xml:space="preserve">Service Availability</w:t>
            </w:r>
          </w:p>
        </w:tc>
        <w:tc>
          <w:tcPr>
            <w:tcW w:type="pct" w:w="25%"/>
          </w:tcPr>
          <w:p>
            <w:r>
              <w:rPr>
                <w:rFonts w:ascii="Calibri" w:cs="Calibri" w:eastAsia="Calibri" w:hAnsi="Calibri"/>
                <w:color w:val="333333"/>
                <w:sz w:val="20"/>
                <w:szCs w:val="20"/>
              </w:rPr>
              <w:t xml:space="preserve">App not working, unable to transact, login issues</w:t>
            </w:r>
          </w:p>
        </w:tc>
        <w:tc>
          <w:tcPr>
            <w:tcW w:type="pct" w:w="25%"/>
          </w:tcPr>
          <w:p>
            <w:r>
              <w:rPr>
                <w:rFonts w:ascii="Calibri" w:cs="Calibri" w:eastAsia="Calibri" w:hAnsi="Calibri"/>
                <w:color w:val="333333"/>
                <w:sz w:val="20"/>
                <w:szCs w:val="20"/>
              </w:rPr>
              <w:t xml:space="preserve">High</w:t>
            </w:r>
          </w:p>
        </w:tc>
        <w:tc>
          <w:tcPr>
            <w:tcW w:type="pct" w:w="25%"/>
          </w:tcPr>
          <w:p>
            <w:r>
              <w:rPr>
                <w:rFonts w:ascii="Calibri" w:cs="Calibri" w:eastAsia="Calibri" w:hAnsi="Calibri"/>
                <w:color w:val="333333"/>
                <w:sz w:val="20"/>
                <w:szCs w:val="20"/>
              </w:rPr>
              <w:t xml:space="preserve">24 hours</w:t>
            </w:r>
          </w:p>
        </w:tc>
      </w:tr>
      <w:tr>
        <w:tc>
          <w:tcPr>
            <w:tcW w:type="pct" w:w="25%"/>
          </w:tcPr>
          <w:p>
            <w:r>
              <w:rPr>
                <w:rFonts w:ascii="Calibri" w:cs="Calibri" w:eastAsia="Calibri" w:hAnsi="Calibri"/>
                <w:color w:val="333333"/>
                <w:sz w:val="20"/>
                <w:szCs w:val="20"/>
              </w:rPr>
              <w:t xml:space="preserve">Fee Dispute</w:t>
            </w:r>
          </w:p>
        </w:tc>
        <w:tc>
          <w:tcPr>
            <w:tcW w:type="pct" w:w="25%"/>
          </w:tcPr>
          <w:p>
            <w:r>
              <w:rPr>
                <w:rFonts w:ascii="Calibri" w:cs="Calibri" w:eastAsia="Calibri" w:hAnsi="Calibri"/>
                <w:color w:val="333333"/>
                <w:sz w:val="20"/>
                <w:szCs w:val="20"/>
              </w:rPr>
              <w:t xml:space="preserve">Incorrect fee charged, fee not disclosed</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5 business days</w:t>
            </w:r>
          </w:p>
        </w:tc>
      </w:tr>
      <w:tr>
        <w:tc>
          <w:tcPr>
            <w:tcW w:type="pct" w:w="25%"/>
          </w:tcPr>
          <w:p>
            <w:r>
              <w:rPr>
                <w:rFonts w:ascii="Calibri" w:cs="Calibri" w:eastAsia="Calibri" w:hAnsi="Calibri"/>
                <w:color w:val="333333"/>
                <w:sz w:val="20"/>
                <w:szCs w:val="20"/>
              </w:rPr>
              <w:t xml:space="preserve">Agent Complaint</w:t>
            </w:r>
          </w:p>
        </w:tc>
        <w:tc>
          <w:tcPr>
            <w:tcW w:type="pct" w:w="25%"/>
          </w:tcPr>
          <w:p>
            <w:r>
              <w:rPr>
                <w:rFonts w:ascii="Calibri" w:cs="Calibri" w:eastAsia="Calibri" w:hAnsi="Calibri"/>
                <w:color w:val="333333"/>
                <w:sz w:val="20"/>
                <w:szCs w:val="20"/>
              </w:rPr>
              <w:t xml:space="preserve">Agent misconduct, overcharging, refusal to serve</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5 business days</w:t>
            </w:r>
          </w:p>
        </w:tc>
      </w:tr>
      <w:tr>
        <w:tc>
          <w:tcPr>
            <w:tcW w:type="pct" w:w="25%"/>
          </w:tcPr>
          <w:p>
            <w:r>
              <w:rPr>
                <w:rFonts w:ascii="Calibri" w:cs="Calibri" w:eastAsia="Calibri" w:hAnsi="Calibri"/>
                <w:color w:val="333333"/>
                <w:sz w:val="20"/>
                <w:szCs w:val="20"/>
              </w:rPr>
              <w:t xml:space="preserve">Account Issue</w:t>
            </w:r>
          </w:p>
        </w:tc>
        <w:tc>
          <w:tcPr>
            <w:tcW w:type="pct" w:w="25%"/>
          </w:tcPr>
          <w:p>
            <w:r>
              <w:rPr>
                <w:rFonts w:ascii="Calibri" w:cs="Calibri" w:eastAsia="Calibri" w:hAnsi="Calibri"/>
                <w:color w:val="333333"/>
                <w:sz w:val="20"/>
                <w:szCs w:val="20"/>
              </w:rPr>
              <w:t xml:space="preserve">Account frozen, tier upgrade request, profile error</w:t>
            </w:r>
          </w:p>
        </w:tc>
        <w:tc>
          <w:tcPr>
            <w:tcW w:type="pct" w:w="25%"/>
          </w:tcPr>
          <w:p>
            <w:r>
              <w:rPr>
                <w:rFonts w:ascii="Calibri" w:cs="Calibri" w:eastAsia="Calibri" w:hAnsi="Calibri"/>
                <w:color w:val="333333"/>
                <w:sz w:val="20"/>
                <w:szCs w:val="20"/>
              </w:rPr>
              <w:t xml:space="preserve">Medium</w:t>
            </w:r>
          </w:p>
        </w:tc>
        <w:tc>
          <w:tcPr>
            <w:tcW w:type="pct" w:w="25%"/>
          </w:tcPr>
          <w:p>
            <w:r>
              <w:rPr>
                <w:rFonts w:ascii="Calibri" w:cs="Calibri" w:eastAsia="Calibri" w:hAnsi="Calibri"/>
                <w:color w:val="333333"/>
                <w:sz w:val="20"/>
                <w:szCs w:val="20"/>
              </w:rPr>
              <w:t xml:space="preserve">5 business days</w:t>
            </w:r>
          </w:p>
        </w:tc>
      </w:tr>
      <w:tr>
        <w:tc>
          <w:tcPr>
            <w:tcW w:type="pct" w:w="25%"/>
          </w:tcPr>
          <w:p>
            <w:r>
              <w:rPr>
                <w:rFonts w:ascii="Calibri" w:cs="Calibri" w:eastAsia="Calibri" w:hAnsi="Calibri"/>
                <w:color w:val="333333"/>
                <w:sz w:val="20"/>
                <w:szCs w:val="20"/>
              </w:rPr>
              <w:t xml:space="preserve">General Inquiry</w:t>
            </w:r>
          </w:p>
        </w:tc>
        <w:tc>
          <w:tcPr>
            <w:tcW w:type="pct" w:w="25%"/>
          </w:tcPr>
          <w:p>
            <w:r>
              <w:rPr>
                <w:rFonts w:ascii="Calibri" w:cs="Calibri" w:eastAsia="Calibri" w:hAnsi="Calibri"/>
                <w:color w:val="333333"/>
                <w:sz w:val="20"/>
                <w:szCs w:val="20"/>
              </w:rPr>
              <w:t xml:space="preserve">Feature questions, fee inquiries, service information</w:t>
            </w:r>
          </w:p>
        </w:tc>
        <w:tc>
          <w:tcPr>
            <w:tcW w:type="pct" w:w="25%"/>
          </w:tcPr>
          <w:p>
            <w:r>
              <w:rPr>
                <w:rFonts w:ascii="Calibri" w:cs="Calibri" w:eastAsia="Calibri" w:hAnsi="Calibri"/>
                <w:color w:val="333333"/>
                <w:sz w:val="20"/>
                <w:szCs w:val="20"/>
              </w:rPr>
              <w:t xml:space="preserve">Low</w:t>
            </w:r>
          </w:p>
        </w:tc>
        <w:tc>
          <w:tcPr>
            <w:tcW w:type="pct" w:w="25%"/>
          </w:tcPr>
          <w:p>
            <w:r>
              <w:rPr>
                <w:rFonts w:ascii="Calibri" w:cs="Calibri" w:eastAsia="Calibri" w:hAnsi="Calibri"/>
                <w:color w:val="333333"/>
                <w:sz w:val="20"/>
                <w:szCs w:val="20"/>
              </w:rPr>
              <w:t xml:space="preserve">3 business days</w:t>
            </w:r>
          </w:p>
        </w:tc>
      </w:tr>
      <w:tr>
        <w:tc>
          <w:tcPr>
            <w:tcW w:type="pct" w:w="25%"/>
          </w:tcPr>
          <w:p>
            <w:r>
              <w:rPr>
                <w:rFonts w:ascii="Calibri" w:cs="Calibri" w:eastAsia="Calibri" w:hAnsi="Calibri"/>
                <w:color w:val="333333"/>
                <w:sz w:val="20"/>
                <w:szCs w:val="20"/>
              </w:rPr>
              <w:t xml:space="preserve">Fraud/Security</w:t>
            </w:r>
          </w:p>
        </w:tc>
        <w:tc>
          <w:tcPr>
            <w:tcW w:type="pct" w:w="25%"/>
          </w:tcPr>
          <w:p>
            <w:r>
              <w:rPr>
                <w:rFonts w:ascii="Calibri" w:cs="Calibri" w:eastAsia="Calibri" w:hAnsi="Calibri"/>
                <w:color w:val="333333"/>
                <w:sz w:val="20"/>
                <w:szCs w:val="20"/>
              </w:rPr>
              <w:t xml:space="preserve">Unauthorised transaction, account compromise</w:t>
            </w:r>
          </w:p>
        </w:tc>
        <w:tc>
          <w:tcPr>
            <w:tcW w:type="pct" w:w="25%"/>
          </w:tcPr>
          <w:p>
            <w:r>
              <w:rPr>
                <w:rFonts w:ascii="Calibri" w:cs="Calibri" w:eastAsia="Calibri" w:hAnsi="Calibri"/>
                <w:color w:val="333333"/>
                <w:sz w:val="20"/>
                <w:szCs w:val="20"/>
              </w:rPr>
              <w:t xml:space="preserve">Critical</w:t>
            </w:r>
          </w:p>
        </w:tc>
        <w:tc>
          <w:tcPr>
            <w:tcW w:type="pct" w:w="25%"/>
          </w:tcPr>
          <w:p>
            <w:r>
              <w:rPr>
                <w:rFonts w:ascii="Calibri" w:cs="Calibri" w:eastAsia="Calibri" w:hAnsi="Calibri"/>
                <w:color w:val="333333"/>
                <w:sz w:val="20"/>
                <w:szCs w:val="20"/>
              </w:rPr>
              <w:t xml:space="preserve">Immediate + 24 hours</w:t>
            </w:r>
          </w:p>
        </w:tc>
      </w:tr>
    </w:tbl>
    <w:p>
      <w:pPr>
        <w:spacing w:after="200"/>
      </w:pPr>
    </w:p>
    <w:p>
      <w:pPr>
        <w:pStyle w:val="Heading2"/>
        <w:spacing w:after="120" w:before="300"/>
      </w:pPr>
      <w:r>
        <w:rPr>
          <w:rFonts w:ascii="Calibri" w:cs="Calibri" w:eastAsia="Calibri" w:hAnsi="Calibri"/>
          <w:b/>
          <w:bCs/>
          <w:color w:val="0A6E3C"/>
          <w:sz w:val="26"/>
          <w:szCs w:val="26"/>
        </w:rPr>
        <w:t xml:space="preserve">5.3 Step 3: Investigation</w:t>
      </w:r>
    </w:p>
    <w:p>
      <w:pPr>
        <w:spacing w:after="120" w:before="0"/>
        <w:jc w:val="both"/>
      </w:pPr>
      <w:r>
        <w:rPr>
          <w:rFonts w:ascii="Calibri" w:cs="Calibri" w:eastAsia="Calibri" w:hAnsi="Calibri"/>
          <w:b w:val="false"/>
          <w:bCs w:val="false"/>
          <w:i w:val="false"/>
          <w:iCs w:val="false"/>
          <w:color w:val="333333"/>
          <w:sz w:val="22"/>
          <w:szCs w:val="22"/>
        </w:rPr>
        <w:t xml:space="preserve">The assigned handler investigates the complaint using:</w:t>
      </w:r>
    </w:p>
    <w:p>
      <w:pPr>
        <w:pStyle w:val="ListParagraph"/>
        <w:numPr>
          <w:ilvl w:val="0"/>
          <w:numId w:val="1"/>
        </w:numPr>
        <w:spacing w:after="60"/>
      </w:pPr>
      <w:r>
        <w:rPr>
          <w:rFonts w:ascii="Calibri" w:cs="Calibri" w:eastAsia="Calibri" w:hAnsi="Calibri"/>
          <w:color w:val="333333"/>
          <w:sz w:val="22"/>
          <w:szCs w:val="22"/>
        </w:rPr>
        <w:t xml:space="preserve">Transaction records from the Monde database (immutable audit trail)</w:t>
      </w:r>
    </w:p>
    <w:p>
      <w:pPr>
        <w:pStyle w:val="ListParagraph"/>
        <w:numPr>
          <w:ilvl w:val="0"/>
          <w:numId w:val="1"/>
        </w:numPr>
        <w:spacing w:after="60"/>
      </w:pPr>
      <w:r>
        <w:rPr>
          <w:rFonts w:ascii="Calibri" w:cs="Calibri" w:eastAsia="Calibri" w:hAnsi="Calibri"/>
          <w:color w:val="333333"/>
          <w:sz w:val="22"/>
          <w:szCs w:val="22"/>
        </w:rPr>
        <w:t xml:space="preserve">System logs and Edge Function execution records</w:t>
      </w:r>
    </w:p>
    <w:p>
      <w:pPr>
        <w:pStyle w:val="ListParagraph"/>
        <w:numPr>
          <w:ilvl w:val="0"/>
          <w:numId w:val="1"/>
        </w:numPr>
        <w:spacing w:after="60"/>
      </w:pPr>
      <w:r>
        <w:rPr>
          <w:rFonts w:ascii="Calibri" w:cs="Calibri" w:eastAsia="Calibri" w:hAnsi="Calibri"/>
          <w:color w:val="333333"/>
          <w:sz w:val="22"/>
          <w:szCs w:val="22"/>
        </w:rPr>
        <w:t xml:space="preserve">Payment gateway (Lipila) transaction records and callbacks</w:t>
      </w:r>
    </w:p>
    <w:p>
      <w:pPr>
        <w:pStyle w:val="ListParagraph"/>
        <w:numPr>
          <w:ilvl w:val="0"/>
          <w:numId w:val="1"/>
        </w:numPr>
        <w:spacing w:after="60"/>
      </w:pPr>
      <w:r>
        <w:rPr>
          <w:rFonts w:ascii="Calibri" w:cs="Calibri" w:eastAsia="Calibri" w:hAnsi="Calibri"/>
          <w:color w:val="333333"/>
          <w:sz w:val="22"/>
          <w:szCs w:val="22"/>
        </w:rPr>
        <w:t xml:space="preserve">Customer account history and profile information</w:t>
      </w:r>
    </w:p>
    <w:p>
      <w:pPr>
        <w:pStyle w:val="ListParagraph"/>
        <w:numPr>
          <w:ilvl w:val="0"/>
          <w:numId w:val="1"/>
        </w:numPr>
        <w:spacing w:after="60"/>
      </w:pPr>
      <w:r>
        <w:rPr>
          <w:rFonts w:ascii="Calibri" w:cs="Calibri" w:eastAsia="Calibri" w:hAnsi="Calibri"/>
          <w:color w:val="333333"/>
          <w:sz w:val="22"/>
          <w:szCs w:val="22"/>
        </w:rPr>
        <w:t xml:space="preserve">Agent activity records (for agent-related complaints)</w:t>
      </w:r>
    </w:p>
    <w:p>
      <w:pPr>
        <w:pStyle w:val="ListParagraph"/>
        <w:numPr>
          <w:ilvl w:val="0"/>
          <w:numId w:val="1"/>
        </w:numPr>
        <w:spacing w:after="60"/>
      </w:pPr>
      <w:r>
        <w:rPr>
          <w:rFonts w:ascii="Calibri" w:cs="Calibri" w:eastAsia="Calibri" w:hAnsi="Calibri"/>
          <w:color w:val="333333"/>
          <w:sz w:val="22"/>
          <w:szCs w:val="22"/>
        </w:rPr>
        <w:t xml:space="preserve">Interviews with relevant staff or agents</w:t>
      </w:r>
    </w:p>
    <w:p>
      <w:pPr>
        <w:pStyle w:val="Heading2"/>
        <w:spacing w:after="120" w:before="300"/>
      </w:pPr>
      <w:r>
        <w:rPr>
          <w:rFonts w:ascii="Calibri" w:cs="Calibri" w:eastAsia="Calibri" w:hAnsi="Calibri"/>
          <w:b/>
          <w:bCs/>
          <w:color w:val="0A6E3C"/>
          <w:sz w:val="26"/>
          <w:szCs w:val="26"/>
        </w:rPr>
        <w:t xml:space="preserve">5.4 Step 4: Resolution</w:t>
      </w:r>
    </w:p>
    <w:p>
      <w:pPr>
        <w:spacing w:after="120" w:before="0"/>
        <w:jc w:val="both"/>
      </w:pPr>
      <w:r>
        <w:rPr>
          <w:rFonts w:ascii="Calibri" w:cs="Calibri" w:eastAsia="Calibri" w:hAnsi="Calibri"/>
          <w:b w:val="false"/>
          <w:bCs w:val="false"/>
          <w:i w:val="false"/>
          <w:iCs w:val="false"/>
          <w:color w:val="333333"/>
          <w:sz w:val="22"/>
          <w:szCs w:val="22"/>
        </w:rPr>
        <w:t xml:space="preserve">Based on the investigation findings, the handler determines the appropriate resolution:</w:t>
      </w:r>
    </w:p>
    <w:p>
      <w:pPr>
        <w:pStyle w:val="ListParagraph"/>
        <w:numPr>
          <w:ilvl w:val="0"/>
          <w:numId w:val="1"/>
        </w:numPr>
        <w:spacing w:after="60"/>
      </w:pPr>
      <w:r>
        <w:rPr>
          <w:rFonts w:ascii="Calibri" w:cs="Calibri" w:eastAsia="Calibri" w:hAnsi="Calibri"/>
          <w:color w:val="333333"/>
          <w:sz w:val="22"/>
          <w:szCs w:val="22"/>
        </w:rPr>
        <w:t xml:space="preserve">Transaction Reversal: Where a system error caused an incorrect transaction, the customer is made whole through a corrective transaction</w:t>
      </w:r>
    </w:p>
    <w:p>
      <w:pPr>
        <w:pStyle w:val="ListParagraph"/>
        <w:numPr>
          <w:ilvl w:val="0"/>
          <w:numId w:val="1"/>
        </w:numPr>
        <w:spacing w:after="60"/>
      </w:pPr>
      <w:r>
        <w:rPr>
          <w:rFonts w:ascii="Calibri" w:cs="Calibri" w:eastAsia="Calibri" w:hAnsi="Calibri"/>
          <w:color w:val="333333"/>
          <w:sz w:val="22"/>
          <w:szCs w:val="22"/>
        </w:rPr>
        <w:t xml:space="preserve">Refund: Where a fee was incorrectly charged, the fee is refunded to the customer wallet</w:t>
      </w:r>
    </w:p>
    <w:p>
      <w:pPr>
        <w:pStyle w:val="ListParagraph"/>
        <w:numPr>
          <w:ilvl w:val="0"/>
          <w:numId w:val="1"/>
        </w:numPr>
        <w:spacing w:after="60"/>
      </w:pPr>
      <w:r>
        <w:rPr>
          <w:rFonts w:ascii="Calibri" w:cs="Calibri" w:eastAsia="Calibri" w:hAnsi="Calibri"/>
          <w:color w:val="333333"/>
          <w:sz w:val="22"/>
          <w:szCs w:val="22"/>
        </w:rPr>
        <w:t xml:space="preserve">Account Correction: Where account data is incorrect, it is corrected in the system</w:t>
      </w:r>
    </w:p>
    <w:p>
      <w:pPr>
        <w:pStyle w:val="ListParagraph"/>
        <w:numPr>
          <w:ilvl w:val="0"/>
          <w:numId w:val="1"/>
        </w:numPr>
        <w:spacing w:after="60"/>
      </w:pPr>
      <w:r>
        <w:rPr>
          <w:rFonts w:ascii="Calibri" w:cs="Calibri" w:eastAsia="Calibri" w:hAnsi="Calibri"/>
          <w:color w:val="333333"/>
          <w:sz w:val="22"/>
          <w:szCs w:val="22"/>
        </w:rPr>
        <w:t xml:space="preserve">Explanation: Where the complaint arises from a misunderstanding, a clear explanation is provided</w:t>
      </w:r>
    </w:p>
    <w:p>
      <w:pPr>
        <w:pStyle w:val="ListParagraph"/>
        <w:numPr>
          <w:ilvl w:val="0"/>
          <w:numId w:val="1"/>
        </w:numPr>
        <w:spacing w:after="60"/>
      </w:pPr>
      <w:r>
        <w:rPr>
          <w:rFonts w:ascii="Calibri" w:cs="Calibri" w:eastAsia="Calibri" w:hAnsi="Calibri"/>
          <w:color w:val="333333"/>
          <w:sz w:val="22"/>
          <w:szCs w:val="22"/>
        </w:rPr>
        <w:t xml:space="preserve">Agent Action: Where an agent is at fault, disciplinary action is taken (warning, suspension, or termination of agent status)</w:t>
      </w:r>
    </w:p>
    <w:p>
      <w:pPr>
        <w:pStyle w:val="ListParagraph"/>
        <w:numPr>
          <w:ilvl w:val="0"/>
          <w:numId w:val="1"/>
        </w:numPr>
        <w:spacing w:after="60"/>
      </w:pPr>
      <w:r>
        <w:rPr>
          <w:rFonts w:ascii="Calibri" w:cs="Calibri" w:eastAsia="Calibri" w:hAnsi="Calibri"/>
          <w:color w:val="333333"/>
          <w:sz w:val="22"/>
          <w:szCs w:val="22"/>
        </w:rPr>
        <w:t xml:space="preserve">Escalation: Where the complaint involves potential fraud or regulatory issues, it is escalated to the CCO</w:t>
      </w:r>
    </w:p>
    <w:p>
      <w:pPr>
        <w:pStyle w:val="Heading2"/>
        <w:spacing w:after="120" w:before="300"/>
      </w:pPr>
      <w:r>
        <w:rPr>
          <w:rFonts w:ascii="Calibri" w:cs="Calibri" w:eastAsia="Calibri" w:hAnsi="Calibri"/>
          <w:b/>
          <w:bCs/>
          <w:color w:val="0A6E3C"/>
          <w:sz w:val="26"/>
          <w:szCs w:val="26"/>
        </w:rPr>
        <w:t xml:space="preserve">5.5 Step 5: Communication</w:t>
      </w:r>
    </w:p>
    <w:p>
      <w:pPr>
        <w:spacing w:after="120" w:before="0"/>
        <w:jc w:val="both"/>
      </w:pPr>
      <w:r>
        <w:rPr>
          <w:rFonts w:ascii="Calibri" w:cs="Calibri" w:eastAsia="Calibri" w:hAnsi="Calibri"/>
          <w:b w:val="false"/>
          <w:bCs w:val="false"/>
          <w:i w:val="false"/>
          <w:iCs w:val="false"/>
          <w:color w:val="333333"/>
          <w:sz w:val="22"/>
          <w:szCs w:val="22"/>
        </w:rPr>
        <w:t xml:space="preserve">The complainant is informed of the resolution:</w:t>
      </w:r>
    </w:p>
    <w:p>
      <w:pPr>
        <w:pStyle w:val="ListParagraph"/>
        <w:numPr>
          <w:ilvl w:val="0"/>
          <w:numId w:val="1"/>
        </w:numPr>
        <w:spacing w:after="60"/>
      </w:pPr>
      <w:r>
        <w:rPr>
          <w:rFonts w:ascii="Calibri" w:cs="Calibri" w:eastAsia="Calibri" w:hAnsi="Calibri"/>
          <w:color w:val="333333"/>
          <w:sz w:val="22"/>
          <w:szCs w:val="22"/>
        </w:rPr>
        <w:t xml:space="preserve">Written response provided through the same channel as the complaint (or by SMS/email)</w:t>
      </w:r>
    </w:p>
    <w:p>
      <w:pPr>
        <w:pStyle w:val="ListParagraph"/>
        <w:numPr>
          <w:ilvl w:val="0"/>
          <w:numId w:val="1"/>
        </w:numPr>
        <w:spacing w:after="60"/>
      </w:pPr>
      <w:r>
        <w:rPr>
          <w:rFonts w:ascii="Calibri" w:cs="Calibri" w:eastAsia="Calibri" w:hAnsi="Calibri"/>
          <w:color w:val="333333"/>
          <w:sz w:val="22"/>
          <w:szCs w:val="22"/>
        </w:rPr>
        <w:t xml:space="preserve">Response includes: summary of findings, resolution action taken, and right to escalate if dissatisfied</w:t>
      </w:r>
    </w:p>
    <w:p>
      <w:pPr>
        <w:pStyle w:val="ListParagraph"/>
        <w:numPr>
          <w:ilvl w:val="0"/>
          <w:numId w:val="1"/>
        </w:numPr>
        <w:spacing w:after="60"/>
      </w:pPr>
      <w:r>
        <w:rPr>
          <w:rFonts w:ascii="Calibri" w:cs="Calibri" w:eastAsia="Calibri" w:hAnsi="Calibri"/>
          <w:color w:val="333333"/>
          <w:sz w:val="22"/>
          <w:szCs w:val="22"/>
        </w:rPr>
        <w:t xml:space="preserve">If investigation is ongoing beyond the target timeframe, interim update is provided</w:t>
      </w:r>
    </w:p>
    <w:p>
      <w:pPr>
        <w:pStyle w:val="Heading2"/>
        <w:spacing w:after="120" w:before="300"/>
      </w:pPr>
      <w:r>
        <w:rPr>
          <w:rFonts w:ascii="Calibri" w:cs="Calibri" w:eastAsia="Calibri" w:hAnsi="Calibri"/>
          <w:b/>
          <w:bCs/>
          <w:color w:val="0A6E3C"/>
          <w:sz w:val="26"/>
          <w:szCs w:val="26"/>
        </w:rPr>
        <w:t xml:space="preserve">5.6 Step 6: Closure and Follow-Up</w:t>
      </w:r>
    </w:p>
    <w:p>
      <w:pPr>
        <w:pStyle w:val="ListParagraph"/>
        <w:numPr>
          <w:ilvl w:val="0"/>
          <w:numId w:val="1"/>
        </w:numPr>
        <w:spacing w:after="60"/>
      </w:pPr>
      <w:r>
        <w:rPr>
          <w:rFonts w:ascii="Calibri" w:cs="Calibri" w:eastAsia="Calibri" w:hAnsi="Calibri"/>
          <w:color w:val="333333"/>
          <w:sz w:val="22"/>
          <w:szCs w:val="22"/>
        </w:rPr>
        <w:t xml:space="preserve">Complaint is marked as resolved in the Complaints Register</w:t>
      </w:r>
    </w:p>
    <w:p>
      <w:pPr>
        <w:pStyle w:val="ListParagraph"/>
        <w:numPr>
          <w:ilvl w:val="0"/>
          <w:numId w:val="1"/>
        </w:numPr>
        <w:spacing w:after="60"/>
      </w:pPr>
      <w:r>
        <w:rPr>
          <w:rFonts w:ascii="Calibri" w:cs="Calibri" w:eastAsia="Calibri" w:hAnsi="Calibri"/>
          <w:color w:val="333333"/>
          <w:sz w:val="22"/>
          <w:szCs w:val="22"/>
        </w:rPr>
        <w:t xml:space="preserve">Customer satisfaction is confirmed (where practical)</w:t>
      </w:r>
    </w:p>
    <w:p>
      <w:pPr>
        <w:pStyle w:val="ListParagraph"/>
        <w:numPr>
          <w:ilvl w:val="0"/>
          <w:numId w:val="1"/>
        </w:numPr>
        <w:spacing w:after="60"/>
      </w:pPr>
      <w:r>
        <w:rPr>
          <w:rFonts w:ascii="Calibri" w:cs="Calibri" w:eastAsia="Calibri" w:hAnsi="Calibri"/>
          <w:color w:val="333333"/>
          <w:sz w:val="22"/>
          <w:szCs w:val="22"/>
        </w:rPr>
        <w:t xml:space="preserve">Root cause analysis is performed for systemic issues</w:t>
      </w:r>
    </w:p>
    <w:p>
      <w:pPr>
        <w:pStyle w:val="ListParagraph"/>
        <w:numPr>
          <w:ilvl w:val="0"/>
          <w:numId w:val="1"/>
        </w:numPr>
        <w:spacing w:after="60"/>
      </w:pPr>
      <w:r>
        <w:rPr>
          <w:rFonts w:ascii="Calibri" w:cs="Calibri" w:eastAsia="Calibri" w:hAnsi="Calibri"/>
          <w:color w:val="333333"/>
          <w:sz w:val="22"/>
          <w:szCs w:val="22"/>
        </w:rPr>
        <w:t xml:space="preserve">Trends are reported to management for process improvement</w:t>
      </w:r>
    </w:p>
    <w:p>
      <w:r>
        <w:br w:type="page"/>
      </w:r>
    </w:p>
    <w:p>
      <w:pPr>
        <w:pStyle w:val="Heading1"/>
        <w:spacing w:after="120" w:before="300"/>
      </w:pPr>
      <w:r>
        <w:rPr>
          <w:rFonts w:ascii="Calibri" w:cs="Calibri" w:eastAsia="Calibri" w:hAnsi="Calibri"/>
          <w:b/>
          <w:bCs/>
          <w:color w:val="0A6E3C"/>
          <w:sz w:val="32"/>
          <w:szCs w:val="32"/>
        </w:rPr>
        <w:t xml:space="preserve">6. ESCALATION PROCEDURE</w:t>
      </w:r>
    </w:p>
    <w:p>
      <w:pPr>
        <w:pStyle w:val="Heading2"/>
        <w:spacing w:after="120" w:before="300"/>
      </w:pPr>
      <w:r>
        <w:rPr>
          <w:rFonts w:ascii="Calibri" w:cs="Calibri" w:eastAsia="Calibri" w:hAnsi="Calibri"/>
          <w:b/>
          <w:bCs/>
          <w:color w:val="0A6E3C"/>
          <w:sz w:val="26"/>
          <w:szCs w:val="26"/>
        </w:rPr>
        <w:t xml:space="preserve">6.1 Internal Escalation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color="0A6E3C" w:val="solid"/>
          </w:tcPr>
          <w:p>
            <w:pPr>
              <w:jc w:val="center"/>
            </w:pPr>
            <w:r>
              <w:rPr>
                <w:rFonts w:ascii="Calibri" w:cs="Calibri" w:eastAsia="Calibri" w:hAnsi="Calibri"/>
                <w:b/>
                <w:bCs/>
                <w:color w:val="FFFFFF"/>
                <w:sz w:val="20"/>
                <w:szCs w:val="20"/>
              </w:rPr>
              <w:t xml:space="preserve">Level</w:t>
            </w:r>
          </w:p>
        </w:tc>
        <w:tc>
          <w:tcPr>
            <w:tcW w:type="pct" w:w="25%"/>
            <w:shd w:color="0A6E3C" w:val="solid"/>
          </w:tcPr>
          <w:p>
            <w:pPr>
              <w:jc w:val="center"/>
            </w:pPr>
            <w:r>
              <w:rPr>
                <w:rFonts w:ascii="Calibri" w:cs="Calibri" w:eastAsia="Calibri" w:hAnsi="Calibri"/>
                <w:b/>
                <w:bCs/>
                <w:color w:val="FFFFFF"/>
                <w:sz w:val="20"/>
                <w:szCs w:val="20"/>
              </w:rPr>
              <w:t xml:space="preserve">Handler</w:t>
            </w:r>
          </w:p>
        </w:tc>
        <w:tc>
          <w:tcPr>
            <w:tcW w:type="pct" w:w="25%"/>
            <w:shd w:color="0A6E3C" w:val="solid"/>
          </w:tcPr>
          <w:p>
            <w:pPr>
              <w:jc w:val="center"/>
            </w:pPr>
            <w:r>
              <w:rPr>
                <w:rFonts w:ascii="Calibri" w:cs="Calibri" w:eastAsia="Calibri" w:hAnsi="Calibri"/>
                <w:b/>
                <w:bCs/>
                <w:color w:val="FFFFFF"/>
                <w:sz w:val="20"/>
                <w:szCs w:val="20"/>
              </w:rPr>
              <w:t xml:space="preserve">Trigger</w:t>
            </w:r>
          </w:p>
        </w:tc>
        <w:tc>
          <w:tcPr>
            <w:tcW w:type="pct" w:w="25%"/>
            <w:shd w:color="0A6E3C" w:val="solid"/>
          </w:tcPr>
          <w:p>
            <w:pPr>
              <w:jc w:val="center"/>
            </w:pPr>
            <w:r>
              <w:rPr>
                <w:rFonts w:ascii="Calibri" w:cs="Calibri" w:eastAsia="Calibri" w:hAnsi="Calibri"/>
                <w:b/>
                <w:bCs/>
                <w:color w:val="FFFFFF"/>
                <w:sz w:val="20"/>
                <w:szCs w:val="20"/>
              </w:rPr>
              <w:t xml:space="preserve">Timeframe</w:t>
            </w:r>
          </w:p>
        </w:tc>
      </w:tr>
      <w:tr>
        <w:tc>
          <w:tcPr>
            <w:tcW w:type="pct" w:w="25%"/>
          </w:tcPr>
          <w:p>
            <w:r>
              <w:rPr>
                <w:rFonts w:ascii="Calibri" w:cs="Calibri" w:eastAsia="Calibri" w:hAnsi="Calibri"/>
                <w:color w:val="333333"/>
                <w:sz w:val="20"/>
                <w:szCs w:val="20"/>
              </w:rPr>
              <w:t xml:space="preserve">Level 1</w:t>
            </w:r>
          </w:p>
        </w:tc>
        <w:tc>
          <w:tcPr>
            <w:tcW w:type="pct" w:w="25%"/>
          </w:tcPr>
          <w:p>
            <w:r>
              <w:rPr>
                <w:rFonts w:ascii="Calibri" w:cs="Calibri" w:eastAsia="Calibri" w:hAnsi="Calibri"/>
                <w:color w:val="333333"/>
                <w:sz w:val="20"/>
                <w:szCs w:val="20"/>
              </w:rPr>
              <w:t xml:space="preserve">Customer Support Agent</w:t>
            </w:r>
          </w:p>
        </w:tc>
        <w:tc>
          <w:tcPr>
            <w:tcW w:type="pct" w:w="25%"/>
          </w:tcPr>
          <w:p>
            <w:r>
              <w:rPr>
                <w:rFonts w:ascii="Calibri" w:cs="Calibri" w:eastAsia="Calibri" w:hAnsi="Calibri"/>
                <w:color w:val="333333"/>
                <w:sz w:val="20"/>
                <w:szCs w:val="20"/>
              </w:rPr>
              <w:t xml:space="preserve">Initial complaint receipt</w:t>
            </w:r>
          </w:p>
        </w:tc>
        <w:tc>
          <w:tcPr>
            <w:tcW w:type="pct" w:w="25%"/>
          </w:tcPr>
          <w:p>
            <w:r>
              <w:rPr>
                <w:rFonts w:ascii="Calibri" w:cs="Calibri" w:eastAsia="Calibri" w:hAnsi="Calibri"/>
                <w:color w:val="333333"/>
                <w:sz w:val="20"/>
                <w:szCs w:val="20"/>
              </w:rPr>
              <w:t xml:space="preserve">Resolve within target time</w:t>
            </w:r>
          </w:p>
        </w:tc>
      </w:tr>
      <w:tr>
        <w:tc>
          <w:tcPr>
            <w:tcW w:type="pct" w:w="25%"/>
          </w:tcPr>
          <w:p>
            <w:r>
              <w:rPr>
                <w:rFonts w:ascii="Calibri" w:cs="Calibri" w:eastAsia="Calibri" w:hAnsi="Calibri"/>
                <w:color w:val="333333"/>
                <w:sz w:val="20"/>
                <w:szCs w:val="20"/>
              </w:rPr>
              <w:t xml:space="preserve">Level 2</w:t>
            </w:r>
          </w:p>
        </w:tc>
        <w:tc>
          <w:tcPr>
            <w:tcW w:type="pct" w:w="25%"/>
          </w:tcPr>
          <w:p>
            <w:r>
              <w:rPr>
                <w:rFonts w:ascii="Calibri" w:cs="Calibri" w:eastAsia="Calibri" w:hAnsi="Calibri"/>
                <w:color w:val="333333"/>
                <w:sz w:val="20"/>
                <w:szCs w:val="20"/>
              </w:rPr>
              <w:t xml:space="preserve">Customer Support Lead / Agent Network Manager</w:t>
            </w:r>
          </w:p>
        </w:tc>
        <w:tc>
          <w:tcPr>
            <w:tcW w:type="pct" w:w="25%"/>
          </w:tcPr>
          <w:p>
            <w:r>
              <w:rPr>
                <w:rFonts w:ascii="Calibri" w:cs="Calibri" w:eastAsia="Calibri" w:hAnsi="Calibri"/>
                <w:color w:val="333333"/>
                <w:sz w:val="20"/>
                <w:szCs w:val="20"/>
              </w:rPr>
              <w:t xml:space="preserve">Unable to resolve at Level 1, or customer requests escalation</w:t>
            </w:r>
          </w:p>
        </w:tc>
        <w:tc>
          <w:tcPr>
            <w:tcW w:type="pct" w:w="25%"/>
          </w:tcPr>
          <w:p>
            <w:r>
              <w:rPr>
                <w:rFonts w:ascii="Calibri" w:cs="Calibri" w:eastAsia="Calibri" w:hAnsi="Calibri"/>
                <w:color w:val="333333"/>
                <w:sz w:val="20"/>
                <w:szCs w:val="20"/>
              </w:rPr>
              <w:t xml:space="preserve">Additional 2 business days</w:t>
            </w:r>
          </w:p>
        </w:tc>
      </w:tr>
      <w:tr>
        <w:tc>
          <w:tcPr>
            <w:tcW w:type="pct" w:w="25%"/>
          </w:tcPr>
          <w:p>
            <w:r>
              <w:rPr>
                <w:rFonts w:ascii="Calibri" w:cs="Calibri" w:eastAsia="Calibri" w:hAnsi="Calibri"/>
                <w:color w:val="333333"/>
                <w:sz w:val="20"/>
                <w:szCs w:val="20"/>
              </w:rPr>
              <w:t xml:space="preserve">Level 3</w:t>
            </w:r>
          </w:p>
        </w:tc>
        <w:tc>
          <w:tcPr>
            <w:tcW w:type="pct" w:w="25%"/>
          </w:tcPr>
          <w:p>
            <w:r>
              <w:rPr>
                <w:rFonts w:ascii="Calibri" w:cs="Calibri" w:eastAsia="Calibri" w:hAnsi="Calibri"/>
                <w:color w:val="333333"/>
                <w:sz w:val="20"/>
                <w:szCs w:val="20"/>
              </w:rPr>
              <w:t xml:space="preserve">Chief Compliance Officer (CCO)</w:t>
            </w:r>
          </w:p>
        </w:tc>
        <w:tc>
          <w:tcPr>
            <w:tcW w:type="pct" w:w="25%"/>
          </w:tcPr>
          <w:p>
            <w:r>
              <w:rPr>
                <w:rFonts w:ascii="Calibri" w:cs="Calibri" w:eastAsia="Calibri" w:hAnsi="Calibri"/>
                <w:color w:val="333333"/>
                <w:sz w:val="20"/>
                <w:szCs w:val="20"/>
              </w:rPr>
              <w:t xml:space="preserve">Unable to resolve at Level 2, involves fraud/regulatory/policy issues, or customer requests escalation</w:t>
            </w:r>
          </w:p>
        </w:tc>
        <w:tc>
          <w:tcPr>
            <w:tcW w:type="pct" w:w="25%"/>
          </w:tcPr>
          <w:p>
            <w:r>
              <w:rPr>
                <w:rFonts w:ascii="Calibri" w:cs="Calibri" w:eastAsia="Calibri" w:hAnsi="Calibri"/>
                <w:color w:val="333333"/>
                <w:sz w:val="20"/>
                <w:szCs w:val="20"/>
              </w:rPr>
              <w:t xml:space="preserve">Additional 5 business days</w:t>
            </w:r>
          </w:p>
        </w:tc>
      </w:tr>
      <w:tr>
        <w:tc>
          <w:tcPr>
            <w:tcW w:type="pct" w:w="25%"/>
          </w:tcPr>
          <w:p>
            <w:r>
              <w:rPr>
                <w:rFonts w:ascii="Calibri" w:cs="Calibri" w:eastAsia="Calibri" w:hAnsi="Calibri"/>
                <w:color w:val="333333"/>
                <w:sz w:val="20"/>
                <w:szCs w:val="20"/>
              </w:rPr>
              <w:t xml:space="preserve">Level 4</w:t>
            </w:r>
          </w:p>
        </w:tc>
        <w:tc>
          <w:tcPr>
            <w:tcW w:type="pct" w:w="25%"/>
          </w:tcPr>
          <w:p>
            <w:r>
              <w:rPr>
                <w:rFonts w:ascii="Calibri" w:cs="Calibri" w:eastAsia="Calibri" w:hAnsi="Calibri"/>
                <w:color w:val="333333"/>
                <w:sz w:val="20"/>
                <w:szCs w:val="20"/>
              </w:rPr>
              <w:t xml:space="preserve">Chief Executive Officer (CEO)</w:t>
            </w:r>
          </w:p>
        </w:tc>
        <w:tc>
          <w:tcPr>
            <w:tcW w:type="pct" w:w="25%"/>
          </w:tcPr>
          <w:p>
            <w:r>
              <w:rPr>
                <w:rFonts w:ascii="Calibri" w:cs="Calibri" w:eastAsia="Calibri" w:hAnsi="Calibri"/>
                <w:color w:val="333333"/>
                <w:sz w:val="20"/>
                <w:szCs w:val="20"/>
              </w:rPr>
              <w:t xml:space="preserve">Unable to resolve at Level 3, or involves significant financial or reputational impact</w:t>
            </w:r>
          </w:p>
        </w:tc>
        <w:tc>
          <w:tcPr>
            <w:tcW w:type="pct" w:w="25%"/>
          </w:tcPr>
          <w:p>
            <w:r>
              <w:rPr>
                <w:rFonts w:ascii="Calibri" w:cs="Calibri" w:eastAsia="Calibri" w:hAnsi="Calibri"/>
                <w:color w:val="333333"/>
                <w:sz w:val="20"/>
                <w:szCs w:val="20"/>
              </w:rPr>
              <w:t xml:space="preserve">Additional 5 business days</w:t>
            </w:r>
          </w:p>
        </w:tc>
      </w:tr>
    </w:tbl>
    <w:p>
      <w:pPr>
        <w:spacing w:after="200"/>
      </w:pPr>
    </w:p>
    <w:p>
      <w:pPr>
        <w:pStyle w:val="Heading2"/>
        <w:spacing w:after="120" w:before="300"/>
      </w:pPr>
      <w:r>
        <w:rPr>
          <w:rFonts w:ascii="Calibri" w:cs="Calibri" w:eastAsia="Calibri" w:hAnsi="Calibri"/>
          <w:b/>
          <w:bCs/>
          <w:color w:val="0A6E3C"/>
          <w:sz w:val="26"/>
          <w:szCs w:val="26"/>
        </w:rPr>
        <w:t xml:space="preserve">6.2 External Escalation</w:t>
      </w:r>
    </w:p>
    <w:p>
      <w:pPr>
        <w:spacing w:after="120" w:before="0"/>
        <w:jc w:val="both"/>
      </w:pPr>
      <w:r>
        <w:rPr>
          <w:rFonts w:ascii="Calibri" w:cs="Calibri" w:eastAsia="Calibri" w:hAnsi="Calibri"/>
          <w:b w:val="false"/>
          <w:bCs w:val="false"/>
          <w:i w:val="false"/>
          <w:iCs w:val="false"/>
          <w:color w:val="333333"/>
          <w:sz w:val="22"/>
          <w:szCs w:val="22"/>
        </w:rPr>
        <w:t xml:space="preserve">If the complainant is not satisfied with the resolution after exhausting the internal escalation process, they may escalate the matter to:</w:t>
      </w:r>
    </w:p>
    <w:p>
      <w:pPr>
        <w:spacing w:after="120" w:before="0"/>
        <w:jc w:val="both"/>
      </w:pPr>
      <w:r>
        <w:rPr>
          <w:rFonts w:ascii="Calibri" w:cs="Calibri" w:eastAsia="Calibri" w:hAnsi="Calibri"/>
          <w:b/>
          <w:bCs/>
          <w:i w:val="false"/>
          <w:iCs w:val="false"/>
          <w:color w:val="333333"/>
          <w:sz w:val="22"/>
          <w:szCs w:val="22"/>
        </w:rPr>
        <w:t xml:space="preserve">Bank of Zambia — Payment Systems Department</w:t>
      </w:r>
    </w:p>
    <w:p>
      <w:pPr>
        <w:spacing w:after="120" w:before="0"/>
        <w:jc w:val="both"/>
      </w:pPr>
      <w:r>
        <w:rPr>
          <w:rFonts w:ascii="Calibri" w:cs="Calibri" w:eastAsia="Calibri" w:hAnsi="Calibri"/>
          <w:b w:val="false"/>
          <w:bCs w:val="false"/>
          <w:i w:val="false"/>
          <w:iCs w:val="false"/>
          <w:color w:val="333333"/>
          <w:sz w:val="22"/>
          <w:szCs w:val="22"/>
        </w:rPr>
        <w:t xml:space="preserve">Address: Bank Square, Cairo Road, P.O. Box 30080, Lusaka, Zambia</w:t>
      </w:r>
    </w:p>
    <w:p>
      <w:pPr>
        <w:spacing w:after="120" w:before="0"/>
        <w:jc w:val="both"/>
      </w:pPr>
      <w:r>
        <w:rPr>
          <w:rFonts w:ascii="Calibri" w:cs="Calibri" w:eastAsia="Calibri" w:hAnsi="Calibri"/>
          <w:b w:val="false"/>
          <w:bCs w:val="false"/>
          <w:i w:val="false"/>
          <w:iCs w:val="false"/>
          <w:color w:val="333333"/>
          <w:sz w:val="22"/>
          <w:szCs w:val="22"/>
        </w:rPr>
        <w:t xml:space="preserve">Email: psd@boz.zm</w:t>
      </w:r>
    </w:p>
    <w:p>
      <w:pPr>
        <w:spacing w:after="120" w:before="0"/>
        <w:jc w:val="both"/>
      </w:pPr>
      <w:r>
        <w:rPr>
          <w:rFonts w:ascii="Calibri" w:cs="Calibri" w:eastAsia="Calibri" w:hAnsi="Calibri"/>
          <w:b w:val="false"/>
          <w:bCs w:val="false"/>
          <w:i w:val="false"/>
          <w:iCs w:val="false"/>
          <w:color w:val="333333"/>
          <w:sz w:val="22"/>
          <w:szCs w:val="22"/>
        </w:rPr>
        <w:t xml:space="preserve">Phone: +260 211 399 300</w:t>
      </w:r>
    </w:p>
    <w:p>
      <w:pPr>
        <w:spacing w:after="200"/>
      </w:pPr>
    </w:p>
    <w:p>
      <w:pPr>
        <w:spacing w:after="120" w:before="0"/>
        <w:jc w:val="both"/>
      </w:pPr>
      <w:r>
        <w:rPr>
          <w:rFonts w:ascii="Calibri" w:cs="Calibri" w:eastAsia="Calibri" w:hAnsi="Calibri"/>
          <w:b w:val="false"/>
          <w:bCs w:val="false"/>
          <w:i w:val="false"/>
          <w:iCs w:val="false"/>
          <w:color w:val="333333"/>
          <w:sz w:val="22"/>
          <w:szCs w:val="22"/>
        </w:rPr>
        <w:t xml:space="preserve">Monde will cooperate fully with any investigation initiated by the Bank of Zambia and provide all requested information and records.</w:t>
      </w:r>
    </w:p>
    <w:p>
      <w:pPr>
        <w:pStyle w:val="Heading1"/>
        <w:spacing w:after="120" w:before="300"/>
      </w:pPr>
      <w:r>
        <w:rPr>
          <w:rFonts w:ascii="Calibri" w:cs="Calibri" w:eastAsia="Calibri" w:hAnsi="Calibri"/>
          <w:b/>
          <w:bCs/>
          <w:color w:val="0A6E3C"/>
          <w:sz w:val="32"/>
          <w:szCs w:val="32"/>
        </w:rPr>
        <w:t xml:space="preserve">7. COMPLAINTS REGISTER</w:t>
      </w:r>
    </w:p>
    <w:p>
      <w:pPr>
        <w:spacing w:after="120" w:before="0"/>
        <w:jc w:val="both"/>
      </w:pPr>
      <w:r>
        <w:rPr>
          <w:rFonts w:ascii="Calibri" w:cs="Calibri" w:eastAsia="Calibri" w:hAnsi="Calibri"/>
          <w:b w:val="false"/>
          <w:bCs w:val="false"/>
          <w:i w:val="false"/>
          <w:iCs w:val="false"/>
          <w:color w:val="333333"/>
          <w:sz w:val="22"/>
          <w:szCs w:val="22"/>
        </w:rPr>
        <w:t xml:space="preserve">Monde maintains a Complaints Register that records:</w:t>
      </w:r>
    </w:p>
    <w:p>
      <w:pPr>
        <w:pStyle w:val="ListParagraph"/>
        <w:numPr>
          <w:ilvl w:val="0"/>
          <w:numId w:val="1"/>
        </w:numPr>
        <w:spacing w:after="60"/>
      </w:pPr>
      <w:r>
        <w:rPr>
          <w:rFonts w:ascii="Calibri" w:cs="Calibri" w:eastAsia="Calibri" w:hAnsi="Calibri"/>
          <w:color w:val="333333"/>
          <w:sz w:val="22"/>
          <w:szCs w:val="22"/>
        </w:rPr>
        <w:t xml:space="preserve">Unique complaint reference number</w:t>
      </w:r>
    </w:p>
    <w:p>
      <w:pPr>
        <w:pStyle w:val="ListParagraph"/>
        <w:numPr>
          <w:ilvl w:val="0"/>
          <w:numId w:val="1"/>
        </w:numPr>
        <w:spacing w:after="60"/>
      </w:pPr>
      <w:r>
        <w:rPr>
          <w:rFonts w:ascii="Calibri" w:cs="Calibri" w:eastAsia="Calibri" w:hAnsi="Calibri"/>
          <w:color w:val="333333"/>
          <w:sz w:val="22"/>
          <w:szCs w:val="22"/>
        </w:rPr>
        <w:t xml:space="preserve">Date and time of receipt</w:t>
      </w:r>
    </w:p>
    <w:p>
      <w:pPr>
        <w:pStyle w:val="ListParagraph"/>
        <w:numPr>
          <w:ilvl w:val="0"/>
          <w:numId w:val="1"/>
        </w:numPr>
        <w:spacing w:after="60"/>
      </w:pPr>
      <w:r>
        <w:rPr>
          <w:rFonts w:ascii="Calibri" w:cs="Calibri" w:eastAsia="Calibri" w:hAnsi="Calibri"/>
          <w:color w:val="333333"/>
          <w:sz w:val="22"/>
          <w:szCs w:val="22"/>
        </w:rPr>
        <w:t xml:space="preserve">Channel through which complaint was received</w:t>
      </w:r>
    </w:p>
    <w:p>
      <w:pPr>
        <w:pStyle w:val="ListParagraph"/>
        <w:numPr>
          <w:ilvl w:val="0"/>
          <w:numId w:val="1"/>
        </w:numPr>
        <w:spacing w:after="60"/>
      </w:pPr>
      <w:r>
        <w:rPr>
          <w:rFonts w:ascii="Calibri" w:cs="Calibri" w:eastAsia="Calibri" w:hAnsi="Calibri"/>
          <w:color w:val="333333"/>
          <w:sz w:val="22"/>
          <w:szCs w:val="22"/>
        </w:rPr>
        <w:t xml:space="preserve">Complainant name, phone number, and account details</w:t>
      </w:r>
    </w:p>
    <w:p>
      <w:pPr>
        <w:pStyle w:val="ListParagraph"/>
        <w:numPr>
          <w:ilvl w:val="0"/>
          <w:numId w:val="1"/>
        </w:numPr>
        <w:spacing w:after="60"/>
      </w:pPr>
      <w:r>
        <w:rPr>
          <w:rFonts w:ascii="Calibri" w:cs="Calibri" w:eastAsia="Calibri" w:hAnsi="Calibri"/>
          <w:color w:val="333333"/>
          <w:sz w:val="22"/>
          <w:szCs w:val="22"/>
        </w:rPr>
        <w:t xml:space="preserve">Nature and category of the complaint</w:t>
      </w:r>
    </w:p>
    <w:p>
      <w:pPr>
        <w:pStyle w:val="ListParagraph"/>
        <w:numPr>
          <w:ilvl w:val="0"/>
          <w:numId w:val="1"/>
        </w:numPr>
        <w:spacing w:after="60"/>
      </w:pPr>
      <w:r>
        <w:rPr>
          <w:rFonts w:ascii="Calibri" w:cs="Calibri" w:eastAsia="Calibri" w:hAnsi="Calibri"/>
          <w:color w:val="333333"/>
          <w:sz w:val="22"/>
          <w:szCs w:val="22"/>
        </w:rPr>
        <w:t xml:space="preserve">Priority classification</w:t>
      </w:r>
    </w:p>
    <w:p>
      <w:pPr>
        <w:pStyle w:val="ListParagraph"/>
        <w:numPr>
          <w:ilvl w:val="0"/>
          <w:numId w:val="1"/>
        </w:numPr>
        <w:spacing w:after="60"/>
      </w:pPr>
      <w:r>
        <w:rPr>
          <w:rFonts w:ascii="Calibri" w:cs="Calibri" w:eastAsia="Calibri" w:hAnsi="Calibri"/>
          <w:color w:val="333333"/>
          <w:sz w:val="22"/>
          <w:szCs w:val="22"/>
        </w:rPr>
        <w:t xml:space="preserve">Assigned handler</w:t>
      </w:r>
    </w:p>
    <w:p>
      <w:pPr>
        <w:pStyle w:val="ListParagraph"/>
        <w:numPr>
          <w:ilvl w:val="0"/>
          <w:numId w:val="1"/>
        </w:numPr>
        <w:spacing w:after="60"/>
      </w:pPr>
      <w:r>
        <w:rPr>
          <w:rFonts w:ascii="Calibri" w:cs="Calibri" w:eastAsia="Calibri" w:hAnsi="Calibri"/>
          <w:color w:val="333333"/>
          <w:sz w:val="22"/>
          <w:szCs w:val="22"/>
        </w:rPr>
        <w:t xml:space="preserve">Investigation findings</w:t>
      </w:r>
    </w:p>
    <w:p>
      <w:pPr>
        <w:pStyle w:val="ListParagraph"/>
        <w:numPr>
          <w:ilvl w:val="0"/>
          <w:numId w:val="1"/>
        </w:numPr>
        <w:spacing w:after="60"/>
      </w:pPr>
      <w:r>
        <w:rPr>
          <w:rFonts w:ascii="Calibri" w:cs="Calibri" w:eastAsia="Calibri" w:hAnsi="Calibri"/>
          <w:color w:val="333333"/>
          <w:sz w:val="22"/>
          <w:szCs w:val="22"/>
        </w:rPr>
        <w:t xml:space="preserve">Resolution action taken</w:t>
      </w:r>
    </w:p>
    <w:p>
      <w:pPr>
        <w:pStyle w:val="ListParagraph"/>
        <w:numPr>
          <w:ilvl w:val="0"/>
          <w:numId w:val="1"/>
        </w:numPr>
        <w:spacing w:after="60"/>
      </w:pPr>
      <w:r>
        <w:rPr>
          <w:rFonts w:ascii="Calibri" w:cs="Calibri" w:eastAsia="Calibri" w:hAnsi="Calibri"/>
          <w:color w:val="333333"/>
          <w:sz w:val="22"/>
          <w:szCs w:val="22"/>
        </w:rPr>
        <w:t xml:space="preserve">Date of resolution</w:t>
      </w:r>
    </w:p>
    <w:p>
      <w:pPr>
        <w:pStyle w:val="ListParagraph"/>
        <w:numPr>
          <w:ilvl w:val="0"/>
          <w:numId w:val="1"/>
        </w:numPr>
        <w:spacing w:after="60"/>
      </w:pPr>
      <w:r>
        <w:rPr>
          <w:rFonts w:ascii="Calibri" w:cs="Calibri" w:eastAsia="Calibri" w:hAnsi="Calibri"/>
          <w:color w:val="333333"/>
          <w:sz w:val="22"/>
          <w:szCs w:val="22"/>
        </w:rPr>
        <w:t xml:space="preserve">Customer satisfaction status</w:t>
      </w:r>
    </w:p>
    <w:p>
      <w:pPr>
        <w:pStyle w:val="ListParagraph"/>
        <w:numPr>
          <w:ilvl w:val="0"/>
          <w:numId w:val="1"/>
        </w:numPr>
        <w:spacing w:after="60"/>
      </w:pPr>
      <w:r>
        <w:rPr>
          <w:rFonts w:ascii="Calibri" w:cs="Calibri" w:eastAsia="Calibri" w:hAnsi="Calibri"/>
          <w:color w:val="333333"/>
          <w:sz w:val="22"/>
          <w:szCs w:val="22"/>
        </w:rPr>
        <w:t xml:space="preserve">Escalation history (if any)</w:t>
      </w:r>
    </w:p>
    <w:p>
      <w:pPr>
        <w:spacing w:after="120" w:before="0"/>
        <w:jc w:val="both"/>
      </w:pPr>
      <w:r>
        <w:rPr>
          <w:rFonts w:ascii="Calibri" w:cs="Calibri" w:eastAsia="Calibri" w:hAnsi="Calibri"/>
          <w:b w:val="false"/>
          <w:bCs w:val="false"/>
          <w:i w:val="false"/>
          <w:iCs w:val="false"/>
          <w:color w:val="333333"/>
          <w:sz w:val="22"/>
          <w:szCs w:val="22"/>
        </w:rPr>
        <w:t xml:space="preserve">The Complaints Register is maintained electronically and is accessible to the CCO and senior management for monitoring and reporting purposes.</w:t>
      </w:r>
    </w:p>
    <w:p>
      <w:pPr>
        <w:pStyle w:val="Heading1"/>
        <w:spacing w:after="120" w:before="300"/>
      </w:pPr>
      <w:r>
        <w:rPr>
          <w:rFonts w:ascii="Calibri" w:cs="Calibri" w:eastAsia="Calibri" w:hAnsi="Calibri"/>
          <w:b/>
          <w:bCs/>
          <w:color w:val="0A6E3C"/>
          <w:sz w:val="32"/>
          <w:szCs w:val="32"/>
        </w:rPr>
        <w:t xml:space="preserve">8. REPORTING AND MONITORING</w:t>
      </w:r>
    </w:p>
    <w:p>
      <w:pPr>
        <w:pStyle w:val="Heading2"/>
        <w:spacing w:after="120" w:before="300"/>
      </w:pPr>
      <w:r>
        <w:rPr>
          <w:rFonts w:ascii="Calibri" w:cs="Calibri" w:eastAsia="Calibri" w:hAnsi="Calibri"/>
          <w:b/>
          <w:bCs/>
          <w:color w:val="0A6E3C"/>
          <w:sz w:val="26"/>
          <w:szCs w:val="26"/>
        </w:rPr>
        <w:t xml:space="preserve">8.1 Internal Reporting</w:t>
      </w:r>
    </w:p>
    <w:p>
      <w:pPr>
        <w:pStyle w:val="ListParagraph"/>
        <w:numPr>
          <w:ilvl w:val="0"/>
          <w:numId w:val="1"/>
        </w:numPr>
        <w:spacing w:after="60"/>
      </w:pPr>
      <w:r>
        <w:rPr>
          <w:rFonts w:ascii="Calibri" w:cs="Calibri" w:eastAsia="Calibri" w:hAnsi="Calibri"/>
          <w:color w:val="333333"/>
          <w:sz w:val="22"/>
          <w:szCs w:val="22"/>
        </w:rPr>
        <w:t xml:space="preserve">Weekly: Complaints summary report to Customer Support Lead (volume, categories, resolution rate)</w:t>
      </w:r>
    </w:p>
    <w:p>
      <w:pPr>
        <w:pStyle w:val="ListParagraph"/>
        <w:numPr>
          <w:ilvl w:val="0"/>
          <w:numId w:val="1"/>
        </w:numPr>
        <w:spacing w:after="60"/>
      </w:pPr>
      <w:r>
        <w:rPr>
          <w:rFonts w:ascii="Calibri" w:cs="Calibri" w:eastAsia="Calibri" w:hAnsi="Calibri"/>
          <w:color w:val="333333"/>
          <w:sz w:val="22"/>
          <w:szCs w:val="22"/>
        </w:rPr>
        <w:t xml:space="preserve">Monthly: Complaints analytics report to CEO and CCO (trends, root causes, systemic issues)</w:t>
      </w:r>
    </w:p>
    <w:p>
      <w:pPr>
        <w:pStyle w:val="ListParagraph"/>
        <w:numPr>
          <w:ilvl w:val="0"/>
          <w:numId w:val="1"/>
        </w:numPr>
        <w:spacing w:after="60"/>
      </w:pPr>
      <w:r>
        <w:rPr>
          <w:rFonts w:ascii="Calibri" w:cs="Calibri" w:eastAsia="Calibri" w:hAnsi="Calibri"/>
          <w:color w:val="333333"/>
          <w:sz w:val="22"/>
          <w:szCs w:val="22"/>
        </w:rPr>
        <w:t xml:space="preserve">Quarterly: Comprehensive complaints report to the Board of Directors (statistics, trends, actions taken, customer satisfaction)</w:t>
      </w:r>
    </w:p>
    <w:p>
      <w:pPr>
        <w:pStyle w:val="Heading2"/>
        <w:spacing w:after="120" w:before="300"/>
      </w:pPr>
      <w:r>
        <w:rPr>
          <w:rFonts w:ascii="Calibri" w:cs="Calibri" w:eastAsia="Calibri" w:hAnsi="Calibri"/>
          <w:b/>
          <w:bCs/>
          <w:color w:val="0A6E3C"/>
          <w:sz w:val="26"/>
          <w:szCs w:val="26"/>
        </w:rPr>
        <w:t xml:space="preserve">8.2 Regulatory Reporting</w:t>
      </w:r>
    </w:p>
    <w:p>
      <w:pPr>
        <w:spacing w:after="120" w:before="0"/>
        <w:jc w:val="both"/>
      </w:pPr>
      <w:r>
        <w:rPr>
          <w:rFonts w:ascii="Calibri" w:cs="Calibri" w:eastAsia="Calibri" w:hAnsi="Calibri"/>
          <w:b w:val="false"/>
          <w:bCs w:val="false"/>
          <w:i w:val="false"/>
          <w:iCs w:val="false"/>
          <w:color w:val="333333"/>
          <w:sz w:val="22"/>
          <w:szCs w:val="22"/>
        </w:rPr>
        <w:t xml:space="preserve">Monde will provide the Bank of Zambia with:</w:t>
      </w:r>
    </w:p>
    <w:p>
      <w:pPr>
        <w:pStyle w:val="ListParagraph"/>
        <w:numPr>
          <w:ilvl w:val="0"/>
          <w:numId w:val="1"/>
        </w:numPr>
        <w:spacing w:after="60"/>
      </w:pPr>
      <w:r>
        <w:rPr>
          <w:rFonts w:ascii="Calibri" w:cs="Calibri" w:eastAsia="Calibri" w:hAnsi="Calibri"/>
          <w:color w:val="333333"/>
          <w:sz w:val="22"/>
          <w:szCs w:val="22"/>
        </w:rPr>
        <w:t xml:space="preserve">Quarterly summary of complaints received, categories, and resolution outcomes</w:t>
      </w:r>
    </w:p>
    <w:p>
      <w:pPr>
        <w:pStyle w:val="ListParagraph"/>
        <w:numPr>
          <w:ilvl w:val="0"/>
          <w:numId w:val="1"/>
        </w:numPr>
        <w:spacing w:after="60"/>
      </w:pPr>
      <w:r>
        <w:rPr>
          <w:rFonts w:ascii="Calibri" w:cs="Calibri" w:eastAsia="Calibri" w:hAnsi="Calibri"/>
          <w:color w:val="333333"/>
          <w:sz w:val="22"/>
          <w:szCs w:val="22"/>
        </w:rPr>
        <w:t xml:space="preserve">Immediate notification of any complaint that reveals a systemic risk or significant customer impact</w:t>
      </w:r>
    </w:p>
    <w:p>
      <w:pPr>
        <w:pStyle w:val="ListParagraph"/>
        <w:numPr>
          <w:ilvl w:val="0"/>
          <w:numId w:val="1"/>
        </w:numPr>
        <w:spacing w:after="60"/>
      </w:pPr>
      <w:r>
        <w:rPr>
          <w:rFonts w:ascii="Calibri" w:cs="Calibri" w:eastAsia="Calibri" w:hAnsi="Calibri"/>
          <w:color w:val="333333"/>
          <w:sz w:val="22"/>
          <w:szCs w:val="22"/>
        </w:rPr>
        <w:t xml:space="preserve">Annual report on complaints handling performance and improvement initiatives</w:t>
      </w:r>
    </w:p>
    <w:p>
      <w:pPr>
        <w:pStyle w:val="Heading2"/>
        <w:spacing w:after="120" w:before="300"/>
      </w:pPr>
      <w:r>
        <w:rPr>
          <w:rFonts w:ascii="Calibri" w:cs="Calibri" w:eastAsia="Calibri" w:hAnsi="Calibri"/>
          <w:b/>
          <w:bCs/>
          <w:color w:val="0A6E3C"/>
          <w:sz w:val="26"/>
          <w:szCs w:val="26"/>
        </w:rPr>
        <w:t xml:space="preserve">8.3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color="0A6E3C" w:val="solid"/>
          </w:tcPr>
          <w:p>
            <w:pPr>
              <w:jc w:val="center"/>
            </w:pPr>
            <w:r>
              <w:rPr>
                <w:rFonts w:ascii="Calibri" w:cs="Calibri" w:eastAsia="Calibri" w:hAnsi="Calibri"/>
                <w:b/>
                <w:bCs/>
                <w:color w:val="FFFFFF"/>
                <w:sz w:val="20"/>
                <w:szCs w:val="20"/>
              </w:rPr>
              <w:t xml:space="preserve">KPI</w:t>
            </w:r>
          </w:p>
        </w:tc>
        <w:tc>
          <w:tcPr>
            <w:tcW w:type="pct" w:w="50%"/>
            <w:shd w:color="0A6E3C" w:val="solid"/>
          </w:tcPr>
          <w:p>
            <w:pPr>
              <w:jc w:val="center"/>
            </w:pPr>
            <w:r>
              <w:rPr>
                <w:rFonts w:ascii="Calibri" w:cs="Calibri" w:eastAsia="Calibri" w:hAnsi="Calibri"/>
                <w:b/>
                <w:bCs/>
                <w:color w:val="FFFFFF"/>
                <w:sz w:val="20"/>
                <w:szCs w:val="20"/>
              </w:rPr>
              <w:t xml:space="preserve">Target</w:t>
            </w:r>
          </w:p>
        </w:tc>
      </w:tr>
      <w:tr>
        <w:tc>
          <w:tcPr>
            <w:tcW w:type="pct" w:w="50%"/>
          </w:tcPr>
          <w:p>
            <w:r>
              <w:rPr>
                <w:rFonts w:ascii="Calibri" w:cs="Calibri" w:eastAsia="Calibri" w:hAnsi="Calibri"/>
                <w:color w:val="333333"/>
                <w:sz w:val="20"/>
                <w:szCs w:val="20"/>
              </w:rPr>
              <w:t xml:space="preserve">Acknowledgement within 24 hours</w:t>
            </w:r>
          </w:p>
        </w:tc>
        <w:tc>
          <w:tcPr>
            <w:tcW w:type="pct" w:w="50%"/>
          </w:tcPr>
          <w:p>
            <w:r>
              <w:rPr>
                <w:rFonts w:ascii="Calibri" w:cs="Calibri" w:eastAsia="Calibri" w:hAnsi="Calibri"/>
                <w:color w:val="333333"/>
                <w:sz w:val="20"/>
                <w:szCs w:val="20"/>
              </w:rPr>
              <w:t xml:space="preserve">100%</w:t>
            </w:r>
          </w:p>
        </w:tc>
      </w:tr>
      <w:tr>
        <w:tc>
          <w:tcPr>
            <w:tcW w:type="pct" w:w="50%"/>
          </w:tcPr>
          <w:p>
            <w:r>
              <w:rPr>
                <w:rFonts w:ascii="Calibri" w:cs="Calibri" w:eastAsia="Calibri" w:hAnsi="Calibri"/>
                <w:color w:val="333333"/>
                <w:sz w:val="20"/>
                <w:szCs w:val="20"/>
              </w:rPr>
              <w:t xml:space="preserve">Resolution within target timeframe</w:t>
            </w:r>
          </w:p>
        </w:tc>
        <w:tc>
          <w:tcPr>
            <w:tcW w:type="pct" w:w="50%"/>
          </w:tcPr>
          <w:p>
            <w:r>
              <w:rPr>
                <w:rFonts w:ascii="Calibri" w:cs="Calibri" w:eastAsia="Calibri" w:hAnsi="Calibri"/>
                <w:color w:val="333333"/>
                <w:sz w:val="20"/>
                <w:szCs w:val="20"/>
              </w:rPr>
              <w:t xml:space="preserve">90%</w:t>
            </w:r>
          </w:p>
        </w:tc>
      </w:tr>
      <w:tr>
        <w:tc>
          <w:tcPr>
            <w:tcW w:type="pct" w:w="50%"/>
          </w:tcPr>
          <w:p>
            <w:r>
              <w:rPr>
                <w:rFonts w:ascii="Calibri" w:cs="Calibri" w:eastAsia="Calibri" w:hAnsi="Calibri"/>
                <w:color w:val="333333"/>
                <w:sz w:val="20"/>
                <w:szCs w:val="20"/>
              </w:rPr>
              <w:t xml:space="preserve">First Contact Resolution rate</w:t>
            </w:r>
          </w:p>
        </w:tc>
        <w:tc>
          <w:tcPr>
            <w:tcW w:type="pct" w:w="50%"/>
          </w:tcPr>
          <w:p>
            <w:r>
              <w:rPr>
                <w:rFonts w:ascii="Calibri" w:cs="Calibri" w:eastAsia="Calibri" w:hAnsi="Calibri"/>
                <w:color w:val="333333"/>
                <w:sz w:val="20"/>
                <w:szCs w:val="20"/>
              </w:rPr>
              <w:t xml:space="preserve">60%</w:t>
            </w:r>
          </w:p>
        </w:tc>
      </w:tr>
      <w:tr>
        <w:tc>
          <w:tcPr>
            <w:tcW w:type="pct" w:w="50%"/>
          </w:tcPr>
          <w:p>
            <w:r>
              <w:rPr>
                <w:rFonts w:ascii="Calibri" w:cs="Calibri" w:eastAsia="Calibri" w:hAnsi="Calibri"/>
                <w:color w:val="333333"/>
                <w:sz w:val="20"/>
                <w:szCs w:val="20"/>
              </w:rPr>
              <w:t xml:space="preserve">Customer satisfaction with resolution</w:t>
            </w:r>
          </w:p>
        </w:tc>
        <w:tc>
          <w:tcPr>
            <w:tcW w:type="pct" w:w="50%"/>
          </w:tcPr>
          <w:p>
            <w:r>
              <w:rPr>
                <w:rFonts w:ascii="Calibri" w:cs="Calibri" w:eastAsia="Calibri" w:hAnsi="Calibri"/>
                <w:color w:val="333333"/>
                <w:sz w:val="20"/>
                <w:szCs w:val="20"/>
              </w:rPr>
              <w:t xml:space="preserve">80%</w:t>
            </w:r>
          </w:p>
        </w:tc>
      </w:tr>
      <w:tr>
        <w:tc>
          <w:tcPr>
            <w:tcW w:type="pct" w:w="50%"/>
          </w:tcPr>
          <w:p>
            <w:r>
              <w:rPr>
                <w:rFonts w:ascii="Calibri" w:cs="Calibri" w:eastAsia="Calibri" w:hAnsi="Calibri"/>
                <w:color w:val="333333"/>
                <w:sz w:val="20"/>
                <w:szCs w:val="20"/>
              </w:rPr>
              <w:t xml:space="preserve">Complaints escalated to Level 3+</w:t>
            </w:r>
          </w:p>
        </w:tc>
        <w:tc>
          <w:tcPr>
            <w:tcW w:type="pct" w:w="50%"/>
          </w:tcPr>
          <w:p>
            <w:r>
              <w:rPr>
                <w:rFonts w:ascii="Calibri" w:cs="Calibri" w:eastAsia="Calibri" w:hAnsi="Calibri"/>
                <w:color w:val="333333"/>
                <w:sz w:val="20"/>
                <w:szCs w:val="20"/>
              </w:rPr>
              <w:t xml:space="preserve">Less than 10%</w:t>
            </w:r>
          </w:p>
        </w:tc>
      </w:tr>
      <w:tr>
        <w:tc>
          <w:tcPr>
            <w:tcW w:type="pct" w:w="50%"/>
          </w:tcPr>
          <w:p>
            <w:r>
              <w:rPr>
                <w:rFonts w:ascii="Calibri" w:cs="Calibri" w:eastAsia="Calibri" w:hAnsi="Calibri"/>
                <w:color w:val="333333"/>
                <w:sz w:val="20"/>
                <w:szCs w:val="20"/>
              </w:rPr>
              <w:t xml:space="preserve">Complaints escalated to Bank of Zambia</w:t>
            </w:r>
          </w:p>
        </w:tc>
        <w:tc>
          <w:tcPr>
            <w:tcW w:type="pct" w:w="50%"/>
          </w:tcPr>
          <w:p>
            <w:r>
              <w:rPr>
                <w:rFonts w:ascii="Calibri" w:cs="Calibri" w:eastAsia="Calibri" w:hAnsi="Calibri"/>
                <w:color w:val="333333"/>
                <w:sz w:val="20"/>
                <w:szCs w:val="20"/>
              </w:rPr>
              <w:t xml:space="preserve">Less than 1%</w:t>
            </w:r>
          </w:p>
        </w:tc>
      </w:tr>
    </w:tbl>
    <w:p>
      <w:pPr>
        <w:spacing w:after="200"/>
      </w:pPr>
    </w:p>
    <w:p>
      <w:pPr>
        <w:pStyle w:val="Heading1"/>
        <w:spacing w:after="120" w:before="300"/>
      </w:pPr>
      <w:r>
        <w:rPr>
          <w:rFonts w:ascii="Calibri" w:cs="Calibri" w:eastAsia="Calibri" w:hAnsi="Calibri"/>
          <w:b/>
          <w:bCs/>
          <w:color w:val="0A6E3C"/>
          <w:sz w:val="32"/>
          <w:szCs w:val="32"/>
        </w:rPr>
        <w:t xml:space="preserve">9. STAFF TRAINING</w:t>
      </w:r>
    </w:p>
    <w:p>
      <w:pPr>
        <w:spacing w:after="120" w:before="0"/>
        <w:jc w:val="both"/>
      </w:pPr>
      <w:r>
        <w:rPr>
          <w:rFonts w:ascii="Calibri" w:cs="Calibri" w:eastAsia="Calibri" w:hAnsi="Calibri"/>
          <w:b w:val="false"/>
          <w:bCs w:val="false"/>
          <w:i w:val="false"/>
          <w:iCs w:val="false"/>
          <w:color w:val="333333"/>
          <w:sz w:val="22"/>
          <w:szCs w:val="22"/>
        </w:rPr>
        <w:t xml:space="preserve">All customer-facing staff and agents receive training on:</w:t>
      </w:r>
    </w:p>
    <w:p>
      <w:pPr>
        <w:pStyle w:val="ListParagraph"/>
        <w:numPr>
          <w:ilvl w:val="0"/>
          <w:numId w:val="1"/>
        </w:numPr>
        <w:spacing w:after="60"/>
      </w:pPr>
      <w:r>
        <w:rPr>
          <w:rFonts w:ascii="Calibri" w:cs="Calibri" w:eastAsia="Calibri" w:hAnsi="Calibri"/>
          <w:color w:val="333333"/>
          <w:sz w:val="22"/>
          <w:szCs w:val="22"/>
        </w:rPr>
        <w:t xml:space="preserve">This Complaints Handling Policy and associated procedures</w:t>
      </w:r>
    </w:p>
    <w:p>
      <w:pPr>
        <w:pStyle w:val="ListParagraph"/>
        <w:numPr>
          <w:ilvl w:val="0"/>
          <w:numId w:val="1"/>
        </w:numPr>
        <w:spacing w:after="60"/>
      </w:pPr>
      <w:r>
        <w:rPr>
          <w:rFonts w:ascii="Calibri" w:cs="Calibri" w:eastAsia="Calibri" w:hAnsi="Calibri"/>
          <w:color w:val="333333"/>
          <w:sz w:val="22"/>
          <w:szCs w:val="22"/>
        </w:rPr>
        <w:t xml:space="preserve">Effective communication and de-escalation techniques</w:t>
      </w:r>
    </w:p>
    <w:p>
      <w:pPr>
        <w:pStyle w:val="ListParagraph"/>
        <w:numPr>
          <w:ilvl w:val="0"/>
          <w:numId w:val="1"/>
        </w:numPr>
        <w:spacing w:after="60"/>
      </w:pPr>
      <w:r>
        <w:rPr>
          <w:rFonts w:ascii="Calibri" w:cs="Calibri" w:eastAsia="Calibri" w:hAnsi="Calibri"/>
          <w:color w:val="333333"/>
          <w:sz w:val="22"/>
          <w:szCs w:val="22"/>
        </w:rPr>
        <w:t xml:space="preserve">Using the Complaints Register and documentation requirements</w:t>
      </w:r>
    </w:p>
    <w:p>
      <w:pPr>
        <w:pStyle w:val="ListParagraph"/>
        <w:numPr>
          <w:ilvl w:val="0"/>
          <w:numId w:val="1"/>
        </w:numPr>
        <w:spacing w:after="60"/>
      </w:pPr>
      <w:r>
        <w:rPr>
          <w:rFonts w:ascii="Calibri" w:cs="Calibri" w:eastAsia="Calibri" w:hAnsi="Calibri"/>
          <w:color w:val="333333"/>
          <w:sz w:val="22"/>
          <w:szCs w:val="22"/>
        </w:rPr>
        <w:t xml:space="preserve">Escalation procedures and when to escalate</w:t>
      </w:r>
    </w:p>
    <w:p>
      <w:pPr>
        <w:pStyle w:val="ListParagraph"/>
        <w:numPr>
          <w:ilvl w:val="0"/>
          <w:numId w:val="1"/>
        </w:numPr>
        <w:spacing w:after="60"/>
      </w:pPr>
      <w:r>
        <w:rPr>
          <w:rFonts w:ascii="Calibri" w:cs="Calibri" w:eastAsia="Calibri" w:hAnsi="Calibri"/>
          <w:color w:val="333333"/>
          <w:sz w:val="22"/>
          <w:szCs w:val="22"/>
        </w:rPr>
        <w:t xml:space="preserve">Privacy and confidentiality requirements when handling complaints</w:t>
      </w:r>
    </w:p>
    <w:p>
      <w:pPr>
        <w:spacing w:after="120" w:before="0"/>
        <w:jc w:val="both"/>
      </w:pPr>
      <w:r>
        <w:rPr>
          <w:rFonts w:ascii="Calibri" w:cs="Calibri" w:eastAsia="Calibri" w:hAnsi="Calibri"/>
          <w:b w:val="false"/>
          <w:bCs w:val="false"/>
          <w:i w:val="false"/>
          <w:iCs w:val="false"/>
          <w:color w:val="333333"/>
          <w:sz w:val="22"/>
          <w:szCs w:val="22"/>
        </w:rPr>
        <w:t xml:space="preserve">Training is provided during onboarding and refreshed annually.</w:t>
      </w:r>
    </w:p>
    <w:p>
      <w:pPr>
        <w:pStyle w:val="Heading1"/>
        <w:spacing w:after="120" w:before="300"/>
      </w:pPr>
      <w:r>
        <w:rPr>
          <w:rFonts w:ascii="Calibri" w:cs="Calibri" w:eastAsia="Calibri" w:hAnsi="Calibri"/>
          <w:b/>
          <w:bCs/>
          <w:color w:val="0A6E3C"/>
          <w:sz w:val="32"/>
          <w:szCs w:val="32"/>
        </w:rPr>
        <w:t xml:space="preserve">10. CONTINUOUS IMPROVEMENT</w:t>
      </w:r>
    </w:p>
    <w:p>
      <w:pPr>
        <w:spacing w:after="120" w:before="0"/>
        <w:jc w:val="both"/>
      </w:pPr>
      <w:r>
        <w:rPr>
          <w:rFonts w:ascii="Calibri" w:cs="Calibri" w:eastAsia="Calibri" w:hAnsi="Calibri"/>
          <w:b w:val="false"/>
          <w:bCs w:val="false"/>
          <w:i w:val="false"/>
          <w:iCs w:val="false"/>
          <w:color w:val="333333"/>
          <w:sz w:val="22"/>
          <w:szCs w:val="22"/>
        </w:rPr>
        <w:t xml:space="preserve">Monde uses complaints data to drive continuous improvement:</w:t>
      </w:r>
    </w:p>
    <w:p>
      <w:pPr>
        <w:pStyle w:val="ListParagraph"/>
        <w:numPr>
          <w:ilvl w:val="0"/>
          <w:numId w:val="1"/>
        </w:numPr>
        <w:spacing w:after="60"/>
      </w:pPr>
      <w:r>
        <w:rPr>
          <w:rFonts w:ascii="Calibri" w:cs="Calibri" w:eastAsia="Calibri" w:hAnsi="Calibri"/>
          <w:color w:val="333333"/>
          <w:sz w:val="22"/>
          <w:szCs w:val="22"/>
        </w:rPr>
        <w:t xml:space="preserve">Root cause analysis is performed for all recurring complaint types</w:t>
      </w:r>
    </w:p>
    <w:p>
      <w:pPr>
        <w:pStyle w:val="ListParagraph"/>
        <w:numPr>
          <w:ilvl w:val="0"/>
          <w:numId w:val="1"/>
        </w:numPr>
        <w:spacing w:after="60"/>
      </w:pPr>
      <w:r>
        <w:rPr>
          <w:rFonts w:ascii="Calibri" w:cs="Calibri" w:eastAsia="Calibri" w:hAnsi="Calibri"/>
          <w:color w:val="333333"/>
          <w:sz w:val="22"/>
          <w:szCs w:val="22"/>
        </w:rPr>
        <w:t xml:space="preserve">System improvements are prioritised based on complaint volume and impact</w:t>
      </w:r>
    </w:p>
    <w:p>
      <w:pPr>
        <w:pStyle w:val="ListParagraph"/>
        <w:numPr>
          <w:ilvl w:val="0"/>
          <w:numId w:val="1"/>
        </w:numPr>
        <w:spacing w:after="60"/>
      </w:pPr>
      <w:r>
        <w:rPr>
          <w:rFonts w:ascii="Calibri" w:cs="Calibri" w:eastAsia="Calibri" w:hAnsi="Calibri"/>
          <w:color w:val="333333"/>
          <w:sz w:val="22"/>
          <w:szCs w:val="22"/>
        </w:rPr>
        <w:t xml:space="preserve">Customer feedback is incorporated into product development decisions</w:t>
      </w:r>
    </w:p>
    <w:p>
      <w:pPr>
        <w:pStyle w:val="ListParagraph"/>
        <w:numPr>
          <w:ilvl w:val="0"/>
          <w:numId w:val="1"/>
        </w:numPr>
        <w:spacing w:after="60"/>
      </w:pPr>
      <w:r>
        <w:rPr>
          <w:rFonts w:ascii="Calibri" w:cs="Calibri" w:eastAsia="Calibri" w:hAnsi="Calibri"/>
          <w:color w:val="333333"/>
          <w:sz w:val="22"/>
          <w:szCs w:val="22"/>
        </w:rPr>
        <w:t xml:space="preserve">Complaint trends are reviewed at monthly management meetings</w:t>
      </w:r>
    </w:p>
    <w:p>
      <w:pPr>
        <w:pStyle w:val="ListParagraph"/>
        <w:numPr>
          <w:ilvl w:val="0"/>
          <w:numId w:val="1"/>
        </w:numPr>
        <w:spacing w:after="60"/>
      </w:pPr>
      <w:r>
        <w:rPr>
          <w:rFonts w:ascii="Calibri" w:cs="Calibri" w:eastAsia="Calibri" w:hAnsi="Calibri"/>
          <w:color w:val="333333"/>
          <w:sz w:val="22"/>
          <w:szCs w:val="22"/>
        </w:rPr>
        <w:t xml:space="preserve">Process changes are documented and communicated to all staff</w:t>
      </w:r>
    </w:p>
    <w:p>
      <w:pPr>
        <w:pStyle w:val="Heading1"/>
        <w:spacing w:after="120" w:before="300"/>
      </w:pPr>
      <w:r>
        <w:rPr>
          <w:rFonts w:ascii="Calibri" w:cs="Calibri" w:eastAsia="Calibri" w:hAnsi="Calibri"/>
          <w:b/>
          <w:bCs/>
          <w:color w:val="0A6E3C"/>
          <w:sz w:val="32"/>
          <w:szCs w:val="32"/>
        </w:rPr>
        <w:t xml:space="preserve">11. POLICY REVIEW</w:t>
      </w:r>
    </w:p>
    <w:p>
      <w:pPr>
        <w:spacing w:after="120" w:before="0"/>
        <w:jc w:val="both"/>
      </w:pPr>
      <w:r>
        <w:rPr>
          <w:rFonts w:ascii="Calibri" w:cs="Calibri" w:eastAsia="Calibri" w:hAnsi="Calibri"/>
          <w:b w:val="false"/>
          <w:bCs w:val="false"/>
          <w:i w:val="false"/>
          <w:iCs w:val="false"/>
          <w:color w:val="333333"/>
          <w:sz w:val="22"/>
          <w:szCs w:val="22"/>
        </w:rPr>
        <w:t xml:space="preserve">This Complaints Handling and Resolution Policy shall be reviewed:</w:t>
      </w:r>
    </w:p>
    <w:p>
      <w:pPr>
        <w:pStyle w:val="ListParagraph"/>
        <w:numPr>
          <w:ilvl w:val="0"/>
          <w:numId w:val="1"/>
        </w:numPr>
        <w:spacing w:after="60"/>
      </w:pPr>
      <w:r>
        <w:rPr>
          <w:rFonts w:ascii="Calibri" w:cs="Calibri" w:eastAsia="Calibri" w:hAnsi="Calibri"/>
          <w:color w:val="333333"/>
          <w:sz w:val="22"/>
          <w:szCs w:val="22"/>
        </w:rPr>
        <w:t xml:space="preserve">Annually by the CCO with approval from the Board of Directors</w:t>
      </w:r>
    </w:p>
    <w:p>
      <w:pPr>
        <w:pStyle w:val="ListParagraph"/>
        <w:numPr>
          <w:ilvl w:val="0"/>
          <w:numId w:val="1"/>
        </w:numPr>
        <w:spacing w:after="60"/>
      </w:pPr>
      <w:r>
        <w:rPr>
          <w:rFonts w:ascii="Calibri" w:cs="Calibri" w:eastAsia="Calibri" w:hAnsi="Calibri"/>
          <w:color w:val="333333"/>
          <w:sz w:val="22"/>
          <w:szCs w:val="22"/>
        </w:rPr>
        <w:t xml:space="preserve">Following any significant increase in complaint volumes or types</w:t>
      </w:r>
    </w:p>
    <w:p>
      <w:pPr>
        <w:pStyle w:val="ListParagraph"/>
        <w:numPr>
          <w:ilvl w:val="0"/>
          <w:numId w:val="1"/>
        </w:numPr>
        <w:spacing w:after="60"/>
      </w:pPr>
      <w:r>
        <w:rPr>
          <w:rFonts w:ascii="Calibri" w:cs="Calibri" w:eastAsia="Calibri" w:hAnsi="Calibri"/>
          <w:color w:val="333333"/>
          <w:sz w:val="22"/>
          <w:szCs w:val="22"/>
        </w:rPr>
        <w:t xml:space="preserve">Following any regulatory finding or direction from the Bank of Zambia</w:t>
      </w:r>
    </w:p>
    <w:p>
      <w:pPr>
        <w:pStyle w:val="ListParagraph"/>
        <w:numPr>
          <w:ilvl w:val="0"/>
          <w:numId w:val="1"/>
        </w:numPr>
        <w:spacing w:after="60"/>
      </w:pPr>
      <w:r>
        <w:rPr>
          <w:rFonts w:ascii="Calibri" w:cs="Calibri" w:eastAsia="Calibri" w:hAnsi="Calibri"/>
          <w:color w:val="333333"/>
          <w:sz w:val="22"/>
          <w:szCs w:val="22"/>
        </w:rPr>
        <w:t xml:space="preserve">When new products or services are introduced</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2026-03-20T08:59:15.644Z</dcterms:created>
  <dcterms:modified xsi:type="dcterms:W3CDTF">2026-03-20T08:59:15.645Z</dcterms:modified>
</cp:coreProperties>
</file>

<file path=docProps/custom.xml><?xml version="1.0" encoding="utf-8"?>
<Properties xmlns="http://schemas.openxmlformats.org/officeDocument/2006/custom-properties" xmlns:vt="http://schemas.openxmlformats.org/officeDocument/2006/docPropsVTypes"/>
</file>