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50"/>
      </w:pPr>
      <w:r>
        <w:rPr>
          <w:b/>
          <w:bCs/>
          <w:color w:val="6C3FD1"/>
          <w:sz w:val="54"/>
          <w:szCs w:val="54"/>
        </w:rPr>
        <w:t xml:space="preserve">JOVSTACK</w:t>
      </w:r>
    </w:p>
    <w:p>
      <w:pPr>
        <w:spacing w:after="60"/>
      </w:pPr>
      <w:r>
        <w:rPr>
          <w:color w:val="5A6172"/>
          <w:sz w:val="23"/>
          <w:szCs w:val="23"/>
        </w:rPr>
        <w:t xml:space="preserve">Multi-Tenant SaaS Platform</w:t>
      </w:r>
    </w:p>
    <w:p>
      <w:pPr>
        <w:pBdr>
          <w:top w:val="single" w:color="6C3FD1" w:sz="12" w:space="6"/>
        </w:pBdr>
        <w:spacing w:after="60" w:before="440"/>
      </w:pPr>
      <w:r>
        <w:rPr>
          <w:b/>
          <w:bCs/>
          <w:color w:val="1F2430"/>
          <w:sz w:val="34"/>
          <w:szCs w:val="34"/>
        </w:rPr>
        <w:t xml:space="preserve">Platform Architecture Specification</w:t>
      </w:r>
    </w:p>
    <w:p>
      <w:pPr>
        <w:spacing w:after="40"/>
      </w:pPr>
      <w:r>
        <w:rPr>
          <w:b/>
          <w:bCs/>
          <w:color w:val="6C3FD1"/>
          <w:sz w:val="22"/>
          <w:szCs w:val="22"/>
        </w:rPr>
        <w:t xml:space="preserve">Tenant Isolation Strategy  ·  RBAC Matrix  ·  Domain Model</w:t>
      </w:r>
    </w:p>
    <w:p>
      <w:pPr>
        <w:spacing w:after="40"/>
      </w:pPr>
      <w:r>
        <w:rPr>
          <w:color w:val="5A6172"/>
          <w:sz w:val="20"/>
          <w:szCs w:val="20"/>
        </w:rPr>
        <w:t xml:space="preserve">Version 1.0 — Draft for Review</w:t>
      </w:r>
    </w:p>
    <w:p>
      <w:pPr>
        <w:spacing w:after="40"/>
      </w:pPr>
      <w:r>
        <w:rPr>
          <w:color w:val="5A6172"/>
          <w:sz w:val="20"/>
          <w:szCs w:val="20"/>
        </w:rPr>
        <w:t xml:space="preserve">Scope: Platform Core + Website Builder + Basic Commerce (MVP)</w:t>
      </w:r>
    </w:p>
    <w:p>
      <w:pPr>
        <w:spacing w:before="700"/>
      </w:pPr>
      <w:r>
        <w:rPr>
          <w:i/>
          <w:iCs/>
          <w:color w:val="5A6172"/>
          <w:sz w:val="20"/>
          <w:szCs w:val="20"/>
        </w:rPr>
        <w:t xml:space="preserve">Derived from FRD v3.1 and NFR v1.0.</w:t>
      </w:r>
    </w:p>
    <w:p>
      <w:pPr>
        <w:spacing w:before="1250"/>
      </w:pPr>
      <w:r>
        <w:rPr>
          <w:color w:val="5A6172"/>
          <w:sz w:val="19"/>
          <w:szCs w:val="19"/>
        </w:rPr>
        <w:t xml:space="preserve">Prepared by the Business Analysis &amp; Project Management function  ·  30 May 2026</w:t>
      </w:r>
    </w:p>
    <w:p>
      <w:pPr>
        <w:sectPr>
          <w:pgSz w:w="12240" w:h="15840" w:orient="portrait"/>
          <w:pgMar w:top="1440" w:right="1440" w:bottom="1440" w:left="1440" w:header="708" w:footer="708" w:gutter="0"/>
          <w:pgNumType/>
          <w:docGrid w:linePitch="360"/>
        </w:sectPr>
      </w:pPr>
    </w:p>
    <w:p>
      <w:pPr>
        <w:pStyle w:val="Heading1"/>
      </w:pPr>
      <w:r>
        <w:t xml:space="preserve">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Field</w:t>
            </w:r>
          </w:p>
        </w:tc>
        <w:tc>
          <w:tcPr>
            <w:tcW w:type="dxa" w:w="676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Value</w:t>
            </w:r>
          </w:p>
        </w:tc>
      </w:tr>
      <w:tr>
        <w:tc>
          <w:tcPr>
            <w:tcW w:type="dxa" w:w="2600"/>
            <w:tcBorders>
              <w:top w:val="single" w:color="C9CDD6" w:sz="1"/>
              <w:left w:val="single" w:color="C9CDD6" w:sz="1"/>
              <w:bottom w:val="single" w:color="C9CDD6" w:sz="1"/>
              <w:right w:val="single" w:color="C9CDD6" w:sz="1"/>
            </w:tcBorders>
            <w:shd w:fill="EEF0F4" w:val="clear"/>
            <w:tcMar>
              <w:top w:type="dxa" w:w="55"/>
              <w:left w:type="dxa" w:w="95"/>
              <w:bottom w:type="dxa" w:w="55"/>
              <w:right w:type="dxa" w:w="95"/>
            </w:tcMar>
            <w:vAlign w:val="center"/>
          </w:tcPr>
          <w:p>
            <w:pPr>
              <w:jc w:val="left"/>
            </w:pPr>
            <w:r>
              <w:rPr>
                <w:b/>
                <w:bCs/>
                <w:color w:val="1F2430"/>
                <w:sz w:val="16"/>
                <w:szCs w:val="16"/>
              </w:rPr>
              <w:t xml:space="preserve">Document Title</w:t>
            </w:r>
          </w:p>
        </w:tc>
        <w:tc>
          <w:tcPr>
            <w:tcW w:type="dxa" w:w="6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JovStack Platform Architecture Specification</w:t>
            </w:r>
          </w:p>
        </w:tc>
      </w:tr>
      <w:tr>
        <w:tc>
          <w:tcPr>
            <w:tcW w:type="dxa" w:w="2600"/>
            <w:tcBorders>
              <w:top w:val="single" w:color="C9CDD6" w:sz="1"/>
              <w:left w:val="single" w:color="C9CDD6" w:sz="1"/>
              <w:bottom w:val="single" w:color="C9CDD6" w:sz="1"/>
              <w:right w:val="single" w:color="C9CDD6" w:sz="1"/>
            </w:tcBorders>
            <w:shd w:fill="EEF0F4" w:val="clear"/>
            <w:tcMar>
              <w:top w:type="dxa" w:w="55"/>
              <w:left w:type="dxa" w:w="95"/>
              <w:bottom w:type="dxa" w:w="55"/>
              <w:right w:type="dxa" w:w="95"/>
            </w:tcMar>
            <w:vAlign w:val="center"/>
          </w:tcPr>
          <w:p>
            <w:pPr>
              <w:jc w:val="left"/>
            </w:pPr>
            <w:r>
              <w:rPr>
                <w:b/>
                <w:bCs/>
                <w:color w:val="1F2430"/>
                <w:sz w:val="16"/>
                <w:szCs w:val="16"/>
              </w:rPr>
              <w:t xml:space="preserve">Subject</w:t>
            </w:r>
          </w:p>
        </w:tc>
        <w:tc>
          <w:tcPr>
            <w:tcW w:type="dxa" w:w="6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Tenant Isolation Strategy, RBAC Matrix, Domain Model</w:t>
            </w:r>
          </w:p>
        </w:tc>
      </w:tr>
      <w:tr>
        <w:tc>
          <w:tcPr>
            <w:tcW w:type="dxa" w:w="2600"/>
            <w:tcBorders>
              <w:top w:val="single" w:color="C9CDD6" w:sz="1"/>
              <w:left w:val="single" w:color="C9CDD6" w:sz="1"/>
              <w:bottom w:val="single" w:color="C9CDD6" w:sz="1"/>
              <w:right w:val="single" w:color="C9CDD6" w:sz="1"/>
            </w:tcBorders>
            <w:shd w:fill="EEF0F4" w:val="clear"/>
            <w:tcMar>
              <w:top w:type="dxa" w:w="55"/>
              <w:left w:type="dxa" w:w="95"/>
              <w:bottom w:type="dxa" w:w="55"/>
              <w:right w:type="dxa" w:w="95"/>
            </w:tcMar>
            <w:vAlign w:val="center"/>
          </w:tcPr>
          <w:p>
            <w:pPr>
              <w:jc w:val="left"/>
            </w:pPr>
            <w:r>
              <w:rPr>
                <w:b/>
                <w:bCs/>
                <w:color w:val="1F2430"/>
                <w:sz w:val="16"/>
                <w:szCs w:val="16"/>
              </w:rPr>
              <w:t xml:space="preserve">Version</w:t>
            </w:r>
          </w:p>
        </w:tc>
        <w:tc>
          <w:tcPr>
            <w:tcW w:type="dxa" w:w="6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1.0 (Draft for Review)</w:t>
            </w:r>
          </w:p>
        </w:tc>
      </w:tr>
      <w:tr>
        <w:tc>
          <w:tcPr>
            <w:tcW w:type="dxa" w:w="2600"/>
            <w:tcBorders>
              <w:top w:val="single" w:color="C9CDD6" w:sz="1"/>
              <w:left w:val="single" w:color="C9CDD6" w:sz="1"/>
              <w:bottom w:val="single" w:color="C9CDD6" w:sz="1"/>
              <w:right w:val="single" w:color="C9CDD6" w:sz="1"/>
            </w:tcBorders>
            <w:shd w:fill="EEF0F4" w:val="clear"/>
            <w:tcMar>
              <w:top w:type="dxa" w:w="55"/>
              <w:left w:type="dxa" w:w="95"/>
              <w:bottom w:type="dxa" w:w="55"/>
              <w:right w:type="dxa" w:w="95"/>
            </w:tcMar>
            <w:vAlign w:val="center"/>
          </w:tcPr>
          <w:p>
            <w:pPr>
              <w:jc w:val="left"/>
            </w:pPr>
            <w:r>
              <w:rPr>
                <w:b/>
                <w:bCs/>
                <w:color w:val="1F2430"/>
                <w:sz w:val="16"/>
                <w:szCs w:val="16"/>
              </w:rPr>
              <w:t xml:space="preserve">Date</w:t>
            </w:r>
          </w:p>
        </w:tc>
        <w:tc>
          <w:tcPr>
            <w:tcW w:type="dxa" w:w="6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30 May 2026</w:t>
            </w:r>
          </w:p>
        </w:tc>
      </w:tr>
      <w:tr>
        <w:tc>
          <w:tcPr>
            <w:tcW w:type="dxa" w:w="2600"/>
            <w:tcBorders>
              <w:top w:val="single" w:color="C9CDD6" w:sz="1"/>
              <w:left w:val="single" w:color="C9CDD6" w:sz="1"/>
              <w:bottom w:val="single" w:color="C9CDD6" w:sz="1"/>
              <w:right w:val="single" w:color="C9CDD6" w:sz="1"/>
            </w:tcBorders>
            <w:shd w:fill="EEF0F4" w:val="clear"/>
            <w:tcMar>
              <w:top w:type="dxa" w:w="55"/>
              <w:left w:type="dxa" w:w="95"/>
              <w:bottom w:type="dxa" w:w="55"/>
              <w:right w:type="dxa" w:w="95"/>
            </w:tcMar>
            <w:vAlign w:val="center"/>
          </w:tcPr>
          <w:p>
            <w:pPr>
              <w:jc w:val="left"/>
            </w:pPr>
            <w:r>
              <w:rPr>
                <w:b/>
                <w:bCs/>
                <w:color w:val="1F2430"/>
                <w:sz w:val="16"/>
                <w:szCs w:val="16"/>
              </w:rPr>
              <w:t xml:space="preserve">Source Documents</w:t>
            </w:r>
          </w:p>
        </w:tc>
        <w:tc>
          <w:tcPr>
            <w:tcW w:type="dxa" w:w="6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FRD v3.1; NFR v1.0</w:t>
            </w:r>
          </w:p>
        </w:tc>
      </w:tr>
      <w:tr>
        <w:tc>
          <w:tcPr>
            <w:tcW w:type="dxa" w:w="2600"/>
            <w:tcBorders>
              <w:top w:val="single" w:color="C9CDD6" w:sz="1"/>
              <w:left w:val="single" w:color="C9CDD6" w:sz="1"/>
              <w:bottom w:val="single" w:color="C9CDD6" w:sz="1"/>
              <w:right w:val="single" w:color="C9CDD6" w:sz="1"/>
            </w:tcBorders>
            <w:shd w:fill="EEF0F4" w:val="clear"/>
            <w:tcMar>
              <w:top w:type="dxa" w:w="55"/>
              <w:left w:type="dxa" w:w="95"/>
              <w:bottom w:type="dxa" w:w="55"/>
              <w:right w:type="dxa" w:w="95"/>
            </w:tcMar>
            <w:vAlign w:val="center"/>
          </w:tcPr>
          <w:p>
            <w:pPr>
              <w:jc w:val="left"/>
            </w:pPr>
            <w:r>
              <w:rPr>
                <w:b/>
                <w:bCs/>
                <w:color w:val="1F2430"/>
                <w:sz w:val="16"/>
                <w:szCs w:val="16"/>
              </w:rPr>
              <w:t xml:space="preserve">Audience</w:t>
            </w:r>
          </w:p>
        </w:tc>
        <w:tc>
          <w:tcPr>
            <w:tcW w:type="dxa" w:w="6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Engineering, Architecture, QA, Stakeholders</w:t>
            </w:r>
          </w:p>
        </w:tc>
      </w:tr>
    </w:tbl>
    <w:p>
      <w:pPr>
        <w:pStyle w:val="Heading1"/>
      </w:pPr>
      <w:r>
        <w:t xml:space="preserve">2. Introduction and Scope</w:t>
      </w:r>
    </w:p>
    <w:p>
      <w:pPr>
        <w:spacing w:after="140"/>
        <w:jc w:val="both"/>
      </w:pPr>
      <w:r>
        <w:t xml:space="preserve">This specification defines three foundational design artefacts for the JovStack MVP: the tenant-isolation strategy that keeps each customer's data private within a shared database; the role-based access-control (RBAC) matrix that governs who may perform each operation; and the domain model that defines the platform's entities, relationships and invariants. It elaborates the multi-tenant rules of FRD v3.1 §5–6 and the security requirements of NFR v1.0 (notably NFR-S01 and NFR-S04) into implementable design.</w:t>
      </w:r>
    </w:p>
    <w:p>
      <w:pPr>
        <w:spacing w:after="140"/>
        <w:jc w:val="both"/>
      </w:pPr>
      <w:r>
        <w:t xml:space="preserve">The governing baseline is unchanged: a multi-tenant SaaS on a modular-monolith architecture, using a shared PostgreSQL schema with tenant rows keyed on </w:t>
      </w:r>
      <w:r>
        <w:rPr>
          <w:rFonts w:ascii="Consolas" w:cs="Consolas" w:eastAsia="Consolas" w:hAnsi="Consolas"/>
          <w:sz w:val="19"/>
          <w:szCs w:val="19"/>
        </w:rPr>
        <w:t xml:space="preserve">organization_id</w:t>
      </w:r>
      <w:r>
        <w:t xml:space="preserve">, accessed through Prisma.</w:t>
      </w:r>
    </w:p>
    <w:p>
      <w:pPr>
        <w:pageBreakBefore/>
        <w:spacing w:after="150"/>
      </w:pPr>
      <w:r>
        <w:rPr>
          <w:b/>
          <w:bCs/>
          <w:color w:val="6C3FD1"/>
          <w:sz w:val="25"/>
          <w:szCs w:val="25"/>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3. Tenant Isolation Strategy</w:t>
      </w:r>
    </w:p>
    <w:p>
      <w:pPr>
        <w:pStyle w:val="Heading2"/>
      </w:pPr>
      <w:r>
        <w:t xml:space="preserve">3.1 Decision and Rationale</w:t>
      </w:r>
    </w:p>
    <w:p>
      <w:pPr>
        <w:spacing w:after="140"/>
        <w:jc w:val="both"/>
      </w:pPr>
      <w:r>
        <w:t xml:space="preserve">JovStack adopts the </w:t>
      </w:r>
      <w:r>
        <w:rPr>
          <w:b/>
          <w:bCs/>
        </w:rPr>
        <w:t xml:space="preserve">shared-database, shared-schema</w:t>
      </w:r>
      <w:r>
        <w:t xml:space="preserve"> isolation model: all tenants share one database and one set of tables, and every tenant-owned row carries an </w:t>
      </w:r>
      <w:r>
        <w:rPr>
          <w:rFonts w:ascii="Consolas" w:cs="Consolas" w:eastAsia="Consolas" w:hAnsi="Consolas"/>
          <w:sz w:val="19"/>
          <w:szCs w:val="19"/>
        </w:rPr>
        <w:t xml:space="preserve">organization_id</w:t>
      </w:r>
      <w:r>
        <w:t xml:space="preserve"> discriminator. This model is chosen for operational simplicity, low cost and ease of cross-tenant platform administration, which suits an MVP and a modular monolith. Its inherent risk — that a missing filter exposes another tenant's data — is mitigated by enforcing isolation in multiple layers, as defined below.</w:t>
      </w:r>
    </w:p>
    <w:p>
      <w:pPr>
        <w:pStyle w:val="Heading2"/>
      </w:pPr>
      <w:r>
        <w:t xml:space="preserve">3.2 Tenant Ownership Rules</w:t>
      </w:r>
    </w:p>
    <w:p>
      <w:pPr>
        <w:pStyle w:val="ListParagraph"/>
        <w:numPr>
          <w:ilvl w:val="0"/>
          <w:numId w:val="2"/>
        </w:numPr>
        <w:spacing w:after="55"/>
      </w:pPr>
      <w:r>
        <w:t xml:space="preserve">The </w:t>
      </w:r>
      <w:r>
        <w:rPr>
          <w:b/>
          <w:bCs/>
        </w:rPr>
        <w:t xml:space="preserve">Organization</w:t>
      </w:r>
      <w:r>
        <w:t xml:space="preserve"> entity is the tenant boundary; it is the unit of isolation.</w:t>
      </w:r>
    </w:p>
    <w:p>
      <w:pPr>
        <w:pStyle w:val="ListParagraph"/>
        <w:numPr>
          <w:ilvl w:val="0"/>
          <w:numId w:val="2"/>
        </w:numPr>
        <w:spacing w:after="55"/>
      </w:pPr>
      <w:r>
        <w:t xml:space="preserve">Every tenant-owned table includes a non-null </w:t>
      </w:r>
      <w:r>
        <w:rPr>
          <w:rFonts w:ascii="Consolas" w:cs="Consolas" w:eastAsia="Consolas" w:hAnsi="Consolas"/>
          <w:sz w:val="18"/>
          <w:szCs w:val="18"/>
        </w:rPr>
        <w:t xml:space="preserve">organization_id</w:t>
      </w:r>
      <w:r>
        <w:t xml:space="preserve"> foreign key, indexed, and included in composite indexes for hot query paths (NFR-PF05).</w:t>
      </w:r>
    </w:p>
    <w:p>
      <w:pPr>
        <w:pStyle w:val="ListParagraph"/>
        <w:numPr>
          <w:ilvl w:val="0"/>
          <w:numId w:val="2"/>
        </w:numPr>
        <w:spacing w:after="55"/>
      </w:pPr>
      <w:r>
        <w:t xml:space="preserve">Child entities inherit their tenant via their aggregate root (e.g., a Block belongs to a Page belongs to a Website belongs to an Organization) and must still resolve to a single </w:t>
      </w:r>
      <w:r>
        <w:rPr>
          <w:rFonts w:ascii="Consolas" w:cs="Consolas" w:eastAsia="Consolas" w:hAnsi="Consolas"/>
          <w:sz w:val="18"/>
          <w:szCs w:val="18"/>
        </w:rPr>
        <w:t xml:space="preserve">organization_id</w:t>
      </w:r>
      <w:r>
        <w:t xml:space="preserve">.</w:t>
      </w:r>
    </w:p>
    <w:p>
      <w:pPr>
        <w:pStyle w:val="ListParagraph"/>
        <w:numPr>
          <w:ilvl w:val="0"/>
          <w:numId w:val="2"/>
        </w:numPr>
        <w:spacing w:after="55"/>
      </w:pPr>
      <w:r>
        <w:t xml:space="preserve">Global (non-tenant) entities are limited to: </w:t>
      </w:r>
      <w:r>
        <w:rPr>
          <w:b/>
          <w:bCs/>
        </w:rPr>
        <w:t xml:space="preserve">User</w:t>
      </w:r>
      <w:r>
        <w:t xml:space="preserve">, </w:t>
      </w:r>
      <w:r>
        <w:rPr>
          <w:b/>
          <w:bCs/>
        </w:rPr>
        <w:t xml:space="preserve">Plan</w:t>
      </w:r>
      <w:r>
        <w:t xml:space="preserve">, </w:t>
      </w:r>
      <w:r>
        <w:rPr>
          <w:b/>
          <w:bCs/>
        </w:rPr>
        <w:t xml:space="preserve">Template</w:t>
      </w:r>
      <w:r>
        <w:t xml:space="preserve"> and platform-level </w:t>
      </w:r>
      <w:r>
        <w:rPr>
          <w:b/>
          <w:bCs/>
        </w:rPr>
        <w:t xml:space="preserve">Faq</w:t>
      </w:r>
      <w:r>
        <w:t xml:space="preserve">.</w:t>
      </w:r>
    </w:p>
    <w:p>
      <w:pPr>
        <w:pStyle w:val="Heading2"/>
      </w:pPr>
      <w:r>
        <w:t xml:space="preserve">3.3 Enforcement Layers (Defence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Layer</w:t>
            </w:r>
          </w:p>
        </w:tc>
        <w:tc>
          <w:tcPr>
            <w:tcW w:type="dxa" w:w="416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Control</w:t>
            </w:r>
          </w:p>
        </w:tc>
        <w:tc>
          <w:tcPr>
            <w:tcW w:type="dxa" w:w="28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Failure Mode Prevented</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Authentication</w:t>
            </w:r>
          </w:p>
        </w:tc>
        <w:tc>
          <w:tcPr>
            <w:tcW w:type="dxa" w:w="41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Session/JWT carries user identity and the set of organizations the user may act within.</w:t>
            </w:r>
          </w:p>
        </w:tc>
        <w:tc>
          <w:tcPr>
            <w:tcW w:type="dxa" w:w="28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Anonymous or forged tenant context.</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Tenant context</w:t>
            </w:r>
          </w:p>
        </w:tc>
        <w:tc>
          <w:tcPr>
            <w:tcW w:type="dxa" w:w="41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Middleware resolves the active organization_id per request and binds it to a request-scoped context.</w:t>
            </w:r>
          </w:p>
        </w:tc>
        <w:tc>
          <w:tcPr>
            <w:tcW w:type="dxa" w:w="28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Ambiguous or absent tenant on a request.</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Authorization</w:t>
            </w:r>
          </w:p>
        </w:tc>
        <w:tc>
          <w:tcPr>
            <w:tcW w:type="dxa" w:w="41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RBAC check (§4) confirms the role permits the operation within that organization.</w:t>
            </w:r>
          </w:p>
        </w:tc>
        <w:tc>
          <w:tcPr>
            <w:tcW w:type="dxa" w:w="28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Authenticated but unauthorised access.</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Data access</w:t>
            </w:r>
          </w:p>
        </w:tc>
        <w:tc>
          <w:tcPr>
            <w:tcW w:type="dxa" w:w="41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Repository layer injects the organization_id filter on every tenant-scoped query and write; deny-by-default if absent.</w:t>
            </w:r>
          </w:p>
        </w:tc>
        <w:tc>
          <w:tcPr>
            <w:tcW w:type="dxa" w:w="28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Missing or incorrect tenant filter.</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Database (RLS)</w:t>
            </w:r>
          </w:p>
        </w:tc>
        <w:tc>
          <w:tcPr>
            <w:tcW w:type="dxa" w:w="41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PostgreSQL Row-Level Security policies restrict rows to the session's organization_id as a last line of defence.</w:t>
            </w:r>
          </w:p>
        </w:tc>
        <w:tc>
          <w:tcPr>
            <w:tcW w:type="dxa" w:w="28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A query that bypassed the repository guard.</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Storage</w:t>
            </w:r>
          </w:p>
        </w:tc>
        <w:tc>
          <w:tcPr>
            <w:tcW w:type="dxa" w:w="41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Media object keys are namespaced by organization_id; signed URLs are scoped.</w:t>
            </w:r>
          </w:p>
        </w:tc>
        <w:tc>
          <w:tcPr>
            <w:tcW w:type="dxa" w:w="28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Cross-tenant asset access.</w:t>
            </w:r>
          </w:p>
        </w:tc>
      </w:tr>
    </w:tbl>
    <w:p>
      <w:pPr>
        <w:pStyle w:val="Heading2"/>
      </w:pPr>
      <w:r>
        <w:t xml:space="preserve">3.4 Tenant Context Resolution and Propagation</w:t>
      </w:r>
    </w:p>
    <w:p>
      <w:pPr>
        <w:spacing w:after="140"/>
        <w:jc w:val="both"/>
      </w:pPr>
      <w:r>
        <w:t xml:space="preserve">On each authenticated request the active organization is resolved in priority order: (1) an explicit organization context selected via Switch Organization (FR-205) and held in the session; (2) for public storefront traffic, the organization resolved from the subdomain (§3.6). The resolved </w:t>
      </w:r>
      <w:r>
        <w:rPr>
          <w:rFonts w:ascii="Consolas" w:cs="Consolas" w:eastAsia="Consolas" w:hAnsi="Consolas"/>
          <w:sz w:val="19"/>
          <w:szCs w:val="19"/>
        </w:rPr>
        <w:t xml:space="preserve">organization_id</w:t>
      </w:r>
      <w:r>
        <w:t xml:space="preserve"> is validated against the user's memberships and bound to a request-scoped context that the data-access layer reads. Requests that cannot resolve a single valid tenant are rejected.</w:t>
      </w:r>
    </w:p>
    <w:p>
      <w:pPr>
        <w:pStyle w:val="Heading2"/>
      </w:pPr>
      <w:r>
        <w:t xml:space="preserve">3.5 Query Scoping</w:t>
      </w:r>
    </w:p>
    <w:p>
      <w:pPr>
        <w:spacing w:after="140"/>
        <w:jc w:val="both"/>
      </w:pPr>
      <w:r>
        <w:t xml:space="preserve">All tenant-scoped reads and writes pass through a repository abstraction that automatically applies the </w:t>
      </w:r>
      <w:r>
        <w:rPr>
          <w:rFonts w:ascii="Consolas" w:cs="Consolas" w:eastAsia="Consolas" w:hAnsi="Consolas"/>
          <w:sz w:val="19"/>
          <w:szCs w:val="19"/>
        </w:rPr>
        <w:t xml:space="preserve">organization_id</w:t>
      </w:r>
      <w:r>
        <w:t xml:space="preserve"> predicate from the request context. Direct, unscoped model access is prohibited by convention and checked in code review and tests. Illustrative pattern:</w:t>
      </w:r>
    </w:p>
    <w:p>
      <w:pPr>
        <w:pBdr>
          <w:left w:val="single" w:color="6C3FD1" w:sz="14" w:space="8"/>
        </w:pBdr>
        <w:shd w:fill="F3F1F8" w:val="clear"/>
        <w:spacing w:after="120"/>
        <w:ind w:left="160"/>
      </w:pPr>
      <w:r>
        <w:rPr>
          <w:rFonts w:ascii="Consolas" w:cs="Consolas" w:eastAsia="Consolas" w:hAnsi="Consolas"/>
          <w:sz w:val="18"/>
          <w:szCs w:val="18"/>
        </w:rPr>
        <w:t xml:space="preserve">// every tenant query is scoped by the request-bound organization_id</w:t>
      </w:r>
    </w:p>
    <w:p>
      <w:pPr>
        <w:pBdr>
          <w:left w:val="single" w:color="6C3FD1" w:sz="14" w:space="8"/>
        </w:pBdr>
        <w:shd w:fill="F3F1F8" w:val="clear"/>
        <w:spacing w:after="120"/>
        <w:ind w:left="160"/>
      </w:pPr>
      <w:r>
        <w:rPr>
          <w:rFonts w:ascii="Consolas" w:cs="Consolas" w:eastAsia="Consolas" w:hAnsi="Consolas"/>
          <w:sz w:val="18"/>
          <w:szCs w:val="18"/>
        </w:rPr>
        <w:t xml:space="preserve">findProducts(ctx) =&gt; prisma.product.findMany({ where: { organizationId: ctx.orgId } })</w:t>
      </w:r>
    </w:p>
    <w:p>
      <w:pPr>
        <w:pStyle w:val="Heading2"/>
      </w:pPr>
      <w:r>
        <w:t xml:space="preserve">3.6 Database Row-Level Security</w:t>
      </w:r>
    </w:p>
    <w:p>
      <w:pPr>
        <w:spacing w:after="140"/>
        <w:jc w:val="both"/>
      </w:pPr>
      <w:r>
        <w:t xml:space="preserve">As defence in depth behind the repository guard, RLS policies are enabled on tenant tables. The application sets a per-transaction session variable carrying the active tenant, and policies restrict visible rows to that value:</w:t>
      </w:r>
    </w:p>
    <w:p>
      <w:pPr>
        <w:pBdr>
          <w:left w:val="single" w:color="6C3FD1" w:sz="14" w:space="8"/>
        </w:pBdr>
        <w:shd w:fill="F3F1F8" w:val="clear"/>
        <w:spacing w:after="120"/>
        <w:ind w:left="160"/>
      </w:pPr>
      <w:r>
        <w:rPr>
          <w:rFonts w:ascii="Consolas" w:cs="Consolas" w:eastAsia="Consolas" w:hAnsi="Consolas"/>
          <w:sz w:val="18"/>
          <w:szCs w:val="18"/>
        </w:rPr>
        <w:t xml:space="preserve">SET app.current_org = '&lt;organization_id&gt;';</w:t>
      </w:r>
    </w:p>
    <w:p>
      <w:pPr>
        <w:pBdr>
          <w:left w:val="single" w:color="6C3FD1" w:sz="14" w:space="8"/>
        </w:pBdr>
        <w:shd w:fill="F3F1F8" w:val="clear"/>
        <w:spacing w:after="120"/>
        <w:ind w:left="160"/>
      </w:pPr>
      <w:r>
        <w:rPr>
          <w:rFonts w:ascii="Consolas" w:cs="Consolas" w:eastAsia="Consolas" w:hAnsi="Consolas"/>
          <w:sz w:val="18"/>
          <w:szCs w:val="18"/>
        </w:rPr>
        <w:t xml:space="preserve">CREATE POLICY tenant_isolation ON product USING (organization_id = current_setting('app.current_org')::uuid);</w:t>
      </w:r>
    </w:p>
    <w:p>
      <w:pPr>
        <w:spacing w:after="140"/>
        <w:jc w:val="both"/>
      </w:pPr>
      <w:r>
        <w:t xml:space="preserve">RLS ensures that even a query that omitted the application filter cannot return another tenant's rows. Platform-admin operations use a controlled, audited bypass role (§3.8).</w:t>
      </w:r>
    </w:p>
    <w:p>
      <w:pPr>
        <w:pStyle w:val="Heading2"/>
      </w:pPr>
      <w:r>
        <w:t xml:space="preserve">3.7 Storage, Subdomain and Public Traffic</w:t>
      </w:r>
    </w:p>
    <w:p>
      <w:pPr>
        <w:pStyle w:val="ListParagraph"/>
        <w:numPr>
          <w:ilvl w:val="0"/>
          <w:numId w:val="2"/>
        </w:numPr>
        <w:spacing w:after="55"/>
      </w:pPr>
      <w:r>
        <w:t xml:space="preserve">Media assets are stored under an organization-scoped key prefix; access is via short-lived signed URLs.</w:t>
      </w:r>
    </w:p>
    <w:p>
      <w:pPr>
        <w:pStyle w:val="ListParagraph"/>
        <w:numPr>
          <w:ilvl w:val="0"/>
          <w:numId w:val="2"/>
        </w:numPr>
        <w:spacing w:after="55"/>
      </w:pPr>
      <w:r>
        <w:t xml:space="preserve">Published storefronts resolve their tenant from the subdomain (</w:t>
      </w:r>
      <w:r>
        <w:rPr>
          <w:rFonts w:ascii="Consolas" w:cs="Consolas" w:eastAsia="Consolas" w:hAnsi="Consolas"/>
          <w:sz w:val="18"/>
          <w:szCs w:val="18"/>
        </w:rPr>
        <w:t xml:space="preserve">&lt;slug&gt;.jovstack.app</w:t>
      </w:r>
      <w:r>
        <w:t xml:space="preserve">, FR-851); the resolver maps the subdomain to exactly one organization and website.</w:t>
      </w:r>
    </w:p>
    <w:p>
      <w:pPr>
        <w:pStyle w:val="ListParagraph"/>
        <w:numPr>
          <w:ilvl w:val="0"/>
          <w:numId w:val="2"/>
        </w:numPr>
        <w:spacing w:after="55"/>
      </w:pPr>
      <w:r>
        <w:t xml:space="preserve">Public storefront requests are read-only against published content and are scoped to the resolved tenant, never to the authenticated dashboard context.</w:t>
      </w:r>
    </w:p>
    <w:p>
      <w:pPr>
        <w:pStyle w:val="Heading2"/>
      </w:pPr>
      <w:r>
        <w:t xml:space="preserve">3.8 Platform-Admin Cross-Tenant Access</w:t>
      </w:r>
    </w:p>
    <w:p>
      <w:pPr>
        <w:spacing w:after="140"/>
        <w:jc w:val="both"/>
      </w:pPr>
      <w:r>
        <w:t xml:space="preserve">Platform Admin (§4) may operate across tenants for support and moderation. Such access uses an explicitly elevated, separate path that is logged to the audit trail (actor, target organization, action, timestamp) per NFR-S10. The bypass is never available to organization-scoped roles.</w:t>
      </w:r>
    </w:p>
    <w:p>
      <w:pPr>
        <w:pStyle w:val="Heading2"/>
      </w:pPr>
      <w:r>
        <w:t xml:space="preserve">3.9 Backup, Export and Deletion Isolation</w:t>
      </w:r>
    </w:p>
    <w:p>
      <w:pPr>
        <w:pStyle w:val="ListParagraph"/>
        <w:numPr>
          <w:ilvl w:val="0"/>
          <w:numId w:val="2"/>
        </w:numPr>
        <w:spacing w:after="55"/>
      </w:pPr>
      <w:r>
        <w:t xml:space="preserve">Personal-data export (FR-108) and tenant data export are filtered to the requesting subject/organization only.</w:t>
      </w:r>
    </w:p>
    <w:p>
      <w:pPr>
        <w:pStyle w:val="ListParagraph"/>
        <w:numPr>
          <w:ilvl w:val="0"/>
          <w:numId w:val="2"/>
        </w:numPr>
        <w:spacing w:after="55"/>
      </w:pPr>
      <w:r>
        <w:t xml:space="preserve">Account deletion (FR-107) and organization soft-delete (FR-204) follow the cascade and retention rules of FRD §4.7 and NFR-P01/P04.</w:t>
      </w:r>
    </w:p>
    <w:p>
      <w:pPr>
        <w:pStyle w:val="ListParagraph"/>
        <w:numPr>
          <w:ilvl w:val="0"/>
          <w:numId w:val="2"/>
        </w:numPr>
        <w:spacing w:after="55"/>
      </w:pPr>
      <w:r>
        <w:t xml:space="preserve">Backups are platform-wide; restores into shared infrastructure preserve the organization_id discriminator so isolation is retained after recovery.</w:t>
      </w:r>
    </w:p>
    <w:p>
      <w:pPr>
        <w:pStyle w:val="Heading2"/>
      </w:pPr>
      <w:r>
        <w:t xml:space="preserve">3.10 Isolation Test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Test</w:t>
            </w:r>
          </w:p>
        </w:tc>
        <w:tc>
          <w:tcPr>
            <w:tcW w:type="dxa" w:w="636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Expectation</w:t>
            </w:r>
          </w:p>
        </w:tc>
      </w:tr>
      <w:tr>
        <w:tc>
          <w:tcPr>
            <w:tcW w:type="dxa" w:w="30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Cross-tenant read</w:t>
            </w:r>
          </w:p>
        </w:tc>
        <w:tc>
          <w:tcPr>
            <w:tcW w:type="dxa" w:w="6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Tenant A authenticated cannot read any row carrying tenant B's organization_id.</w:t>
            </w:r>
          </w:p>
        </w:tc>
      </w:tr>
      <w:tr>
        <w:tc>
          <w:tcPr>
            <w:tcW w:type="dxa" w:w="30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Cross-tenant write/update</w:t>
            </w:r>
          </w:p>
        </w:tc>
        <w:tc>
          <w:tcPr>
            <w:tcW w:type="dxa" w:w="6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Tenant A cannot create, update or delete tenant B's records.</w:t>
            </w:r>
          </w:p>
        </w:tc>
      </w:tr>
      <w:tr>
        <w:tc>
          <w:tcPr>
            <w:tcW w:type="dxa" w:w="30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Missing-filter regression</w:t>
            </w:r>
          </w:p>
        </w:tc>
        <w:tc>
          <w:tcPr>
            <w:tcW w:type="dxa" w:w="6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A query missing the application filter still returns no cross-tenant rows (RLS verified).</w:t>
            </w:r>
          </w:p>
        </w:tc>
      </w:tr>
      <w:tr>
        <w:tc>
          <w:tcPr>
            <w:tcW w:type="dxa" w:w="30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Subdomain isolation</w:t>
            </w:r>
          </w:p>
        </w:tc>
        <w:tc>
          <w:tcPr>
            <w:tcW w:type="dxa" w:w="6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A storefront subdomain serves only its own organization's published content.</w:t>
            </w:r>
          </w:p>
        </w:tc>
      </w:tr>
      <w:tr>
        <w:tc>
          <w:tcPr>
            <w:tcW w:type="dxa" w:w="30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Media access</w:t>
            </w:r>
          </w:p>
        </w:tc>
        <w:tc>
          <w:tcPr>
            <w:tcW w:type="dxa" w:w="6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A signed media URL for tenant A cannot retrieve tenant B's assets.</w:t>
            </w:r>
          </w:p>
        </w:tc>
      </w:tr>
      <w:tr>
        <w:tc>
          <w:tcPr>
            <w:tcW w:type="dxa" w:w="30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Platform bypass audit</w:t>
            </w:r>
          </w:p>
        </w:tc>
        <w:tc>
          <w:tcPr>
            <w:tcW w:type="dxa" w:w="6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Every platform-admin cross-tenant action produces an audit record.</w:t>
            </w:r>
          </w:p>
        </w:tc>
      </w:tr>
    </w:tbl>
    <w:p>
      <w:pPr>
        <w:spacing w:after="140"/>
        <w:jc w:val="both"/>
      </w:pPr>
      <w:r>
        <w:t xml:space="preserve">These tests operationalise NFR-S01 and form part of the production-readiness acceptance gate.</w:t>
      </w:r>
    </w:p>
    <w:p>
      <w:pPr>
        <w:pStyle w:val="Heading1"/>
      </w:pPr>
      <w:r>
        <w:t xml:space="preserve">4. RBAC Matrix</w:t>
      </w:r>
    </w:p>
    <w:p>
      <w:pPr>
        <w:pStyle w:val="Heading2"/>
      </w:pPr>
      <w:r>
        <w:t xml:space="preserve">4.1 Roles and Scope</w:t>
      </w:r>
    </w:p>
    <w:p>
      <w:pPr>
        <w:pStyle w:val="ListParagraph"/>
        <w:numPr>
          <w:ilvl w:val="0"/>
          <w:numId w:val="2"/>
        </w:numPr>
        <w:spacing w:after="55"/>
      </w:pPr>
      <w:r>
        <w:rPr>
          <w:b/>
          <w:bCs/>
        </w:rPr>
        <w:t xml:space="preserve">Owner</w:t>
      </w:r>
      <w:r>
        <w:t xml:space="preserve"> — organization-scoped; full control including billing and membership.</w:t>
      </w:r>
    </w:p>
    <w:p>
      <w:pPr>
        <w:pStyle w:val="ListParagraph"/>
        <w:numPr>
          <w:ilvl w:val="0"/>
          <w:numId w:val="2"/>
        </w:numPr>
        <w:spacing w:after="55"/>
      </w:pPr>
      <w:r>
        <w:rPr>
          <w:b/>
          <w:bCs/>
        </w:rPr>
        <w:t xml:space="preserve">Admin</w:t>
      </w:r>
      <w:r>
        <w:t xml:space="preserve"> — organization-scoped; manages settings, websites and commerce; cannot manage billing or remove the Owner.</w:t>
      </w:r>
    </w:p>
    <w:p>
      <w:pPr>
        <w:pStyle w:val="ListParagraph"/>
        <w:numPr>
          <w:ilvl w:val="0"/>
          <w:numId w:val="2"/>
        </w:numPr>
        <w:spacing w:after="55"/>
      </w:pPr>
      <w:r>
        <w:rPr>
          <w:b/>
          <w:bCs/>
        </w:rPr>
        <w:t xml:space="preserve">Editor</w:t>
      </w:r>
      <w:r>
        <w:t xml:space="preserve"> — organization-scoped; manages website content, media and catalog only.</w:t>
      </w:r>
    </w:p>
    <w:p>
      <w:pPr>
        <w:pStyle w:val="ListParagraph"/>
        <w:numPr>
          <w:ilvl w:val="0"/>
          <w:numId w:val="2"/>
        </w:numPr>
        <w:spacing w:after="55"/>
      </w:pPr>
      <w:r>
        <w:rPr>
          <w:b/>
          <w:bCs/>
        </w:rPr>
        <w:t xml:space="preserve">Viewer</w:t>
      </w:r>
      <w:r>
        <w:t xml:space="preserve"> — organization-scoped; read-only.</w:t>
      </w:r>
    </w:p>
    <w:p>
      <w:pPr>
        <w:pStyle w:val="ListParagraph"/>
        <w:numPr>
          <w:ilvl w:val="0"/>
          <w:numId w:val="2"/>
        </w:numPr>
        <w:spacing w:after="55"/>
      </w:pPr>
      <w:r>
        <w:rPr>
          <w:b/>
          <w:bCs/>
        </w:rPr>
        <w:t xml:space="preserve">Platform Admin</w:t>
      </w:r>
      <w:r>
        <w:t xml:space="preserve"> — global; cross-tenant administration via an audited path. Not an organization role.</w:t>
      </w:r>
    </w:p>
    <w:p>
      <w:pPr>
        <w:pStyle w:val="Heading2"/>
      </w:pPr>
      <w:r>
        <w:t xml:space="preserve">4.2 Permission Principles</w:t>
      </w:r>
    </w:p>
    <w:p>
      <w:pPr>
        <w:pStyle w:val="ListParagraph"/>
        <w:numPr>
          <w:ilvl w:val="0"/>
          <w:numId w:val="2"/>
        </w:numPr>
        <w:spacing w:after="55"/>
      </w:pPr>
      <w:r>
        <w:t xml:space="preserve">Deny-by-default: an operation is forbidden unless the role is explicitly granted it (NFR-S04).</w:t>
      </w:r>
    </w:p>
    <w:p>
      <w:pPr>
        <w:pStyle w:val="ListParagraph"/>
        <w:numPr>
          <w:ilvl w:val="0"/>
          <w:numId w:val="2"/>
        </w:numPr>
        <w:spacing w:after="55"/>
      </w:pPr>
      <w:r>
        <w:t xml:space="preserve">All authorization is enforced server-side; client state never grants permission.</w:t>
      </w:r>
    </w:p>
    <w:p>
      <w:pPr>
        <w:pStyle w:val="ListParagraph"/>
        <w:numPr>
          <w:ilvl w:val="0"/>
          <w:numId w:val="2"/>
        </w:numPr>
        <w:spacing w:after="55"/>
      </w:pPr>
      <w:r>
        <w:t xml:space="preserve">Roles are scoped to a single organization via Membership; a user may hold different roles in different organizations.</w:t>
      </w:r>
    </w:p>
    <w:p>
      <w:pPr>
        <w:pStyle w:val="ListParagraph"/>
        <w:numPr>
          <w:ilvl w:val="0"/>
          <w:numId w:val="2"/>
        </w:numPr>
        <w:spacing w:after="55"/>
      </w:pPr>
      <w:r>
        <w:t xml:space="preserve">Identity operations (register, login, profile, password, account deletion/export) are user-level and not governed by organization roles; they are therefore omitted from the matrix below.</w:t>
      </w:r>
    </w:p>
    <w:p>
      <w:pPr>
        <w:pStyle w:val="Heading2"/>
      </w:pPr>
      <w:r>
        <w:t xml:space="preserve">4.3 Capability × Role Matrix</w:t>
      </w:r>
    </w:p>
    <w:p>
      <w:pPr>
        <w:spacing w:after="140"/>
        <w:jc w:val="both"/>
      </w:pPr>
      <w:r>
        <w:t xml:space="preserve">Legend: </w:t>
      </w:r>
      <w:r>
        <w:rPr>
          <w:b/>
          <w:bCs/>
          <w:color w:val="1E7A46"/>
        </w:rPr>
        <w:t xml:space="preserve">✓</w:t>
      </w:r>
      <w:r>
        <w:t xml:space="preserve"> granted   </w:t>
      </w:r>
      <w:r>
        <w:rPr>
          <w:color w:val="B7BCC6"/>
        </w:rPr>
        <w:t xml:space="preserve">—</w:t>
      </w:r>
      <w:r>
        <w:t xml:space="preserve"> not granted. Conditions are noted in §4.4.</w:t>
      </w:r>
    </w:p>
    <w:p>
      <w:pPr>
        <w:spacing w:after="60" w:before="120"/>
      </w:pPr>
      <w:r>
        <w:rPr>
          <w:b/>
          <w:bCs/>
          <w:color w:val="6C3FD1"/>
          <w:sz w:val="19"/>
          <w:szCs w:val="19"/>
        </w:rPr>
        <w:t xml:space="preserve">Organization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1200"/>
        <w:gridCol w:w="1200"/>
      </w:tblGrid>
      <w:tr>
        <w:trPr>
          <w:tblHeader/>
        </w:trPr>
        <w:tc>
          <w:tcPr>
            <w:tcW w:type="dxa" w:w="336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Capability</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Owner</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Admin</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Editor</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Viewer</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Platform Admin</w:t>
            </w:r>
          </w:p>
        </w:tc>
      </w:tr>
      <w:tr>
        <w:tc>
          <w:tcPr>
            <w:tcW w:type="dxa" w:w="3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View organization</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r>
      <w:tr>
        <w:tc>
          <w:tcPr>
            <w:tcW w:type="dxa" w:w="3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Update organization (FR-203)</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r>
      <w:tr>
        <w:tc>
          <w:tcPr>
            <w:tcW w:type="dxa" w:w="3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Delete / suspend organization (FR-204)</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r>
      <w:tr>
        <w:tc>
          <w:tcPr>
            <w:tcW w:type="dxa" w:w="3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Switch active organization (FR-205)</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r>
    </w:tbl>
    <w:p>
      <w:pPr>
        <w:spacing w:after="120"/>
      </w:pPr>
      <w:r>
        <w:t xml:space="preserve"/>
      </w:r>
    </w:p>
    <w:p>
      <w:pPr>
        <w:spacing w:after="60" w:before="120"/>
      </w:pPr>
      <w:r>
        <w:rPr>
          <w:b/>
          <w:bCs/>
          <w:color w:val="6C3FD1"/>
          <w:sz w:val="19"/>
          <w:szCs w:val="19"/>
        </w:rPr>
        <w:t xml:space="preserve">Membership &amp;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1200"/>
        <w:gridCol w:w="1200"/>
      </w:tblGrid>
      <w:tr>
        <w:trPr>
          <w:tblHeader/>
        </w:trPr>
        <w:tc>
          <w:tcPr>
            <w:tcW w:type="dxa" w:w="336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Capability</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Owner</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Admin</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Editor</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Viewer</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Platform Admin</w:t>
            </w:r>
          </w:p>
        </w:tc>
      </w:tr>
      <w:tr>
        <w:tc>
          <w:tcPr>
            <w:tcW w:type="dxa" w:w="3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View members (FR-305)</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r>
      <w:tr>
        <w:tc>
          <w:tcPr>
            <w:tcW w:type="dxa" w:w="3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Invite member (FR-301)</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r>
      <w:tr>
        <w:tc>
          <w:tcPr>
            <w:tcW w:type="dxa" w:w="3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Assign / change role (FR-303)</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i/>
                <w:iCs/>
                <w:color w:val="5A6172"/>
                <w:sz w:val="13"/>
                <w:szCs w:val="13"/>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r>
      <w:tr>
        <w:tc>
          <w:tcPr>
            <w:tcW w:type="dxa" w:w="3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Remove member (FR-304)</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r>
      <w:tr>
        <w:tc>
          <w:tcPr>
            <w:tcW w:type="dxa" w:w="3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Manage custom roles (FR-306)</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r>
    </w:tbl>
    <w:p>
      <w:pPr>
        <w:spacing w:after="120"/>
      </w:pPr>
      <w:r>
        <w:t xml:space="preserve"/>
      </w:r>
    </w:p>
    <w:p>
      <w:pPr>
        <w:spacing w:after="60" w:before="120"/>
      </w:pPr>
      <w:r>
        <w:rPr>
          <w:b/>
          <w:bCs/>
          <w:color w:val="6C3FD1"/>
          <w:sz w:val="19"/>
          <w:szCs w:val="19"/>
        </w:rPr>
        <w:t xml:space="preserve">Subscription &amp;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1200"/>
        <w:gridCol w:w="1200"/>
      </w:tblGrid>
      <w:tr>
        <w:trPr>
          <w:tblHeader/>
        </w:trPr>
        <w:tc>
          <w:tcPr>
            <w:tcW w:type="dxa" w:w="336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Capability</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Owner</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Admin</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Editor</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Viewer</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Platform Admin</w:t>
            </w:r>
          </w:p>
        </w:tc>
      </w:tr>
      <w:tr>
        <w:tc>
          <w:tcPr>
            <w:tcW w:type="dxa" w:w="3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View plans (FR-401)</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r>
      <w:tr>
        <w:tc>
          <w:tcPr>
            <w:tcW w:type="dxa" w:w="3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Subscribe / Upgrade / Downgrade / Cancel (FR-402–405)</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r>
      <w:tr>
        <w:tc>
          <w:tcPr>
            <w:tcW w:type="dxa" w:w="3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View billing history (FR-406)</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r>
    </w:tbl>
    <w:p>
      <w:pPr>
        <w:spacing w:after="120"/>
      </w:pPr>
      <w:r>
        <w:t xml:space="preserve"/>
      </w:r>
    </w:p>
    <w:p>
      <w:pPr>
        <w:spacing w:after="60" w:before="120"/>
      </w:pPr>
      <w:r>
        <w:rPr>
          <w:b/>
          <w:bCs/>
          <w:color w:val="6C3FD1"/>
          <w:sz w:val="19"/>
          <w:szCs w:val="19"/>
        </w:rPr>
        <w:t xml:space="preserve">Website Builder &amp; Publishing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1200"/>
        <w:gridCol w:w="1200"/>
      </w:tblGrid>
      <w:tr>
        <w:trPr>
          <w:tblHeader/>
        </w:trPr>
        <w:tc>
          <w:tcPr>
            <w:tcW w:type="dxa" w:w="336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Capability</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Owner</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Admin</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Editor</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Viewer</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Platform Admin</w:t>
            </w:r>
          </w:p>
        </w:tc>
      </w:tr>
      <w:tr>
        <w:tc>
          <w:tcPr>
            <w:tcW w:type="dxa" w:w="3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Create website (FR-501)</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r>
      <w:tr>
        <w:tc>
          <w:tcPr>
            <w:tcW w:type="dxa" w:w="3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Edit pages / blocks / content (FR-503–516)</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r>
      <w:tr>
        <w:tc>
          <w:tcPr>
            <w:tcW w:type="dxa" w:w="3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Delete page / website (FR-505)</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r>
      <w:tr>
        <w:tc>
          <w:tcPr>
            <w:tcW w:type="dxa" w:w="3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Preview website (FR-506)</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r>
      <w:tr>
        <w:tc>
          <w:tcPr>
            <w:tcW w:type="dxa" w:w="3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Publish / Unpublish (FR-852–853)</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r>
    </w:tbl>
    <w:p>
      <w:pPr>
        <w:spacing w:after="120"/>
      </w:pPr>
      <w:r>
        <w:t xml:space="preserve"/>
      </w:r>
    </w:p>
    <w:p>
      <w:pPr>
        <w:spacing w:after="60" w:before="120"/>
      </w:pPr>
      <w:r>
        <w:rPr>
          <w:b/>
          <w:bCs/>
          <w:color w:val="6C3FD1"/>
          <w:sz w:val="19"/>
          <w:szCs w:val="19"/>
        </w:rPr>
        <w:t xml:space="preserve">Commerce &amp;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1200"/>
        <w:gridCol w:w="1200"/>
      </w:tblGrid>
      <w:tr>
        <w:trPr>
          <w:tblHeader/>
        </w:trPr>
        <w:tc>
          <w:tcPr>
            <w:tcW w:type="dxa" w:w="336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Capability</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Owner</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Admin</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Editor</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Viewer</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Platform Admin</w:t>
            </w:r>
          </w:p>
        </w:tc>
      </w:tr>
      <w:tr>
        <w:tc>
          <w:tcPr>
            <w:tcW w:type="dxa" w:w="3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Manage catalog: category, product, variant, gallery (FR-701–704)</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r>
      <w:tr>
        <w:tc>
          <w:tcPr>
            <w:tcW w:type="dxa" w:w="3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Upload / replace media (FR-801, FR-803)</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r>
      <w:tr>
        <w:tc>
          <w:tcPr>
            <w:tcW w:type="dxa" w:w="3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Delete media (FR-802)</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r>
      <w:tr>
        <w:tc>
          <w:tcPr>
            <w:tcW w:type="dxa" w:w="3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View orders (FR-712)</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r>
    </w:tbl>
    <w:p>
      <w:pPr>
        <w:spacing w:after="120"/>
      </w:pPr>
      <w:r>
        <w:t xml:space="preserve"/>
      </w:r>
    </w:p>
    <w:p>
      <w:pPr>
        <w:spacing w:after="60" w:before="120"/>
      </w:pPr>
      <w:r>
        <w:rPr>
          <w:b/>
          <w:bCs/>
          <w:color w:val="6C3FD1"/>
          <w:sz w:val="19"/>
          <w:szCs w:val="19"/>
        </w:rPr>
        <w:t xml:space="preserve">Platform Administration (cross-tenant,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1200"/>
        <w:gridCol w:w="1200"/>
      </w:tblGrid>
      <w:tr>
        <w:trPr>
          <w:tblHeader/>
        </w:trPr>
        <w:tc>
          <w:tcPr>
            <w:tcW w:type="dxa" w:w="336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Capability</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Owner</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Admin</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Editor</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Viewer</w:t>
            </w:r>
          </w:p>
        </w:tc>
        <w:tc>
          <w:tcPr>
            <w:tcW w:type="dxa" w:w="1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Platform Admin</w:t>
            </w:r>
          </w:p>
        </w:tc>
      </w:tr>
      <w:tr>
        <w:tc>
          <w:tcPr>
            <w:tcW w:type="dxa" w:w="3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Manage platform users (FR-901)</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r>
      <w:tr>
        <w:tc>
          <w:tcPr>
            <w:tcW w:type="dxa" w:w="3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Manage / suspend organizations (FR-902)</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r>
      <w:tr>
        <w:tc>
          <w:tcPr>
            <w:tcW w:type="dxa" w:w="3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Manage products oversight (FR-903)</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r>
      <w:tr>
        <w:tc>
          <w:tcPr>
            <w:tcW w:type="dxa" w:w="3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Manage plans catalog (FR-904)</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r>
      <w:tr>
        <w:tc>
          <w:tcPr>
            <w:tcW w:type="dxa" w:w="33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Manage FAQ &amp; contact requests (FR-905–906)</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color w:val="B7BCC6"/>
                <w:sz w:val="16"/>
                <w:szCs w:val="16"/>
              </w:rPr>
              <w:t xml:space="preserve">—</w:t>
            </w:r>
          </w:p>
        </w:tc>
        <w:tc>
          <w:tcPr>
            <w:tcW w:type="dxa" w:w="1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bCs/>
                <w:color w:val="1E7A46"/>
                <w:sz w:val="18"/>
                <w:szCs w:val="18"/>
              </w:rPr>
              <w:t xml:space="preserve">✓</w:t>
            </w:r>
          </w:p>
        </w:tc>
      </w:tr>
    </w:tbl>
    <w:p>
      <w:pPr>
        <w:spacing w:after="120"/>
      </w:pPr>
      <w:r>
        <w:t xml:space="preserve"/>
      </w:r>
    </w:p>
    <w:p>
      <w:pPr>
        <w:pStyle w:val="Heading2"/>
      </w:pPr>
      <w:r>
        <w:t xml:space="preserve">4.4 Special Authorization Rules</w:t>
      </w:r>
    </w:p>
    <w:p>
      <w:pPr>
        <w:pStyle w:val="ListParagraph"/>
        <w:numPr>
          <w:ilvl w:val="0"/>
          <w:numId w:val="3"/>
        </w:numPr>
        <w:spacing w:after="65"/>
      </w:pPr>
      <w:r>
        <w:t xml:space="preserve">An organization must always retain at least one Owner; the last Owner cannot be removed or demoted.</w:t>
      </w:r>
    </w:p>
    <w:p>
      <w:pPr>
        <w:pStyle w:val="ListParagraph"/>
        <w:numPr>
          <w:ilvl w:val="0"/>
          <w:numId w:val="3"/>
        </w:numPr>
        <w:spacing w:after="65"/>
      </w:pPr>
      <w:r>
        <w:t xml:space="preserve">Admin role assignment (</w:t>
      </w:r>
      <w:r>
        <w:rPr>
          <w:b/>
          <w:bCs/>
        </w:rPr>
        <w:t xml:space="preserve">~</w:t>
      </w:r>
      <w:r>
        <w:t xml:space="preserve"> in the matrix) is limited: an Admin may assign roles at or below Admin but cannot create or remove Owners.</w:t>
      </w:r>
    </w:p>
    <w:p>
      <w:pPr>
        <w:pStyle w:val="ListParagraph"/>
        <w:numPr>
          <w:ilvl w:val="0"/>
          <w:numId w:val="3"/>
        </w:numPr>
        <w:spacing w:after="65"/>
      </w:pPr>
      <w:r>
        <w:t xml:space="preserve">Platform Admin is never granted through organization membership and operates only via the audited cross-tenant path (§3.8).</w:t>
      </w:r>
    </w:p>
    <w:p>
      <w:pPr>
        <w:pStyle w:val="ListParagraph"/>
        <w:numPr>
          <w:ilvl w:val="0"/>
          <w:numId w:val="3"/>
        </w:numPr>
        <w:spacing w:after="65"/>
      </w:pPr>
      <w:r>
        <w:t xml:space="preserve">Viewer is strictly read-only across all domains.</w:t>
      </w:r>
    </w:p>
    <w:p>
      <w:pPr>
        <w:pStyle w:val="ListParagraph"/>
        <w:numPr>
          <w:ilvl w:val="0"/>
          <w:numId w:val="3"/>
        </w:numPr>
        <w:spacing w:after="65"/>
      </w:pPr>
      <w:r>
        <w:t xml:space="preserve">Public storefront actions (browse, cart, WhatsApp checkout) require no role and are unauthenticated, scoped to the subdomain's tenant.</w:t>
      </w:r>
    </w:p>
    <w:p>
      <w:pPr>
        <w:pStyle w:val="Heading1"/>
      </w:pPr>
      <w:r>
        <w:t xml:space="preserve">5. Domain Model</w:t>
      </w:r>
    </w:p>
    <w:p>
      <w:pPr>
        <w:pStyle w:val="Heading2"/>
      </w:pPr>
      <w:r>
        <w:t xml:space="preserve">5.1 Bounded Contexts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3400"/>
      </w:tblGrid>
      <w:tr>
        <w:trPr>
          <w:tblHeader/>
        </w:trPr>
        <w:tc>
          <w:tcPr>
            <w:tcW w:type="dxa" w:w="19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Module</w:t>
            </w:r>
          </w:p>
        </w:tc>
        <w:tc>
          <w:tcPr>
            <w:tcW w:type="dxa" w:w="406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Responsibility</w:t>
            </w:r>
          </w:p>
        </w:tc>
        <w:tc>
          <w:tcPr>
            <w:tcW w:type="dxa" w:w="34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Key Entities</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Core / Identity</w:t>
            </w:r>
          </w:p>
        </w:tc>
        <w:tc>
          <w:tcPr>
            <w:tcW w:type="dxa" w:w="40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Users, organizations, membership, RBAC, invitations, audit.</w:t>
            </w:r>
          </w:p>
        </w:tc>
        <w:tc>
          <w:tcPr>
            <w:tcW w:type="dxa" w:w="3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User, Organization, Membership, Invitation, AuditLog</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Billing</w:t>
            </w:r>
          </w:p>
        </w:tc>
        <w:tc>
          <w:tcPr>
            <w:tcW w:type="dxa" w:w="40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Plans and subscription state (dummy in MVP).</w:t>
            </w:r>
          </w:p>
        </w:tc>
        <w:tc>
          <w:tcPr>
            <w:tcW w:type="dxa" w:w="3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Plan, Subscription</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Builder</w:t>
            </w:r>
          </w:p>
        </w:tc>
        <w:tc>
          <w:tcPr>
            <w:tcW w:type="dxa" w:w="40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Websites, pages, content blocks, templates, publishing.</w:t>
            </w:r>
          </w:p>
        </w:tc>
        <w:tc>
          <w:tcPr>
            <w:tcW w:type="dxa" w:w="3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Website, Page, Block, Template, Publication</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Commerce</w:t>
            </w:r>
          </w:p>
        </w:tc>
        <w:tc>
          <w:tcPr>
            <w:tcW w:type="dxa" w:w="40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Catalog, storefront, cart and orders.</w:t>
            </w:r>
          </w:p>
        </w:tc>
        <w:tc>
          <w:tcPr>
            <w:tcW w:type="dxa" w:w="3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Category, Product, ProductVariant, ProductImage, Cart, CartItem, Order, OrderItem</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Media</w:t>
            </w:r>
          </w:p>
        </w:tc>
        <w:tc>
          <w:tcPr>
            <w:tcW w:type="dxa" w:w="40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Tenant asset library.</w:t>
            </w:r>
          </w:p>
        </w:tc>
        <w:tc>
          <w:tcPr>
            <w:tcW w:type="dxa" w:w="3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MediaAsset</w:t>
            </w:r>
          </w:p>
        </w:tc>
      </w:tr>
    </w:tbl>
    <w:p>
      <w:pPr>
        <w:pStyle w:val="Heading2"/>
      </w:pPr>
      <w:r>
        <w:t xml:space="preserve">5.2 Entity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100"/>
        <w:gridCol w:w="3860"/>
      </w:tblGrid>
      <w:tr>
        <w:trPr>
          <w:tblHeader/>
        </w:trPr>
        <w:tc>
          <w:tcPr>
            <w:tcW w:type="dxa" w:w="19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Entity</w:t>
            </w:r>
          </w:p>
        </w:tc>
        <w:tc>
          <w:tcPr>
            <w:tcW w:type="dxa" w:w="15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Module</w:t>
            </w:r>
          </w:p>
        </w:tc>
        <w:tc>
          <w:tcPr>
            <w:tcW w:type="dxa" w:w="21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Tenant Scope</w:t>
            </w:r>
          </w:p>
        </w:tc>
        <w:tc>
          <w:tcPr>
            <w:tcW w:type="dxa" w:w="386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Description</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User</w:t>
            </w:r>
          </w:p>
        </w:tc>
        <w:tc>
          <w:tcPr>
            <w:tcW w:type="dxa" w:w="15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Core</w:t>
            </w:r>
          </w:p>
        </w:tc>
        <w:tc>
          <w:tcPr>
            <w:tcW w:type="dxa" w:w="21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Global</w:t>
            </w:r>
          </w:p>
        </w:tc>
        <w:tc>
          <w:tcPr>
            <w:tcW w:type="dxa" w:w="38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A person who authenticates; may belong to many organizations.</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Organization</w:t>
            </w:r>
          </w:p>
        </w:tc>
        <w:tc>
          <w:tcPr>
            <w:tcW w:type="dxa" w:w="15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Core</w:t>
            </w:r>
          </w:p>
        </w:tc>
        <w:tc>
          <w:tcPr>
            <w:tcW w:type="dxa" w:w="21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Tenant root</w:t>
            </w:r>
          </w:p>
        </w:tc>
        <w:tc>
          <w:tcPr>
            <w:tcW w:type="dxa" w:w="38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The tenant workspace; unit of isolation.</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Membership</w:t>
            </w:r>
          </w:p>
        </w:tc>
        <w:tc>
          <w:tcPr>
            <w:tcW w:type="dxa" w:w="15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Core</w:t>
            </w:r>
          </w:p>
        </w:tc>
        <w:tc>
          <w:tcPr>
            <w:tcW w:type="dxa" w:w="21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Tenant (org)</w:t>
            </w:r>
          </w:p>
        </w:tc>
        <w:tc>
          <w:tcPr>
            <w:tcW w:type="dxa" w:w="38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Links a User to an Organization with one Role.</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Invitation</w:t>
            </w:r>
          </w:p>
        </w:tc>
        <w:tc>
          <w:tcPr>
            <w:tcW w:type="dxa" w:w="15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Core</w:t>
            </w:r>
          </w:p>
        </w:tc>
        <w:tc>
          <w:tcPr>
            <w:tcW w:type="dxa" w:w="21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Tenant (org)</w:t>
            </w:r>
          </w:p>
        </w:tc>
        <w:tc>
          <w:tcPr>
            <w:tcW w:type="dxa" w:w="38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Pending offer to join an organization with a role.</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Plan</w:t>
            </w:r>
          </w:p>
        </w:tc>
        <w:tc>
          <w:tcPr>
            <w:tcW w:type="dxa" w:w="15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Billing</w:t>
            </w:r>
          </w:p>
        </w:tc>
        <w:tc>
          <w:tcPr>
            <w:tcW w:type="dxa" w:w="21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Global</w:t>
            </w:r>
          </w:p>
        </w:tc>
        <w:tc>
          <w:tcPr>
            <w:tcW w:type="dxa" w:w="38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Catalogue plan with feature entitlements (dynamic pricing).</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Subscription</w:t>
            </w:r>
          </w:p>
        </w:tc>
        <w:tc>
          <w:tcPr>
            <w:tcW w:type="dxa" w:w="15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Billing</w:t>
            </w:r>
          </w:p>
        </w:tc>
        <w:tc>
          <w:tcPr>
            <w:tcW w:type="dxa" w:w="21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Tenant (org)</w:t>
            </w:r>
          </w:p>
        </w:tc>
        <w:tc>
          <w:tcPr>
            <w:tcW w:type="dxa" w:w="38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An organization's active plan assignment and history.</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Website</w:t>
            </w:r>
          </w:p>
        </w:tc>
        <w:tc>
          <w:tcPr>
            <w:tcW w:type="dxa" w:w="15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Builder</w:t>
            </w:r>
          </w:p>
        </w:tc>
        <w:tc>
          <w:tcPr>
            <w:tcW w:type="dxa" w:w="21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Tenant (org)</w:t>
            </w:r>
          </w:p>
        </w:tc>
        <w:tc>
          <w:tcPr>
            <w:tcW w:type="dxa" w:w="38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A site owned by an organization.</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Page</w:t>
            </w:r>
          </w:p>
        </w:tc>
        <w:tc>
          <w:tcPr>
            <w:tcW w:type="dxa" w:w="15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Builder</w:t>
            </w:r>
          </w:p>
        </w:tc>
        <w:tc>
          <w:tcPr>
            <w:tcW w:type="dxa" w:w="21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Tenant (via Website)</w:t>
            </w:r>
          </w:p>
        </w:tc>
        <w:tc>
          <w:tcPr>
            <w:tcW w:type="dxa" w:w="38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A page within a website.</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Block</w:t>
            </w:r>
          </w:p>
        </w:tc>
        <w:tc>
          <w:tcPr>
            <w:tcW w:type="dxa" w:w="15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Builder</w:t>
            </w:r>
          </w:p>
        </w:tc>
        <w:tc>
          <w:tcPr>
            <w:tcW w:type="dxa" w:w="21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Tenant (via Page)</w:t>
            </w:r>
          </w:p>
        </w:tc>
        <w:tc>
          <w:tcPr>
            <w:tcW w:type="dxa" w:w="38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A content block (hero, feature, gallery, product, FAQ, contact).</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Template</w:t>
            </w:r>
          </w:p>
        </w:tc>
        <w:tc>
          <w:tcPr>
            <w:tcW w:type="dxa" w:w="15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Builder</w:t>
            </w:r>
          </w:p>
        </w:tc>
        <w:tc>
          <w:tcPr>
            <w:tcW w:type="dxa" w:w="21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Global</w:t>
            </w:r>
          </w:p>
        </w:tc>
        <w:tc>
          <w:tcPr>
            <w:tcW w:type="dxa" w:w="38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Starter layout that seeds pages and blocks.</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Publication</w:t>
            </w:r>
          </w:p>
        </w:tc>
        <w:tc>
          <w:tcPr>
            <w:tcW w:type="dxa" w:w="15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Builder</w:t>
            </w:r>
          </w:p>
        </w:tc>
        <w:tc>
          <w:tcPr>
            <w:tcW w:type="dxa" w:w="21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Tenant (via Website)</w:t>
            </w:r>
          </w:p>
        </w:tc>
        <w:tc>
          <w:tcPr>
            <w:tcW w:type="dxa" w:w="38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Subdomain assignment and publish state of a website.</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MediaAsset</w:t>
            </w:r>
          </w:p>
        </w:tc>
        <w:tc>
          <w:tcPr>
            <w:tcW w:type="dxa" w:w="15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Media</w:t>
            </w:r>
          </w:p>
        </w:tc>
        <w:tc>
          <w:tcPr>
            <w:tcW w:type="dxa" w:w="21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Tenant (org)</w:t>
            </w:r>
          </w:p>
        </w:tc>
        <w:tc>
          <w:tcPr>
            <w:tcW w:type="dxa" w:w="38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An uploaded image in the organization's library.</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Category</w:t>
            </w:r>
          </w:p>
        </w:tc>
        <w:tc>
          <w:tcPr>
            <w:tcW w:type="dxa" w:w="15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Commerce</w:t>
            </w:r>
          </w:p>
        </w:tc>
        <w:tc>
          <w:tcPr>
            <w:tcW w:type="dxa" w:w="21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Tenant (org)</w:t>
            </w:r>
          </w:p>
        </w:tc>
        <w:tc>
          <w:tcPr>
            <w:tcW w:type="dxa" w:w="38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Grouping of products.</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Product</w:t>
            </w:r>
          </w:p>
        </w:tc>
        <w:tc>
          <w:tcPr>
            <w:tcW w:type="dxa" w:w="15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Commerce</w:t>
            </w:r>
          </w:p>
        </w:tc>
        <w:tc>
          <w:tcPr>
            <w:tcW w:type="dxa" w:w="21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Tenant (org)</w:t>
            </w:r>
          </w:p>
        </w:tc>
        <w:tc>
          <w:tcPr>
            <w:tcW w:type="dxa" w:w="38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A sellable item.</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ProductVariant</w:t>
            </w:r>
          </w:p>
        </w:tc>
        <w:tc>
          <w:tcPr>
            <w:tcW w:type="dxa" w:w="15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Commerce</w:t>
            </w:r>
          </w:p>
        </w:tc>
        <w:tc>
          <w:tcPr>
            <w:tcW w:type="dxa" w:w="21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Tenant (via Product)</w:t>
            </w:r>
          </w:p>
        </w:tc>
        <w:tc>
          <w:tcPr>
            <w:tcW w:type="dxa" w:w="38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A variant (e.g., size/colour) with its own price/stock.</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ProductImage</w:t>
            </w:r>
          </w:p>
        </w:tc>
        <w:tc>
          <w:tcPr>
            <w:tcW w:type="dxa" w:w="15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Commerce</w:t>
            </w:r>
          </w:p>
        </w:tc>
        <w:tc>
          <w:tcPr>
            <w:tcW w:type="dxa" w:w="21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Tenant (via Product)</w:t>
            </w:r>
          </w:p>
        </w:tc>
        <w:tc>
          <w:tcPr>
            <w:tcW w:type="dxa" w:w="38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A product gallery image referencing a MediaAsset.</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Cart</w:t>
            </w:r>
          </w:p>
        </w:tc>
        <w:tc>
          <w:tcPr>
            <w:tcW w:type="dxa" w:w="15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Commerce</w:t>
            </w:r>
          </w:p>
        </w:tc>
        <w:tc>
          <w:tcPr>
            <w:tcW w:type="dxa" w:w="21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Tenant (via Website)</w:t>
            </w:r>
          </w:p>
        </w:tc>
        <w:tc>
          <w:tcPr>
            <w:tcW w:type="dxa" w:w="38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A visitor's shopping cart on a storefront.</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CartItem</w:t>
            </w:r>
          </w:p>
        </w:tc>
        <w:tc>
          <w:tcPr>
            <w:tcW w:type="dxa" w:w="15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Commerce</w:t>
            </w:r>
          </w:p>
        </w:tc>
        <w:tc>
          <w:tcPr>
            <w:tcW w:type="dxa" w:w="21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Tenant (via Cart)</w:t>
            </w:r>
          </w:p>
        </w:tc>
        <w:tc>
          <w:tcPr>
            <w:tcW w:type="dxa" w:w="38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A line item in a cart.</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Order</w:t>
            </w:r>
          </w:p>
        </w:tc>
        <w:tc>
          <w:tcPr>
            <w:tcW w:type="dxa" w:w="15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Commerce</w:t>
            </w:r>
          </w:p>
        </w:tc>
        <w:tc>
          <w:tcPr>
            <w:tcW w:type="dxa" w:w="21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Tenant (org)</w:t>
            </w:r>
          </w:p>
        </w:tc>
        <w:tc>
          <w:tcPr>
            <w:tcW w:type="dxa" w:w="38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A captured order snapshot.</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OrderItem</w:t>
            </w:r>
          </w:p>
        </w:tc>
        <w:tc>
          <w:tcPr>
            <w:tcW w:type="dxa" w:w="15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Commerce</w:t>
            </w:r>
          </w:p>
        </w:tc>
        <w:tc>
          <w:tcPr>
            <w:tcW w:type="dxa" w:w="21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Tenant (via Order)</w:t>
            </w:r>
          </w:p>
        </w:tc>
        <w:tc>
          <w:tcPr>
            <w:tcW w:type="dxa" w:w="38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A line item within an order.</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ContactRequest</w:t>
            </w:r>
          </w:p>
        </w:tc>
        <w:tc>
          <w:tcPr>
            <w:tcW w:type="dxa" w:w="15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Core</w:t>
            </w:r>
          </w:p>
        </w:tc>
        <w:tc>
          <w:tcPr>
            <w:tcW w:type="dxa" w:w="21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Tenant (org)</w:t>
            </w:r>
          </w:p>
        </w:tc>
        <w:tc>
          <w:tcPr>
            <w:tcW w:type="dxa" w:w="38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A contact-form submission for an organization's site.</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Faq</w:t>
            </w:r>
          </w:p>
        </w:tc>
        <w:tc>
          <w:tcPr>
            <w:tcW w:type="dxa" w:w="15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Core</w:t>
            </w:r>
          </w:p>
        </w:tc>
        <w:tc>
          <w:tcPr>
            <w:tcW w:type="dxa" w:w="21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Global (platform)</w:t>
            </w:r>
          </w:p>
        </w:tc>
        <w:tc>
          <w:tcPr>
            <w:tcW w:type="dxa" w:w="38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Platform-level FAQ entry.</w:t>
            </w:r>
          </w:p>
        </w:tc>
      </w:tr>
      <w:tr>
        <w:tc>
          <w:tcPr>
            <w:tcW w:type="dxa" w:w="19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AuditLog</w:t>
            </w:r>
          </w:p>
        </w:tc>
        <w:tc>
          <w:tcPr>
            <w:tcW w:type="dxa" w:w="15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Core</w:t>
            </w:r>
          </w:p>
        </w:tc>
        <w:tc>
          <w:tcPr>
            <w:tcW w:type="dxa" w:w="21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Tenant (org context)</w:t>
            </w:r>
          </w:p>
        </w:tc>
        <w:tc>
          <w:tcPr>
            <w:tcW w:type="dxa" w:w="38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Security/audit event record.</w:t>
            </w:r>
          </w:p>
        </w:tc>
      </w:tr>
    </w:tbl>
    <w:p>
      <w:pPr>
        <w:pStyle w:val="Heading2"/>
      </w:pPr>
      <w:r>
        <w:t xml:space="preserve">5.3 Key Entity Attributes</w:t>
      </w:r>
    </w:p>
    <w:p>
      <w:pPr>
        <w:pStyle w:val="Heading3"/>
      </w:pPr>
      <w:r>
        <w:t xml:space="preserve">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Field</w:t>
            </w:r>
          </w:p>
        </w:tc>
        <w:tc>
          <w:tcPr>
            <w:tcW w:type="dxa" w:w="2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Type</w:t>
            </w:r>
          </w:p>
        </w:tc>
        <w:tc>
          <w:tcPr>
            <w:tcW w:type="dxa" w:w="476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Notes</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id</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UUID</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Primary key; the tenant identifier.</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name</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string</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Display name.</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slug</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string</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Unique; basis of the publishing subdomain.</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status</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enum</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Active, Suspended, SoftDeleted.</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createdAt / deletedAt</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timestamp</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deletedAt set on soft-delete (retention window).</w:t>
            </w:r>
          </w:p>
        </w:tc>
      </w:tr>
    </w:tbl>
    <w:p>
      <w:pPr>
        <w:pStyle w:val="Heading3"/>
      </w:pPr>
      <w:r>
        <w:t xml:space="preserve">Membership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Field</w:t>
            </w:r>
          </w:p>
        </w:tc>
        <w:tc>
          <w:tcPr>
            <w:tcW w:type="dxa" w:w="2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Type</w:t>
            </w:r>
          </w:p>
        </w:tc>
        <w:tc>
          <w:tcPr>
            <w:tcW w:type="dxa" w:w="476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Notes</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id</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UUID</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Primary key.</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userId</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UUID</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FK → User.</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organizationId</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UUID</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FK → Organization (tenant key).</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role</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enum</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Owner, Admin, Editor, Viewer.</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status</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enum</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Active, Invited, Removed. Unique on (userId, organizationId).</w:t>
            </w:r>
          </w:p>
        </w:tc>
      </w:tr>
    </w:tbl>
    <w:p>
      <w:pPr>
        <w:pStyle w:val="Heading3"/>
      </w:pPr>
      <w:r>
        <w:t xml:space="preserve">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Field</w:t>
            </w:r>
          </w:p>
        </w:tc>
        <w:tc>
          <w:tcPr>
            <w:tcW w:type="dxa" w:w="2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Type</w:t>
            </w:r>
          </w:p>
        </w:tc>
        <w:tc>
          <w:tcPr>
            <w:tcW w:type="dxa" w:w="476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Notes</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id</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UUID</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Primary key.</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organizationId</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UUID</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FK → Organization (tenant key).</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templateId</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UUID</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FK → Template (nullable after divergence).</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name</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string</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Internal name.</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status</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enum</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Draft, Published, Unpublished.</w:t>
            </w:r>
          </w:p>
        </w:tc>
      </w:tr>
    </w:tbl>
    <w:p>
      <w:pPr>
        <w:pStyle w:val="Heading3"/>
      </w:pPr>
      <w:r>
        <w:t xml:space="preserve">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Field</w:t>
            </w:r>
          </w:p>
        </w:tc>
        <w:tc>
          <w:tcPr>
            <w:tcW w:type="dxa" w:w="2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Type</w:t>
            </w:r>
          </w:p>
        </w:tc>
        <w:tc>
          <w:tcPr>
            <w:tcW w:type="dxa" w:w="476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Notes</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id</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UUID</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Primary key.</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organizationId</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UUID</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FK → Organization (tenant key).</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categoryId</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UUID</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FK → Category.</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name / description</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string</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Catalog detail.</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price</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decimal</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 0; base price (variants may override).</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status</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enum</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Active, Hidden.</w:t>
            </w:r>
          </w:p>
        </w:tc>
      </w:tr>
    </w:tbl>
    <w:p>
      <w:pPr>
        <w:pStyle w:val="Heading3"/>
      </w:pPr>
      <w:r>
        <w:t xml:space="preserve">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Field</w:t>
            </w:r>
          </w:p>
        </w:tc>
        <w:tc>
          <w:tcPr>
            <w:tcW w:type="dxa" w:w="2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Type</w:t>
            </w:r>
          </w:p>
        </w:tc>
        <w:tc>
          <w:tcPr>
            <w:tcW w:type="dxa" w:w="476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Notes</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id</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UUID</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Primary key.</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organizationId</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UUID</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FK → Organization (tenant key).</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websiteId</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UUID</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FK → Website (origin storefront).</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buyerName / contact</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string</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Captured at checkout; no account required.</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channel</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enum</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OnPlatform, WhatsApp (FR-713).</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status</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enum</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New, Processing, Completed, Cancelled.</w:t>
            </w:r>
          </w:p>
        </w:tc>
      </w:tr>
      <w:tr>
        <w:tc>
          <w:tcPr>
            <w:tcW w:type="dxa" w:w="24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rFonts w:ascii="Consolas" w:cs="Consolas" w:eastAsia="Consolas" w:hAnsi="Consolas"/>
                <w:b/>
                <w:bCs/>
                <w:color w:val="1F2430"/>
                <w:sz w:val="16"/>
                <w:szCs w:val="16"/>
              </w:rPr>
              <w:t xml:space="preserve">total</w:t>
            </w:r>
          </w:p>
        </w:tc>
        <w:tc>
          <w:tcPr>
            <w:tcW w:type="dxa" w:w="2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decimal</w:t>
            </w:r>
          </w:p>
        </w:tc>
        <w:tc>
          <w:tcPr>
            <w:tcW w:type="dxa" w:w="47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Snapshot total at checkout.</w:t>
            </w:r>
          </w:p>
        </w:tc>
      </w:tr>
    </w:tbl>
    <w:p>
      <w:pPr>
        <w:pStyle w:val="Heading2"/>
      </w:pPr>
      <w:r>
        <w:t xml:space="preserve">5.4 Relationships and Cardinality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460"/>
      </w:tblGrid>
      <w:tr>
        <w:trPr>
          <w:tblHeader/>
        </w:trPr>
        <w:tc>
          <w:tcPr>
            <w:tcW w:type="dxa" w:w="42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Relationship</w:t>
            </w:r>
          </w:p>
        </w:tc>
        <w:tc>
          <w:tcPr>
            <w:tcW w:type="dxa" w:w="170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center"/>
            </w:pPr>
            <w:r>
              <w:rPr>
                <w:b/>
                <w:bCs/>
                <w:color w:val="FFFFFF"/>
                <w:sz w:val="16"/>
                <w:szCs w:val="16"/>
              </w:rPr>
              <w:t xml:space="preserve">Cardinality</w:t>
            </w:r>
          </w:p>
        </w:tc>
        <w:tc>
          <w:tcPr>
            <w:tcW w:type="dxa" w:w="346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Notes</w:t>
            </w:r>
          </w:p>
        </w:tc>
      </w:tr>
      <w:tr>
        <w:tc>
          <w:tcPr>
            <w:tcW w:type="dxa" w:w="4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User — Membership</w:t>
            </w:r>
          </w:p>
        </w:tc>
        <w:tc>
          <w:tcPr>
            <w:tcW w:type="dxa" w:w="17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val="false"/>
                <w:bCs w:val="false"/>
                <w:color w:val="1F2430"/>
                <w:sz w:val="16"/>
                <w:szCs w:val="16"/>
              </w:rPr>
              <w:t xml:space="preserve">1 : N</w:t>
            </w:r>
          </w:p>
        </w:tc>
        <w:tc>
          <w:tcPr>
            <w:tcW w:type="dxa" w:w="34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
            </w:r>
          </w:p>
        </w:tc>
      </w:tr>
      <w:tr>
        <w:tc>
          <w:tcPr>
            <w:tcW w:type="dxa" w:w="4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Organization — Membership</w:t>
            </w:r>
          </w:p>
        </w:tc>
        <w:tc>
          <w:tcPr>
            <w:tcW w:type="dxa" w:w="17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val="false"/>
                <w:bCs w:val="false"/>
                <w:color w:val="1F2430"/>
                <w:sz w:val="16"/>
                <w:szCs w:val="16"/>
              </w:rPr>
              <w:t xml:space="preserve">1 : N</w:t>
            </w:r>
          </w:p>
        </w:tc>
        <w:tc>
          <w:tcPr>
            <w:tcW w:type="dxa" w:w="34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User–Organization is M:N via Membership.</w:t>
            </w:r>
          </w:p>
        </w:tc>
      </w:tr>
      <w:tr>
        <w:tc>
          <w:tcPr>
            <w:tcW w:type="dxa" w:w="4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Organization — Invitation</w:t>
            </w:r>
          </w:p>
        </w:tc>
        <w:tc>
          <w:tcPr>
            <w:tcW w:type="dxa" w:w="17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val="false"/>
                <w:bCs w:val="false"/>
                <w:color w:val="1F2430"/>
                <w:sz w:val="16"/>
                <w:szCs w:val="16"/>
              </w:rPr>
              <w:t xml:space="preserve">1 : N</w:t>
            </w:r>
          </w:p>
        </w:tc>
        <w:tc>
          <w:tcPr>
            <w:tcW w:type="dxa" w:w="34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
            </w:r>
          </w:p>
        </w:tc>
      </w:tr>
      <w:tr>
        <w:tc>
          <w:tcPr>
            <w:tcW w:type="dxa" w:w="4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Organization — Subscription</w:t>
            </w:r>
          </w:p>
        </w:tc>
        <w:tc>
          <w:tcPr>
            <w:tcW w:type="dxa" w:w="17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val="false"/>
                <w:bCs w:val="false"/>
                <w:color w:val="1F2430"/>
                <w:sz w:val="16"/>
                <w:szCs w:val="16"/>
              </w:rPr>
              <w:t xml:space="preserve">1 : N</w:t>
            </w:r>
          </w:p>
        </w:tc>
        <w:tc>
          <w:tcPr>
            <w:tcW w:type="dxa" w:w="34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One active subscription at a time.</w:t>
            </w:r>
          </w:p>
        </w:tc>
      </w:tr>
      <w:tr>
        <w:tc>
          <w:tcPr>
            <w:tcW w:type="dxa" w:w="4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Plan — Subscription</w:t>
            </w:r>
          </w:p>
        </w:tc>
        <w:tc>
          <w:tcPr>
            <w:tcW w:type="dxa" w:w="17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val="false"/>
                <w:bCs w:val="false"/>
                <w:color w:val="1F2430"/>
                <w:sz w:val="16"/>
                <w:szCs w:val="16"/>
              </w:rPr>
              <w:t xml:space="preserve">1 : N</w:t>
            </w:r>
          </w:p>
        </w:tc>
        <w:tc>
          <w:tcPr>
            <w:tcW w:type="dxa" w:w="34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
            </w:r>
          </w:p>
        </w:tc>
      </w:tr>
      <w:tr>
        <w:tc>
          <w:tcPr>
            <w:tcW w:type="dxa" w:w="4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Organization — Website</w:t>
            </w:r>
          </w:p>
        </w:tc>
        <w:tc>
          <w:tcPr>
            <w:tcW w:type="dxa" w:w="17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val="false"/>
                <w:bCs w:val="false"/>
                <w:color w:val="1F2430"/>
                <w:sz w:val="16"/>
                <w:szCs w:val="16"/>
              </w:rPr>
              <w:t xml:space="preserve">1 : N</w:t>
            </w:r>
          </w:p>
        </w:tc>
        <w:tc>
          <w:tcPr>
            <w:tcW w:type="dxa" w:w="34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Free plan limits to 1 (FR-501).</w:t>
            </w:r>
          </w:p>
        </w:tc>
      </w:tr>
      <w:tr>
        <w:tc>
          <w:tcPr>
            <w:tcW w:type="dxa" w:w="4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Website — Page</w:t>
            </w:r>
          </w:p>
        </w:tc>
        <w:tc>
          <w:tcPr>
            <w:tcW w:type="dxa" w:w="17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val="false"/>
                <w:bCs w:val="false"/>
                <w:color w:val="1F2430"/>
                <w:sz w:val="16"/>
                <w:szCs w:val="16"/>
              </w:rPr>
              <w:t xml:space="preserve">1 : N</w:t>
            </w:r>
          </w:p>
        </w:tc>
        <w:tc>
          <w:tcPr>
            <w:tcW w:type="dxa" w:w="34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
            </w:r>
          </w:p>
        </w:tc>
      </w:tr>
      <w:tr>
        <w:tc>
          <w:tcPr>
            <w:tcW w:type="dxa" w:w="4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Page — Block</w:t>
            </w:r>
          </w:p>
        </w:tc>
        <w:tc>
          <w:tcPr>
            <w:tcW w:type="dxa" w:w="17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val="false"/>
                <w:bCs w:val="false"/>
                <w:color w:val="1F2430"/>
                <w:sz w:val="16"/>
                <w:szCs w:val="16"/>
              </w:rPr>
              <w:t xml:space="preserve">1 : N</w:t>
            </w:r>
          </w:p>
        </w:tc>
        <w:tc>
          <w:tcPr>
            <w:tcW w:type="dxa" w:w="34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Ordered.</w:t>
            </w:r>
          </w:p>
        </w:tc>
      </w:tr>
      <w:tr>
        <w:tc>
          <w:tcPr>
            <w:tcW w:type="dxa" w:w="4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Template — Website</w:t>
            </w:r>
          </w:p>
        </w:tc>
        <w:tc>
          <w:tcPr>
            <w:tcW w:type="dxa" w:w="17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val="false"/>
                <w:bCs w:val="false"/>
                <w:color w:val="1F2430"/>
                <w:sz w:val="16"/>
                <w:szCs w:val="16"/>
              </w:rPr>
              <w:t xml:space="preserve">1 : N</w:t>
            </w:r>
          </w:p>
        </w:tc>
        <w:tc>
          <w:tcPr>
            <w:tcW w:type="dxa" w:w="34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Template seeds a website.</w:t>
            </w:r>
          </w:p>
        </w:tc>
      </w:tr>
      <w:tr>
        <w:tc>
          <w:tcPr>
            <w:tcW w:type="dxa" w:w="4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Website — Publication</w:t>
            </w:r>
          </w:p>
        </w:tc>
        <w:tc>
          <w:tcPr>
            <w:tcW w:type="dxa" w:w="17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val="false"/>
                <w:bCs w:val="false"/>
                <w:color w:val="1F2430"/>
                <w:sz w:val="16"/>
                <w:szCs w:val="16"/>
              </w:rPr>
              <w:t xml:space="preserve">1 : 1</w:t>
            </w:r>
          </w:p>
        </w:tc>
        <w:tc>
          <w:tcPr>
            <w:tcW w:type="dxa" w:w="34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Holds subdomain + publish state.</w:t>
            </w:r>
          </w:p>
        </w:tc>
      </w:tr>
      <w:tr>
        <w:tc>
          <w:tcPr>
            <w:tcW w:type="dxa" w:w="4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Organization — Category</w:t>
            </w:r>
          </w:p>
        </w:tc>
        <w:tc>
          <w:tcPr>
            <w:tcW w:type="dxa" w:w="17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val="false"/>
                <w:bCs w:val="false"/>
                <w:color w:val="1F2430"/>
                <w:sz w:val="16"/>
                <w:szCs w:val="16"/>
              </w:rPr>
              <w:t xml:space="preserve">1 : N</w:t>
            </w:r>
          </w:p>
        </w:tc>
        <w:tc>
          <w:tcPr>
            <w:tcW w:type="dxa" w:w="34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
            </w:r>
          </w:p>
        </w:tc>
      </w:tr>
      <w:tr>
        <w:tc>
          <w:tcPr>
            <w:tcW w:type="dxa" w:w="4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Category — Product</w:t>
            </w:r>
          </w:p>
        </w:tc>
        <w:tc>
          <w:tcPr>
            <w:tcW w:type="dxa" w:w="17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val="false"/>
                <w:bCs w:val="false"/>
                <w:color w:val="1F2430"/>
                <w:sz w:val="16"/>
                <w:szCs w:val="16"/>
              </w:rPr>
              <w:t xml:space="preserve">1 : N</w:t>
            </w:r>
          </w:p>
        </w:tc>
        <w:tc>
          <w:tcPr>
            <w:tcW w:type="dxa" w:w="34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Product belongs to one category (MVP).</w:t>
            </w:r>
          </w:p>
        </w:tc>
      </w:tr>
      <w:tr>
        <w:tc>
          <w:tcPr>
            <w:tcW w:type="dxa" w:w="4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Product — ProductVariant</w:t>
            </w:r>
          </w:p>
        </w:tc>
        <w:tc>
          <w:tcPr>
            <w:tcW w:type="dxa" w:w="17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val="false"/>
                <w:bCs w:val="false"/>
                <w:color w:val="1F2430"/>
                <w:sz w:val="16"/>
                <w:szCs w:val="16"/>
              </w:rPr>
              <w:t xml:space="preserve">1 : N</w:t>
            </w:r>
          </w:p>
        </w:tc>
        <w:tc>
          <w:tcPr>
            <w:tcW w:type="dxa" w:w="34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
            </w:r>
          </w:p>
        </w:tc>
      </w:tr>
      <w:tr>
        <w:tc>
          <w:tcPr>
            <w:tcW w:type="dxa" w:w="4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Product — ProductImage</w:t>
            </w:r>
          </w:p>
        </w:tc>
        <w:tc>
          <w:tcPr>
            <w:tcW w:type="dxa" w:w="17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val="false"/>
                <w:bCs w:val="false"/>
                <w:color w:val="1F2430"/>
                <w:sz w:val="16"/>
                <w:szCs w:val="16"/>
              </w:rPr>
              <w:t xml:space="preserve">1 : N</w:t>
            </w:r>
          </w:p>
        </w:tc>
        <w:tc>
          <w:tcPr>
            <w:tcW w:type="dxa" w:w="34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ProductImage references MediaAsset.</w:t>
            </w:r>
          </w:p>
        </w:tc>
      </w:tr>
      <w:tr>
        <w:tc>
          <w:tcPr>
            <w:tcW w:type="dxa" w:w="4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Website — Cart</w:t>
            </w:r>
          </w:p>
        </w:tc>
        <w:tc>
          <w:tcPr>
            <w:tcW w:type="dxa" w:w="17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val="false"/>
                <w:bCs w:val="false"/>
                <w:color w:val="1F2430"/>
                <w:sz w:val="16"/>
                <w:szCs w:val="16"/>
              </w:rPr>
              <w:t xml:space="preserve">1 : N</w:t>
            </w:r>
          </w:p>
        </w:tc>
        <w:tc>
          <w:tcPr>
            <w:tcW w:type="dxa" w:w="34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
            </w:r>
          </w:p>
        </w:tc>
      </w:tr>
      <w:tr>
        <w:tc>
          <w:tcPr>
            <w:tcW w:type="dxa" w:w="4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Cart — CartItem</w:t>
            </w:r>
          </w:p>
        </w:tc>
        <w:tc>
          <w:tcPr>
            <w:tcW w:type="dxa" w:w="17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val="false"/>
                <w:bCs w:val="false"/>
                <w:color w:val="1F2430"/>
                <w:sz w:val="16"/>
                <w:szCs w:val="16"/>
              </w:rPr>
              <w:t xml:space="preserve">1 : N</w:t>
            </w:r>
          </w:p>
        </w:tc>
        <w:tc>
          <w:tcPr>
            <w:tcW w:type="dxa" w:w="34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
            </w:r>
          </w:p>
        </w:tc>
      </w:tr>
      <w:tr>
        <w:tc>
          <w:tcPr>
            <w:tcW w:type="dxa" w:w="4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Organization — Order</w:t>
            </w:r>
          </w:p>
        </w:tc>
        <w:tc>
          <w:tcPr>
            <w:tcW w:type="dxa" w:w="17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val="false"/>
                <w:bCs w:val="false"/>
                <w:color w:val="1F2430"/>
                <w:sz w:val="16"/>
                <w:szCs w:val="16"/>
              </w:rPr>
              <w:t xml:space="preserve">1 : N</w:t>
            </w:r>
          </w:p>
        </w:tc>
        <w:tc>
          <w:tcPr>
            <w:tcW w:type="dxa" w:w="34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
            </w:r>
          </w:p>
        </w:tc>
      </w:tr>
      <w:tr>
        <w:tc>
          <w:tcPr>
            <w:tcW w:type="dxa" w:w="4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Order — OrderItem</w:t>
            </w:r>
          </w:p>
        </w:tc>
        <w:tc>
          <w:tcPr>
            <w:tcW w:type="dxa" w:w="17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val="false"/>
                <w:bCs w:val="false"/>
                <w:color w:val="1F2430"/>
                <w:sz w:val="16"/>
                <w:szCs w:val="16"/>
              </w:rPr>
              <w:t xml:space="preserve">1 : N</w:t>
            </w:r>
          </w:p>
        </w:tc>
        <w:tc>
          <w:tcPr>
            <w:tcW w:type="dxa" w:w="34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Immutable snapshot.</w:t>
            </w:r>
          </w:p>
        </w:tc>
      </w:tr>
      <w:tr>
        <w:tc>
          <w:tcPr>
            <w:tcW w:type="dxa" w:w="42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Organization — MediaAsset</w:t>
            </w:r>
          </w:p>
        </w:tc>
        <w:tc>
          <w:tcPr>
            <w:tcW w:type="dxa" w:w="170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center"/>
            </w:pPr>
            <w:r>
              <w:rPr>
                <w:b w:val="false"/>
                <w:bCs w:val="false"/>
                <w:color w:val="1F2430"/>
                <w:sz w:val="16"/>
                <w:szCs w:val="16"/>
              </w:rPr>
              <w:t xml:space="preserve">1 : N</w:t>
            </w:r>
          </w:p>
        </w:tc>
        <w:tc>
          <w:tcPr>
            <w:tcW w:type="dxa" w:w="346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val="false"/>
                <w:bCs w:val="false"/>
                <w:color w:val="1F2430"/>
                <w:sz w:val="16"/>
                <w:szCs w:val="16"/>
              </w:rPr>
              <w:t xml:space="preserve"/>
            </w:r>
          </w:p>
        </w:tc>
      </w:tr>
    </w:tbl>
    <w:p>
      <w:pPr>
        <w:pStyle w:val="Heading2"/>
      </w:pPr>
      <w:r>
        <w:t xml:space="preserve">5.5 Aggregates and Roots</w:t>
      </w:r>
    </w:p>
    <w:p>
      <w:pPr>
        <w:pStyle w:val="ListParagraph"/>
        <w:numPr>
          <w:ilvl w:val="0"/>
          <w:numId w:val="2"/>
        </w:numPr>
        <w:spacing w:after="55"/>
      </w:pPr>
      <w:r>
        <w:rPr>
          <w:b/>
          <w:bCs/>
        </w:rPr>
        <w:t xml:space="preserve">Organization</w:t>
      </w:r>
      <w:r>
        <w:t xml:space="preserve"> (root) → Membership, Invitation, Subscription.</w:t>
      </w:r>
    </w:p>
    <w:p>
      <w:pPr>
        <w:pStyle w:val="ListParagraph"/>
        <w:numPr>
          <w:ilvl w:val="0"/>
          <w:numId w:val="2"/>
        </w:numPr>
        <w:spacing w:after="55"/>
      </w:pPr>
      <w:r>
        <w:rPr>
          <w:b/>
          <w:bCs/>
        </w:rPr>
        <w:t xml:space="preserve">Website</w:t>
      </w:r>
      <w:r>
        <w:t xml:space="preserve"> (root) → Page → Block, and Publication.</w:t>
      </w:r>
    </w:p>
    <w:p>
      <w:pPr>
        <w:pStyle w:val="ListParagraph"/>
        <w:numPr>
          <w:ilvl w:val="0"/>
          <w:numId w:val="2"/>
        </w:numPr>
        <w:spacing w:after="55"/>
      </w:pPr>
      <w:r>
        <w:rPr>
          <w:b/>
          <w:bCs/>
        </w:rPr>
        <w:t xml:space="preserve">Product</w:t>
      </w:r>
      <w:r>
        <w:t xml:space="preserve"> (root) → ProductVariant, ProductImage.</w:t>
      </w:r>
    </w:p>
    <w:p>
      <w:pPr>
        <w:pStyle w:val="ListParagraph"/>
        <w:numPr>
          <w:ilvl w:val="0"/>
          <w:numId w:val="2"/>
        </w:numPr>
        <w:spacing w:after="55"/>
      </w:pPr>
      <w:r>
        <w:rPr>
          <w:b/>
          <w:bCs/>
        </w:rPr>
        <w:t xml:space="preserve">Cart</w:t>
      </w:r>
      <w:r>
        <w:t xml:space="preserve"> (root) → CartItem.</w:t>
      </w:r>
    </w:p>
    <w:p>
      <w:pPr>
        <w:pStyle w:val="ListParagraph"/>
        <w:numPr>
          <w:ilvl w:val="0"/>
          <w:numId w:val="2"/>
        </w:numPr>
        <w:spacing w:after="55"/>
      </w:pPr>
      <w:r>
        <w:rPr>
          <w:b/>
          <w:bCs/>
        </w:rPr>
        <w:t xml:space="preserve">Order</w:t>
      </w:r>
      <w:r>
        <w:t xml:space="preserve"> (root) → OrderItem.</w:t>
      </w:r>
    </w:p>
    <w:p>
      <w:pPr>
        <w:pStyle w:val="Heading2"/>
      </w:pPr>
      <w:r>
        <w:t xml:space="preserve">5.6 Key Invariants and Business Rules</w:t>
      </w:r>
    </w:p>
    <w:p>
      <w:pPr>
        <w:pStyle w:val="ListParagraph"/>
        <w:numPr>
          <w:ilvl w:val="0"/>
          <w:numId w:val="3"/>
        </w:numPr>
        <w:spacing w:after="65"/>
      </w:pPr>
      <w:r>
        <w:t xml:space="preserve">Every tenant-owned entity has a non-null </w:t>
      </w:r>
      <w:r>
        <w:rPr>
          <w:rFonts w:ascii="Consolas" w:cs="Consolas" w:eastAsia="Consolas" w:hAnsi="Consolas"/>
          <w:sz w:val="18"/>
          <w:szCs w:val="18"/>
        </w:rPr>
        <w:t xml:space="preserve">organization_id</w:t>
      </w:r>
      <w:r>
        <w:t xml:space="preserve"> resolvable to exactly one Organization.</w:t>
      </w:r>
    </w:p>
    <w:p>
      <w:pPr>
        <w:pStyle w:val="ListParagraph"/>
        <w:numPr>
          <w:ilvl w:val="0"/>
          <w:numId w:val="3"/>
        </w:numPr>
        <w:spacing w:after="65"/>
      </w:pPr>
      <w:r>
        <w:t xml:space="preserve">An Organization always has at least one Owner.</w:t>
      </w:r>
    </w:p>
    <w:p>
      <w:pPr>
        <w:pStyle w:val="ListParagraph"/>
        <w:numPr>
          <w:ilvl w:val="0"/>
          <w:numId w:val="3"/>
        </w:numPr>
        <w:spacing w:after="65"/>
      </w:pPr>
      <w:r>
        <w:t xml:space="preserve">Membership is unique per (user, organization); role is one of the defined set.</w:t>
      </w:r>
    </w:p>
    <w:p>
      <w:pPr>
        <w:pStyle w:val="ListParagraph"/>
        <w:numPr>
          <w:ilvl w:val="0"/>
          <w:numId w:val="3"/>
        </w:numPr>
        <w:spacing w:after="65"/>
      </w:pPr>
      <w:r>
        <w:t xml:space="preserve">Free plan: at most one Organization per owner and one Website per Organization, enforced at creation.</w:t>
      </w:r>
    </w:p>
    <w:p>
      <w:pPr>
        <w:pStyle w:val="ListParagraph"/>
        <w:numPr>
          <w:ilvl w:val="0"/>
          <w:numId w:val="3"/>
        </w:numPr>
        <w:spacing w:after="65"/>
      </w:pPr>
      <w:r>
        <w:t xml:space="preserve">Website slug / subdomain is globally unique; Page slug is unique within its Website.</w:t>
      </w:r>
    </w:p>
    <w:p>
      <w:pPr>
        <w:pStyle w:val="ListParagraph"/>
        <w:numPr>
          <w:ilvl w:val="0"/>
          <w:numId w:val="3"/>
        </w:numPr>
        <w:spacing w:after="65"/>
      </w:pPr>
      <w:r>
        <w:t xml:space="preserve">Product and variant prices are non-negative; a variant price overrides the product base price when present.</w:t>
      </w:r>
    </w:p>
    <w:p>
      <w:pPr>
        <w:pStyle w:val="ListParagraph"/>
        <w:numPr>
          <w:ilvl w:val="0"/>
          <w:numId w:val="3"/>
        </w:numPr>
        <w:spacing w:after="65"/>
      </w:pPr>
      <w:r>
        <w:t xml:space="preserve">An Order is an immutable snapshot of its line items, prices and buyer details at checkout time.</w:t>
      </w:r>
    </w:p>
    <w:p>
      <w:pPr>
        <w:pStyle w:val="ListParagraph"/>
        <w:numPr>
          <w:ilvl w:val="0"/>
          <w:numId w:val="3"/>
        </w:numPr>
        <w:spacing w:after="65"/>
      </w:pPr>
      <w:r>
        <w:t xml:space="preserve">Exactly one active Subscription exists per Organization at any time.</w:t>
      </w:r>
    </w:p>
    <w:p>
      <w:pPr>
        <w:pStyle w:val="ListParagraph"/>
        <w:numPr>
          <w:ilvl w:val="0"/>
          <w:numId w:val="3"/>
        </w:numPr>
        <w:spacing w:after="65"/>
      </w:pPr>
      <w:r>
        <w:t xml:space="preserve">Soft-deleted records are excluded from normal queries and purged after the retention window (NFR-P04).</w:t>
      </w:r>
    </w:p>
    <w:p>
      <w:pPr>
        <w:pStyle w:val="Heading2"/>
      </w:pPr>
      <w:r>
        <w:t xml:space="preserve">5.7 Tenant-Ownership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Carries organization_id directly</w:t>
            </w:r>
          </w:p>
        </w:tc>
        <w:tc>
          <w:tcPr>
            <w:tcW w:type="dxa" w:w="4680"/>
            <w:tcBorders>
              <w:top w:val="single" w:color="C9CDD6" w:sz="1"/>
              <w:left w:val="single" w:color="C9CDD6" w:sz="1"/>
              <w:bottom w:val="single" w:color="C9CDD6" w:sz="1"/>
              <w:right w:val="single" w:color="C9CDD6" w:sz="1"/>
            </w:tcBorders>
            <w:shd w:fill="2E2740" w:val="clear"/>
            <w:tcMar>
              <w:top w:type="dxa" w:w="55"/>
              <w:left w:type="dxa" w:w="95"/>
              <w:bottom w:type="dxa" w:w="55"/>
              <w:right w:type="dxa" w:w="95"/>
            </w:tcMar>
            <w:vAlign w:val="center"/>
          </w:tcPr>
          <w:p>
            <w:pPr>
              <w:jc w:val="left"/>
            </w:pPr>
            <w:r>
              <w:rPr>
                <w:b/>
                <w:bCs/>
                <w:color w:val="FFFFFF"/>
                <w:sz w:val="16"/>
                <w:szCs w:val="16"/>
              </w:rPr>
              <w:t xml:space="preserve">Tenant via aggregate parent</w:t>
            </w:r>
          </w:p>
        </w:tc>
      </w:tr>
      <w:tr>
        <w:tc>
          <w:tcPr>
            <w:tcW w:type="dxa" w:w="468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Organization, Membership, Invitation, Subscription, Website, Category, Product, Order, MediaAsset, ContactRequest, AuditLog</w:t>
            </w:r>
          </w:p>
        </w:tc>
        <w:tc>
          <w:tcPr>
            <w:tcW w:type="dxa" w:w="4680"/>
            <w:tcBorders>
              <w:top w:val="single" w:color="C9CDD6" w:sz="1"/>
              <w:left w:val="single" w:color="C9CDD6" w:sz="1"/>
              <w:bottom w:val="single" w:color="C9CDD6" w:sz="1"/>
              <w:right w:val="single" w:color="C9CDD6" w:sz="1"/>
            </w:tcBorders>
            <w:tcMar>
              <w:top w:type="dxa" w:w="55"/>
              <w:left w:type="dxa" w:w="95"/>
              <w:bottom w:type="dxa" w:w="55"/>
              <w:right w:type="dxa" w:w="95"/>
            </w:tcMar>
            <w:vAlign w:val="center"/>
          </w:tcPr>
          <w:p>
            <w:pPr>
              <w:jc w:val="left"/>
            </w:pPr>
            <w:r>
              <w:rPr>
                <w:b/>
                <w:bCs/>
                <w:color w:val="1F2430"/>
                <w:sz w:val="16"/>
                <w:szCs w:val="16"/>
              </w:rPr>
              <w:t xml:space="preserve">Page, Block, Publication (via Website); ProductVariant, ProductImage (via Product); CartItem (via Cart); OrderItem (via Order); Cart (via Website)</w:t>
            </w:r>
          </w:p>
        </w:tc>
      </w:tr>
    </w:tbl>
    <w:p>
      <w:pPr>
        <w:pStyle w:val="Heading1"/>
      </w:pPr>
      <w:r>
        <w:t xml:space="preserve">6. Traceability</w:t>
      </w:r>
    </w:p>
    <w:p>
      <w:pPr>
        <w:pStyle w:val="ListParagraph"/>
        <w:numPr>
          <w:ilvl w:val="0"/>
          <w:numId w:val="2"/>
        </w:numPr>
        <w:spacing w:after="55"/>
      </w:pPr>
      <w:r>
        <w:t xml:space="preserve">Tenant isolation ↔ FRD §5; NFR-S01, NFR-PF05.</w:t>
      </w:r>
    </w:p>
    <w:p>
      <w:pPr>
        <w:pStyle w:val="ListParagraph"/>
        <w:numPr>
          <w:ilvl w:val="0"/>
          <w:numId w:val="2"/>
        </w:numPr>
        <w:spacing w:after="55"/>
      </w:pPr>
      <w:r>
        <w:t xml:space="preserve">RBAC matrix ↔ FRD §6 and FR-301–306; NFR-S04.</w:t>
      </w:r>
    </w:p>
    <w:p>
      <w:pPr>
        <w:pStyle w:val="ListParagraph"/>
        <w:numPr>
          <w:ilvl w:val="0"/>
          <w:numId w:val="2"/>
        </w:numPr>
        <w:spacing w:after="55"/>
      </w:pPr>
      <w:r>
        <w:t xml:space="preserve">Platform-admin bypass auditing ↔ NFR-S10.</w:t>
      </w:r>
    </w:p>
    <w:p>
      <w:pPr>
        <w:pStyle w:val="ListParagraph"/>
        <w:numPr>
          <w:ilvl w:val="0"/>
          <w:numId w:val="2"/>
        </w:numPr>
        <w:spacing w:after="55"/>
      </w:pPr>
      <w:r>
        <w:t xml:space="preserve">Domain model ↔ FRD functional domains FR-100 through FR-900; NFR-P01/P04 (deletion, retention).</w:t>
      </w:r>
    </w:p>
    <w:p>
      <w:pPr>
        <w:pStyle w:val="Heading1"/>
      </w:pPr>
      <w:r>
        <w:t xml:space="preserve">7. Assumptions and Open Items</w:t>
      </w:r>
    </w:p>
    <w:p>
      <w:pPr>
        <w:pStyle w:val="ListParagraph"/>
        <w:numPr>
          <w:ilvl w:val="0"/>
          <w:numId w:val="3"/>
        </w:numPr>
        <w:spacing w:after="65"/>
      </w:pPr>
      <w:r>
        <w:t xml:space="preserve">No online payment in MVP; Order carries a channel of WhatsApp or OnPlatform without payment capture (confirm per FRD review).</w:t>
      </w:r>
    </w:p>
    <w:p>
      <w:pPr>
        <w:pStyle w:val="ListParagraph"/>
        <w:numPr>
          <w:ilvl w:val="0"/>
          <w:numId w:val="3"/>
        </w:numPr>
        <w:spacing w:after="65"/>
      </w:pPr>
      <w:r>
        <w:t xml:space="preserve">Product belongs to a single Category in MVP; a many-to-many tagging model is deferred.</w:t>
      </w:r>
    </w:p>
    <w:p>
      <w:pPr>
        <w:pStyle w:val="ListParagraph"/>
        <w:numPr>
          <w:ilvl w:val="0"/>
          <w:numId w:val="3"/>
        </w:numPr>
        <w:spacing w:after="65"/>
      </w:pPr>
      <w:r>
        <w:t xml:space="preserve">Row-Level Security is adopted as defence in depth; if not enabled at launch, the repository-layer guard and the isolation test suite (§3.10) remain mandatory.</w:t>
      </w:r>
    </w:p>
    <w:p>
      <w:pPr>
        <w:pStyle w:val="ListParagraph"/>
        <w:numPr>
          <w:ilvl w:val="0"/>
          <w:numId w:val="3"/>
        </w:numPr>
        <w:spacing w:after="65"/>
      </w:pPr>
      <w:r>
        <w:t xml:space="preserve">Custom roles (FR-306) remain deferred; the fixed role set governs the MVP matrix.</w:t>
      </w:r>
    </w:p>
    <w:p>
      <w:pPr>
        <w:pBdr>
          <w:top w:val="single" w:color="C9CDD6" w:sz="4" w:space="6"/>
        </w:pBdr>
        <w:spacing w:before="220"/>
      </w:pPr>
      <w:r>
        <w:rPr>
          <w:i/>
          <w:iCs/>
          <w:color w:val="5A6172"/>
          <w:sz w:val="17"/>
          <w:szCs w:val="17"/>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172"/>
        <w:sz w:val="15"/>
        <w:szCs w:val="15"/>
      </w:rPr>
      <w:t xml:space="preserve">Version 1.0</w:t>
    </w:r>
    <w:r>
      <w:rPr>
        <w:color w:val="5A6172"/>
        <w:sz w:val="15"/>
        <w:szCs w:val="15"/>
      </w:rPr>
      <w:t xml:space="preserve">	Page </w:t>
    </w:r>
    <w:r>
      <w:rPr>
        <w:color w:val="5A6172"/>
        <w:sz w:val="15"/>
        <w:szCs w:val="15"/>
      </w:rPr>
      <w:fldChar w:fldCharType="begin"/>
      <w:instrText xml:space="preserve">PAGE</w:instrText>
      <w:fldChar w:fldCharType="separate"/>
      <w:fldChar w:fldCharType="end"/>
    </w:r>
    <w:r>
      <w:rPr>
        <w:color w:val="5A6172"/>
        <w:sz w:val="15"/>
        <w:szCs w:val="15"/>
      </w:rPr>
      <w:t xml:space="preserve"> of </w:t>
    </w:r>
    <w:r>
      <w:rPr>
        <w:color w:val="5A61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6" w:sz="4" w:space="4"/>
      </w:pBdr>
      <w:tabs>
        <w:tab w:val="right" w:pos="9360"/>
      </w:tabs>
    </w:pPr>
    <w:r>
      <w:rPr>
        <w:color w:val="5A6172"/>
        <w:sz w:val="15"/>
        <w:szCs w:val="15"/>
      </w:rPr>
      <w:t xml:space="preserve">JovStack — Platform Architecture Specification v1.0</w:t>
    </w:r>
    <w:r>
      <w:rPr>
        <w:color w:val="5A6172"/>
        <w:sz w:val="15"/>
        <w:szCs w:val="15"/>
      </w:rPr>
      <w:t xml:space="preserve">	Draft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2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C3FD1" w:sz="6" w:space="4"/>
      </w:pBdr>
      <w:spacing w:after="130" w:before="280"/>
      <w:outlineLvl w:val="0"/>
    </w:pPr>
    <w:rPr>
      <w:rFonts w:ascii="Arial" w:cs="Arial" w:eastAsia="Arial" w:hAnsi="Arial"/>
      <w:b/>
      <w:bCs/>
      <w:color w:val="6C3FD1"/>
      <w:sz w:val="27"/>
      <w:szCs w:val="27"/>
    </w:rPr>
  </w:style>
  <w:style w:type="paragraph" w:styleId="Heading2">
    <w:name w:val="Heading 2"/>
    <w:basedOn w:val="Normal"/>
    <w:next w:val="Normal"/>
    <w:qFormat/>
    <w:pPr>
      <w:spacing w:after="80" w:before="200"/>
      <w:outlineLvl w:val="1"/>
    </w:pPr>
    <w:rPr>
      <w:rFonts w:ascii="Arial" w:cs="Arial" w:eastAsia="Arial" w:hAnsi="Arial"/>
      <w:b/>
      <w:bCs/>
      <w:color w:val="1F2430"/>
      <w:sz w:val="22"/>
      <w:szCs w:val="22"/>
    </w:rPr>
  </w:style>
  <w:style w:type="paragraph" w:styleId="Heading3">
    <w:name w:val="Heading 3"/>
    <w:basedOn w:val="Normal"/>
    <w:next w:val="Normal"/>
    <w:qFormat/>
    <w:pPr>
      <w:spacing w:after="60" w:before="150"/>
      <w:outlineLvl w:val="2"/>
    </w:pPr>
    <w:rPr>
      <w:rFonts w:ascii="Arial" w:cs="Arial" w:eastAsia="Arial" w:hAnsi="Arial"/>
      <w:b/>
      <w:bCs/>
      <w:color w:val="5A617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2026-05-30T07:46:30.423Z</dcterms:created>
  <dcterms:modified xsi:type="dcterms:W3CDTF">2026-05-30T07:46:30.436Z</dcterms:modified>
</cp:coreProperties>
</file>

<file path=docProps/custom.xml><?xml version="1.0" encoding="utf-8"?>
<Properties xmlns="http://schemas.openxmlformats.org/officeDocument/2006/custom-properties" xmlns:vt="http://schemas.openxmlformats.org/officeDocument/2006/docPropsVTypes"/>
</file>