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50"/>
      </w:pPr>
      <w:r>
        <w:rPr>
          <w:b/>
          <w:bCs/>
          <w:color w:val="6C3FD1"/>
          <w:sz w:val="54"/>
          <w:szCs w:val="54"/>
        </w:rPr>
        <w:t xml:space="preserve">JOVSTACK</w:t>
      </w:r>
    </w:p>
    <w:p>
      <w:pPr>
        <w:spacing w:after="60"/>
      </w:pPr>
      <w:r>
        <w:rPr>
          <w:color w:val="5A6172"/>
          <w:sz w:val="23"/>
          <w:szCs w:val="23"/>
        </w:rPr>
        <w:t xml:space="preserve">Multi-Tenant SaaS Platform</w:t>
      </w:r>
    </w:p>
    <w:p>
      <w:pPr>
        <w:pBdr>
          <w:top w:val="single" w:color="6C3FD1" w:sz="12" w:space="6"/>
        </w:pBdr>
        <w:spacing w:after="60" w:before="440"/>
      </w:pPr>
      <w:r>
        <w:rPr>
          <w:b/>
          <w:bCs/>
          <w:color w:val="1F2430"/>
          <w:sz w:val="34"/>
          <w:szCs w:val="34"/>
        </w:rPr>
        <w:t xml:space="preserve">Entity-Relationship Diagram (ERD)</w:t>
      </w:r>
    </w:p>
    <w:p>
      <w:pPr>
        <w:spacing w:after="40"/>
      </w:pPr>
      <w:r>
        <w:rPr>
          <w:b/>
          <w:bCs/>
          <w:color w:val="6C3FD1"/>
          <w:sz w:val="22"/>
          <w:szCs w:val="22"/>
        </w:rPr>
        <w:t xml:space="preserve">Database Design Specification — Version 1.0 (Draft for Review)</w:t>
      </w:r>
    </w:p>
    <w:p>
      <w:pPr>
        <w:spacing w:after="40"/>
      </w:pPr>
      <w:r>
        <w:rPr>
          <w:color w:val="5A6172"/>
          <w:sz w:val="20"/>
          <w:szCs w:val="20"/>
        </w:rPr>
        <w:t xml:space="preserve">Scope: Platform Core + Website Builder + Basic Commerce (MVP)</w:t>
      </w:r>
    </w:p>
    <w:p>
      <w:pPr>
        <w:spacing w:before="700"/>
      </w:pPr>
      <w:r>
        <w:rPr>
          <w:i/>
          <w:iCs/>
          <w:color w:val="5A6172"/>
          <w:sz w:val="20"/>
          <w:szCs w:val="20"/>
        </w:rPr>
        <w:t xml:space="preserve">Derived from the Domain Model in the Platform Architecture Specification v1.0 and the constraints in NFR v1.0.</w:t>
      </w:r>
    </w:p>
    <w:p>
      <w:pPr>
        <w:spacing w:before="1250"/>
      </w:pPr>
      <w:r>
        <w:rPr>
          <w:color w:val="5A6172"/>
          <w:sz w:val="19"/>
          <w:szCs w:val="19"/>
        </w:rPr>
        <w:t xml:space="preserve">Prepared by the Business Analysis &amp; Project Management function  ·  30 May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JovStack Entity-Relationship Diagram (Database Design)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1.0 (Draft for Review)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30 May 2026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Source Documents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Platform Architecture Specification v1.0 (Domain Model); NFR v1.0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Target Database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PostgreSQL (accessed via Prisma)</w:t>
            </w:r>
          </w:p>
        </w:tc>
      </w:tr>
      <w:tr>
        <w:tc>
          <w:tcPr>
            <w:tcW w:type="dxa" w:w="2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EEF0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Engineering, Architecture, QA</w:t>
            </w:r>
          </w:p>
        </w:tc>
      </w:tr>
    </w:tbl>
    <w:p>
      <w:pPr>
        <w:pStyle w:val="Heading1"/>
      </w:pPr>
      <w:r>
        <w:t xml:space="preserve">2. Introduction and Scope</w:t>
      </w:r>
    </w:p>
    <w:p>
      <w:pPr>
        <w:spacing w:after="140"/>
        <w:jc w:val="both"/>
      </w:pPr>
      <w:r>
        <w:t xml:space="preserve">This document translates the JovStack domain model into a database design for the MVP. It presents the entity-relationship diagram, a complete data dictionary, the relationship and referential-integrity specification, the indexing strategy, enumerations and the tenant-isolation constraints. It realises the entities and invariants defined in the Platform Architecture Specification §5 and the security and performance constraints of NFR v1.0 (notably NFR-S01 tenant isolation and NFR-PF05 query efficiency).</w:t>
      </w:r>
    </w:p>
    <w:p>
      <w:pPr>
        <w:spacing w:after="140"/>
        <w:jc w:val="both"/>
      </w:pPr>
      <w:r>
        <w:t xml:space="preserve">The design targets PostgreSQL with a shared-schema, shared-database multi-tenant model: every tenant-owned table carries a non-null </w:t>
      </w:r>
      <w:r>
        <w:rPr>
          <w:rFonts w:ascii="Consolas" w:cs="Consolas" w:eastAsia="Consolas" w:hAnsi="Consolas"/>
          <w:sz w:val="19"/>
          <w:szCs w:val="19"/>
        </w:rPr>
        <w:t xml:space="preserve">organization_id</w:t>
      </w:r>
      <w:r>
        <w:t xml:space="preserve"> and is governed by the isolation controls defined in the Architecture Specification §3.</w:t>
      </w:r>
    </w:p>
    <w:p>
      <w:pPr>
        <w:pStyle w:val="Heading1"/>
      </w:pPr>
      <w:r>
        <w:t xml:space="preserve">3. Notation and Conventions</w:t>
      </w:r>
    </w:p>
    <w:p>
      <w:pPr>
        <w:spacing w:after="140"/>
        <w:jc w:val="both"/>
      </w:pPr>
      <w:r>
        <w:t xml:space="preserve">The diagram uses crow's-foot notation. Keys and constraints follow the conventions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Notation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–| (bar) on parent end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Exactly one (the “1” side)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crow's foot on child end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Many (the “N” side)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solid line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Mandatory relationship (FK NOT NULL)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dashed line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Optional relationship (nullable FK)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id (bold, underlined)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Primary key (PK)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field (italic) + FK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Foreign key; FK? denotes a nullable foreign key</w:t>
            </w:r>
          </w:p>
        </w:tc>
      </w:tr>
      <w:tr>
        <w:tc>
          <w:tcPr>
            <w:tcW w:type="dxa" w:w="24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69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 constraint on the column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primary keys are </w:t>
      </w:r>
      <w:r>
        <w:rPr>
          <w:rFonts w:ascii="Consolas" w:cs="Consolas" w:eastAsia="Consolas" w:hAnsi="Consolas"/>
          <w:sz w:val="18"/>
          <w:szCs w:val="18"/>
        </w:rPr>
        <w:t xml:space="preserve">UUID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Monetary values use </w:t>
      </w:r>
      <w:r>
        <w:rPr>
          <w:rFonts w:ascii="Consolas" w:cs="Consolas" w:eastAsia="Consolas" w:hAnsi="Consolas"/>
          <w:sz w:val="18"/>
          <w:szCs w:val="18"/>
        </w:rPr>
        <w:t xml:space="preserve">numeric(12,2)</w:t>
      </w:r>
      <w:r>
        <w:t xml:space="preserve"> with a </w:t>
      </w:r>
      <w:r>
        <w:rPr>
          <w:rFonts w:ascii="Consolas" w:cs="Consolas" w:eastAsia="Consolas" w:hAnsi="Consolas"/>
          <w:sz w:val="18"/>
          <w:szCs w:val="18"/>
        </w:rPr>
        <w:t xml:space="preserve">CHECK &gt;= 0</w:t>
      </w:r>
      <w:r>
        <w:t xml:space="preserve"> constraint.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Timestamps are </w:t>
      </w:r>
      <w:r>
        <w:rPr>
          <w:rFonts w:ascii="Consolas" w:cs="Consolas" w:eastAsia="Consolas" w:hAnsi="Consolas"/>
          <w:sz w:val="18"/>
          <w:szCs w:val="18"/>
        </w:rPr>
        <w:t xml:space="preserve">timestamptz</w:t>
      </w:r>
      <w:r>
        <w:t xml:space="preserve">; soft-deletes use a </w:t>
      </w:r>
      <w:r>
        <w:rPr>
          <w:rFonts w:ascii="Consolas" w:cs="Consolas" w:eastAsia="Consolas" w:hAnsi="Consolas"/>
          <w:sz w:val="18"/>
          <w:szCs w:val="18"/>
        </w:rPr>
        <w:t xml:space="preserve">deletedAt</w:t>
      </w:r>
      <w:r>
        <w:t xml:space="preserve"> / status marker and are excluded from default queries.</w:t>
      </w:r>
    </w:p>
    <w:p>
      <w:pPr>
        <w:pStyle w:val="Heading1"/>
        <w:pageBreakBefore/>
      </w:pPr>
      <w:r>
        <w:t xml:space="preserve">4. Entity-Relationship Diagram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Colour denotes the owning module: Core (dark), Billing (blue), Builder (purple), Commerce (green), Media (amber), Global (grey). Diagram boxes show keys and foreign keys; full attributes appear in the Data Dictionary (§5).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6372225"/>
            <wp:effectExtent t="0" r="0" b="0" l="0"/>
            <wp:docPr id="1" name="JovStackERD" descr="Entity-relationship diagram of the JovStack MVP" title="JovStack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Data Dictionary</w:t>
      </w:r>
    </w:p>
    <w:p>
      <w:pPr>
        <w:spacing w:after="140"/>
        <w:jc w:val="both"/>
      </w:pPr>
      <w:r>
        <w:t xml:space="preserve">Each entity is listed with its fields, types, key designation and constraints. Key codes: PK primary key, FK foreign key, FK? nullable foreign key, UQ unique.</w:t>
      </w:r>
    </w:p>
    <w:p>
      <w:pPr>
        <w:pStyle w:val="Heading3"/>
      </w:pPr>
      <w:r>
        <w:t xml:space="preserve">User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— not 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Unique; login identity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Argon2id (NFR-S02)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User.status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emailVerifiedAt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until verified (FR-102)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Organization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root — the unit of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Tenant identifier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Basis of publishing subdomain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Organization.status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Soft-delete marker (NFR-P04)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Membership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UNIQUE(userId, organizationId).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User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Membership.role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Invitation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Invitee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Role to assign on accept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Single-use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Invitation.status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Plan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catalogue (dynamic pricing).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&gt;= 0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interval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Plan.interval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jsonb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Entitlements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Deactivation (FR-706)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Subscription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One active per organization.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planId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Plan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currentPeriodEnd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for Free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Template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starter layouts.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Website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templateId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Template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Website.status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Soft-delete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Page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Website. UNIQUE(websiteId, slug).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 within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Ordering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isHome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Protected from deletion (FR-505)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Block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pageId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Page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Block.type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Ordering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jsonb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Block payload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Publication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Website. One-to-one with Website.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 / 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 (1:1)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subdomain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&lt;slug&gt;.jovstack.app (FR-851)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Publication.state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publishedAt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until first publish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MediaAsset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storageKey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UQ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Org-namespaced key (Arch §3.7)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mimeType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Validated (NFR-S08)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sizeBytes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Max size enforced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Category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UNIQUE(organizationId, name).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Product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Category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text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&gt;= 0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ProductVariant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 = inherit base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Nullable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ProductImage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mediaAssetId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MediaAsset (RESTRICT)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Cart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Website.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Anonymous visitor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CartItem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Cart.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cartId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Cart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variantId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ProductVariant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 0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Order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 Immutable snapshot.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websiteId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Website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buyerName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buyerContact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Order.channel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Snapshot total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OrderItem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via Order. Immutable snapshot.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orderId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Order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Product (SET NULL)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nameSnapshot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Copied at checkout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numeric(12,2)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CHECK &gt; 0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ContactRequest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Tenant-scoped.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(tenant key)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text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enum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ContactRequest.status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Faq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Global — platform-managed.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text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int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isPublished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3"/>
      </w:pPr>
      <w:r>
        <w:t xml:space="preserve">AuditLog</w:t>
      </w:r>
    </w:p>
    <w:p>
      <w:pPr>
        <w:spacing w:after="70"/>
      </w:pPr>
      <w:r>
        <w:rPr>
          <w:i/>
          <w:iCs/>
          <w:color w:val="5A6172"/>
          <w:sz w:val="17"/>
          <w:szCs w:val="17"/>
        </w:rPr>
        <w:t xml:space="preserve">Tenant context (nullable for platform events).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820"/>
        <w:gridCol w:w="4180"/>
      </w:tblGrid>
      <w:tr>
        <w:trPr>
          <w:tblHeader/>
        </w:trP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Constraints / Notes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PK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Organization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actorUserId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FK?</w:t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→ User (nullable)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targetType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targetId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UUID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Nullable</w:t>
            </w:r>
          </w:p>
        </w:tc>
      </w:tr>
      <w:tr>
        <w:tc>
          <w:tcPr>
            <w:tcW w:type="dxa" w:w="2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5"/>
                <w:szCs w:val="15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  <w:tc>
          <w:tcPr>
            <w:tcW w:type="dxa" w:w="4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</w:pPr>
      <w:r>
        <w:t xml:space="preserve">6. Relationship Specification</w:t>
      </w:r>
    </w:p>
    <w:p>
      <w:pPr>
        <w:spacing w:after="140"/>
        <w:jc w:val="both"/>
      </w:pPr>
      <w:r>
        <w:t xml:space="preserve">Foreign-key relationships, cardinality and referential actions. Physical referential actions apply after the application-level soft-delete retention window; tenant-scoped cascades preserve isolation on recovery (Architecture Specification §3.9).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160"/>
        <w:gridCol w:w="900"/>
        <w:gridCol w:w="2900"/>
      </w:tblGrid>
      <w:tr>
        <w:trPr>
          <w:tblHeader/>
        </w:trP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Parent (1)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Child (N)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Foreign Key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Card.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On Delete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Membership.userId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Membership.organizationId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Invitation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Invitation.organizationId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Subscription.organizationId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Subscription.planId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Template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Website.templateId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Page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Page.websiteId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Page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Block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Block.pageId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Publication.websiteId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1:1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MediaAsset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MediaAsset.organizationId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Category.organizationId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Product.categoryId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ProductVariant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ProductVariant.productId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ProductImage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ProductImage.productId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MediaAsset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ProductImage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ProductImage.mediaAssetId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Cart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CartItem.cartId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CartItem.productId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ProductVariant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CartItem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CartItem.variantId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RESTRICT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Order.websiteId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OrderItem.orderId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OrderItem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OrderItem.productId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ContactRequest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ContactRequest.organizationId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CASCADE</w:t>
            </w:r>
          </w:p>
        </w:tc>
      </w:tr>
      <w:tr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AuditLog</w:t>
            </w:r>
          </w:p>
        </w:tc>
        <w:tc>
          <w:tcPr>
            <w:tcW w:type="dxa" w:w="2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AuditLog.organizationId</w:t>
            </w:r>
          </w:p>
        </w:tc>
        <w:tc>
          <w:tcPr>
            <w:tcW w:type="dxa" w:w="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N:1</w:t>
            </w:r>
          </w:p>
        </w:tc>
        <w:tc>
          <w:tcPr>
            <w:tcW w:type="dxa" w:w="29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SET NULL</w:t>
            </w:r>
          </w:p>
        </w:tc>
      </w:tr>
    </w:tbl>
    <w:p>
      <w:pPr>
        <w:pStyle w:val="Heading1"/>
      </w:pPr>
      <w:r>
        <w:t xml:space="preserve">7. Indexing Strategy</w:t>
      </w:r>
    </w:p>
    <w:p>
      <w:pPr>
        <w:spacing w:after="140"/>
        <w:jc w:val="both"/>
      </w:pPr>
      <w:r>
        <w:t xml:space="preserve">Indexes support tenant scoping, uniqueness invariants and hot query paths, realising NFR-PF05. Every tenant table is indexed on </w:t>
      </w:r>
      <w:r>
        <w:rPr>
          <w:rFonts w:ascii="Consolas" w:cs="Consolas" w:eastAsia="Consolas" w:hAnsi="Consolas"/>
          <w:sz w:val="19"/>
          <w:szCs w:val="19"/>
        </w:rPr>
        <w:t xml:space="preserve">organization_id</w:t>
      </w:r>
      <w:r>
        <w:t xml:space="preserve">; composite indexes cover storefront and order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700"/>
        <w:gridCol w:w="11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Index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Columns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ux_user_email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User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email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Login identity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ux_org_slug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slug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Subdomain basis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ux_membership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userId, organizationId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One role per user/org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ux_page_slug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Page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websiteId, slug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Page uniqueness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ux_category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name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Category uniqueness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ux_pub_subdomain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subdomain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Tenant routing (FR-851)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ux_pub_website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websiteId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1:1 enforcement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ux_sub_active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 WHERE status=Active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One active per org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ix_tenant_*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All tenant tables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Tenant scoping (NFR-PF05)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ix_product_list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Product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status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Storefront listing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ix_order_status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Order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status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Order management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ix_fk_*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Child tables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FK columns (pageId, productId, orderId, cartId, websiteId)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Join performance</w:t>
            </w:r>
          </w:p>
        </w:tc>
      </w:tr>
      <w:tr>
        <w:tc>
          <w:tcPr>
            <w:tcW w:type="dxa" w:w="22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ix_audit</w:t>
            </w:r>
          </w:p>
        </w:tc>
        <w:tc>
          <w:tcPr>
            <w:tcW w:type="dxa" w:w="1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AuditLog</w:t>
            </w:r>
          </w:p>
        </w:tc>
        <w:tc>
          <w:tcPr>
            <w:tcW w:type="dxa" w:w="2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4"/>
                <w:szCs w:val="14"/>
              </w:rPr>
              <w:t xml:space="preserve">organizationId, createdAt</w:t>
            </w:r>
          </w:p>
        </w:tc>
        <w:tc>
          <w:tcPr>
            <w:tcW w:type="dxa" w:w="11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BTREE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4"/>
                <w:szCs w:val="14"/>
              </w:rPr>
              <w:t xml:space="preserve">Audit queries</w:t>
            </w:r>
          </w:p>
        </w:tc>
      </w:tr>
    </w:tbl>
    <w:p>
      <w:pPr>
        <w:pStyle w:val="Heading1"/>
      </w:pPr>
      <w:r>
        <w:t xml:space="preserve">8. Enumerations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Enumeration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User.status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Suspended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Organization.status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Suspended, SoftDeleted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Membership.role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Owner, Admin, Editor, Viewer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Membership.status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Invited, Removed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Invitation.status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Pending, Accepted, Revoked, Expired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Plan.interval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Free, Monthly, Yearly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Subscription.status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Cancelled, PastDue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Website.status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Draft, Published, Unpublished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Block.type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Hero, Feature, Gallery, Product, Faq, Contact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Publication.state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Live, Offline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Product.status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Active, Hidden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Cart.status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Open, Converted, Abandoned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Order.channel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OnPlatform, WhatsApp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Order.status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New, Processing, Completed, Cancelled</w:t>
            </w:r>
          </w:p>
        </w:tc>
      </w:tr>
      <w:tr>
        <w:tc>
          <w:tcPr>
            <w:tcW w:type="dxa" w:w="30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430"/>
                <w:sz w:val="15"/>
                <w:szCs w:val="15"/>
              </w:rPr>
              <w:t xml:space="preserve">ContactRequest.status</w:t>
            </w:r>
          </w:p>
        </w:tc>
        <w:tc>
          <w:tcPr>
            <w:tcW w:type="dxa" w:w="63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5"/>
                <w:szCs w:val="15"/>
              </w:rPr>
              <w:t xml:space="preserve">New, Read, Archived</w:t>
            </w:r>
          </w:p>
        </w:tc>
      </w:tr>
    </w:tbl>
    <w:p>
      <w:pPr>
        <w:pStyle w:val="Heading1"/>
      </w:pPr>
      <w:r>
        <w:t xml:space="preserve">9. Integrity and Tenant Constraints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Tenant key. </w:t>
      </w:r>
      <w:r>
        <w:t xml:space="preserve">Every tenant-owned table has a non-null </w:t>
      </w:r>
      <w:r>
        <w:rPr>
          <w:rFonts w:ascii="Consolas" w:cs="Consolas" w:eastAsia="Consolas" w:hAnsi="Consolas"/>
          <w:sz w:val="18"/>
          <w:szCs w:val="18"/>
        </w:rPr>
        <w:t xml:space="preserve">organization_id</w:t>
      </w:r>
      <w:r>
        <w:t xml:space="preserve"> (AuditLog excepted, nullable for platform events).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Row-Level Security. </w:t>
      </w:r>
      <w:r>
        <w:t xml:space="preserve">RLS policies restrict rows to the active tenant as defence in depth behind the repository guard (Architecture §3.6; NFR-S01).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Uniqueness. </w:t>
      </w:r>
      <w:r>
        <w:t xml:space="preserve">Enforced on User.email, Organization.slug, Publication.subdomain, Membership(userId, organizationId), Page(websiteId, slug) and Category(organizationId, name).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One active subscription. </w:t>
      </w:r>
      <w:r>
        <w:t xml:space="preserve">A partial unique index enforces a single Active subscription per organization.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Owner invariant. </w:t>
      </w:r>
      <w:r>
        <w:t xml:space="preserve">Each organization retains at least one Owner (application-enforced).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Immutable orders. </w:t>
      </w:r>
      <w:r>
        <w:t xml:space="preserve">Order and OrderItem capture price and name snapshots; product deletion sets the order reference null without altering the snapshot.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b/>
          <w:bCs/>
        </w:rPr>
        <w:t xml:space="preserve">Soft-delete &amp; retention. </w:t>
      </w:r>
      <w:r>
        <w:t xml:space="preserve">Soft-deleted rows are excluded from default queries and purged after the retention window (NFR-P04).</w:t>
      </w:r>
    </w:p>
    <w:p>
      <w:pPr>
        <w:pStyle w:val="Heading1"/>
      </w:pPr>
      <w:r>
        <w:t xml:space="preserve">10. Traceability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organization_id columns and indexes </w:t>
      </w:r>
      <w:r>
        <w:t xml:space="preserve">↔ NFR-S01, NFR-PF05; Architecture §3, §5.7.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Row-Level Security </w:t>
      </w:r>
      <w:r>
        <w:t xml:space="preserve">↔ NFR-S01; Architecture §3.6.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Referential actions &amp; retention </w:t>
      </w:r>
      <w:r>
        <w:t xml:space="preserve">↔ NFR-P01/P04; FRD §4.7.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Publication.subdomain uniqueness </w:t>
      </w:r>
      <w:r>
        <w:t xml:space="preserve">↔ FR-851; Architecture §3.7.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Entities &amp; enumerations </w:t>
      </w:r>
      <w:r>
        <w:t xml:space="preserve">↔ FRD functional domains FR-100–FR-900; Architecture §5.</w:t>
      </w:r>
    </w:p>
    <w:p>
      <w:pPr>
        <w:pStyle w:val="Heading1"/>
      </w:pPr>
      <w:r>
        <w:t xml:space="preserve">11. Assumptions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No online payment in MVP; Order.channel records WhatsApp or OnPlatform with no stored card data.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A Product belongs to at most one Category in MVP; many-to-many tagging is deferred.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Row-Level Security is adopted as defence in depth; if deferred at launch, the repository guard and the isolation test suite remain mandatory.</w:t>
      </w:r>
    </w:p>
    <w:p>
      <w:pPr>
        <w:pStyle w:val="ListParagraph"/>
        <w:numPr>
          <w:ilvl w:val="0"/>
          <w:numId w:val="3"/>
        </w:numPr>
        <w:spacing w:after="65"/>
      </w:pPr>
      <w:r>
        <w:t xml:space="preserve">Dummy subscription for MVP; billing records are illustrative.</w:t>
      </w:r>
    </w:p>
    <w:p>
      <w:pPr>
        <w:pBdr>
          <w:top w:val="single" w:color="C9CDD6" w:sz="4" w:space="6"/>
        </w:pBdr>
        <w:spacing w:before="220"/>
      </w:pPr>
      <w:r>
        <w:rPr>
          <w:i/>
          <w:iCs/>
          <w:color w:val="5A6172"/>
          <w:sz w:val="17"/>
          <w:szCs w:val="17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172"/>
        <w:sz w:val="15"/>
        <w:szCs w:val="15"/>
      </w:rPr>
      <w:t xml:space="preserve">Version 1.0</w:t>
    </w:r>
    <w:r>
      <w:rPr>
        <w:color w:val="5A6172"/>
        <w:sz w:val="15"/>
        <w:szCs w:val="15"/>
      </w:rPr>
      <w:t xml:space="preserve">	Page </w:t>
    </w:r>
    <w:r>
      <w:rPr>
        <w:color w:val="5A61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172"/>
        <w:sz w:val="15"/>
        <w:szCs w:val="15"/>
      </w:rPr>
      <w:t xml:space="preserve"> of </w:t>
    </w:r>
    <w:r>
      <w:rPr>
        <w:color w:val="5A61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D6" w:sz="4" w:space="4"/>
      </w:pBdr>
      <w:tabs>
        <w:tab w:val="right" w:pos="9360"/>
      </w:tabs>
    </w:pPr>
    <w:r>
      <w:rPr>
        <w:color w:val="5A6172"/>
        <w:sz w:val="15"/>
        <w:szCs w:val="15"/>
      </w:rPr>
      <w:t xml:space="preserve">JovStack — Entity-Relationship Diagram v1.0</w:t>
    </w:r>
    <w:r>
      <w:rPr>
        <w:color w:val="5A6172"/>
        <w:sz w:val="15"/>
        <w:szCs w:val="15"/>
      </w:rPr>
      <w:t xml:space="preserve">	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3FD1" w:sz="6" w:space="4"/>
      </w:pBdr>
      <w:spacing w:after="130" w:before="280"/>
      <w:outlineLvl w:val="0"/>
    </w:pPr>
    <w:rPr>
      <w:rFonts w:ascii="Arial" w:cs="Arial" w:eastAsia="Arial" w:hAnsi="Arial"/>
      <w:b/>
      <w:bCs/>
      <w:color w:val="6C3FD1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243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0" w:before="150"/>
      <w:outlineLvl w:val="2"/>
    </w:pPr>
    <w:rPr>
      <w:rFonts w:ascii="Arial" w:cs="Arial" w:eastAsia="Arial" w:hAnsi="Arial"/>
      <w:b/>
      <w:bCs/>
      <w:color w:val="6C3FD1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08c60034890f597352e32e775e2c6c5bcf7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2026-05-30T08:00:42.990Z</dcterms:created>
  <dcterms:modified xsi:type="dcterms:W3CDTF">2026-05-30T08:00:43.003Z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