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</w:pPr>
      <w:r>
        <w:rPr>
          <w:b/>
          <w:bCs/>
          <w:color w:val="6C3FD1"/>
          <w:sz w:val="54"/>
          <w:szCs w:val="54"/>
        </w:rPr>
        <w:t xml:space="preserve">JOVSTACK</w:t>
      </w:r>
    </w:p>
    <w:p>
      <w:pPr>
        <w:spacing w:after="60"/>
      </w:pPr>
      <w:r>
        <w:rPr>
          <w:color w:val="5A6172"/>
          <w:sz w:val="23"/>
          <w:szCs w:val="23"/>
        </w:rPr>
        <w:t xml:space="preserve">Multi-Tenant SaaS Platform</w:t>
      </w:r>
    </w:p>
    <w:p>
      <w:pPr>
        <w:pBdr>
          <w:top w:val="single" w:color="6C3FD1" w:sz="12" w:space="6"/>
        </w:pBdr>
        <w:spacing w:after="60" w:before="460"/>
      </w:pPr>
      <w:r>
        <w:rPr>
          <w:b/>
          <w:bCs/>
          <w:color w:val="1F2430"/>
          <w:sz w:val="36"/>
          <w:szCs w:val="36"/>
        </w:rPr>
        <w:t xml:space="preserve">Non-Functional Requirements (NFR)</w:t>
      </w:r>
    </w:p>
    <w:p>
      <w:pPr>
        <w:spacing w:after="40"/>
      </w:pPr>
      <w:r>
        <w:rPr>
          <w:b/>
          <w:bCs/>
          <w:color w:val="6C3FD1"/>
          <w:sz w:val="24"/>
          <w:szCs w:val="24"/>
        </w:rPr>
        <w:t xml:space="preserve">Version 1.0 — Draft for Review</w:t>
      </w:r>
    </w:p>
    <w:p>
      <w:pPr>
        <w:spacing w:after="40"/>
      </w:pPr>
      <w:r>
        <w:rPr>
          <w:color w:val="5A6172"/>
          <w:sz w:val="20"/>
          <w:szCs w:val="20"/>
        </w:rPr>
        <w:t xml:space="preserve">Scope: Platform Core + Website Builder + Basic Commerce (MVP)</w:t>
      </w:r>
    </w:p>
    <w:p>
      <w:pPr>
        <w:spacing w:before="700"/>
      </w:pPr>
      <w:r>
        <w:rPr>
          <w:i/>
          <w:iCs/>
          <w:color w:val="5A6172"/>
          <w:sz w:val="20"/>
          <w:szCs w:val="20"/>
        </w:rPr>
        <w:t xml:space="preserve">Derived from FRD v3.1; addresses the gating quality attributes identified in review — tenant-isolation enforcement and security first.</w:t>
      </w:r>
    </w:p>
    <w:p>
      <w:pPr>
        <w:spacing w:before="1300"/>
      </w:pPr>
      <w:r>
        <w:rPr>
          <w:color w:val="5A6172"/>
          <w:sz w:val="19"/>
          <w:szCs w:val="19"/>
        </w:rPr>
        <w:t xml:space="preserve">Prepared by the Business Analysis &amp; Project Management function  ·  30 May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Purpose &amp; Scope</w:t>
      </w:r>
    </w:p>
    <w:p>
      <w:pPr>
        <w:spacing w:after="140"/>
        <w:jc w:val="both"/>
      </w:pPr>
      <w:r>
        <w:t xml:space="preserve">This document defines the non-functional requirements (NFRs) for the JovStack MVP — Platform Core, Website Builder and Basic Commerce. It complements FRD v3.1, which specifies functional behaviour, by stating the quality attributes the platform must satisfy: how secure, fast, available, scalable and maintainable it must be. Each NFR is given an identifier, a measurable target, a MoSCoW priority and a verification method so that it can be tested rather than merely asserted.</w:t>
      </w:r>
    </w:p>
    <w:p>
      <w:pPr>
        <w:spacing w:after="140"/>
        <w:jc w:val="both"/>
      </w:pPr>
      <w:r>
        <w:t xml:space="preserve">Consistent with the review of the FRD, the document leads with the two gating attributes for a multi-tenant SaaS: </w:t>
      </w:r>
      <w:r>
        <w:rPr>
          <w:b/>
          <w:bCs/>
        </w:rPr>
        <w:t xml:space="preserve">tenant-isolation enforcement</w:t>
      </w:r>
      <w:r>
        <w:t xml:space="preserve"> and </w:t>
      </w:r>
      <w:r>
        <w:rPr>
          <w:b/>
          <w:bCs/>
        </w:rPr>
        <w:t xml:space="preserve">security</w:t>
      </w:r>
      <w:r>
        <w:t xml:space="preserve">. These must be satisfied before development is considered production-ready.</w:t>
      </w:r>
    </w:p>
    <w:p>
      <w:pPr>
        <w:pStyle w:val="Heading1"/>
      </w:pPr>
      <w:r>
        <w:t xml:space="preserve">2. How to Read This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Priority. </w:t>
      </w:r>
      <w:r>
        <w:t xml:space="preserve">MoSCoW: </w:t>
      </w:r>
      <w:r>
        <w:rPr>
          <w:b/>
          <w:bCs/>
          <w:color w:val="6C3FD1"/>
        </w:rPr>
        <w:t xml:space="preserve">Must</w:t>
      </w:r>
      <w:r>
        <w:t xml:space="preserve"> = required for a production-ready MVP; </w:t>
      </w:r>
      <w:r>
        <w:rPr>
          <w:b/>
          <w:bCs/>
          <w:color w:val="D9822B"/>
        </w:rPr>
        <w:t xml:space="preserve">Should</w:t>
      </w:r>
      <w:r>
        <w:t xml:space="preserve"> = strongly expected, may follow shortly after launch; </w:t>
      </w:r>
      <w:r>
        <w:rPr>
          <w:b/>
          <w:bCs/>
          <w:color w:val="5A6172"/>
        </w:rPr>
        <w:t xml:space="preserve">Could</w:t>
      </w:r>
      <w:r>
        <w:t xml:space="preserve"> = desirable, post-MVP.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Targets. </w:t>
      </w:r>
      <w:r>
        <w:t xml:space="preserve">Numeric targets are MVP baselines; where a value tightens after moving to cloud/scale it is marked accordingly (e.g., “Should*”).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Verification. </w:t>
      </w:r>
      <w:r>
        <w:t xml:space="preserve">Each NFR names how it is checked — automated test, load/security test, configuration review or monitoring.</w:t>
      </w:r>
    </w:p>
    <w:p>
      <w:pPr>
        <w:pStyle w:val="Heading1"/>
      </w:pPr>
      <w:r>
        <w:t xml:space="preserve">3. Assumptions</w:t>
      </w:r>
    </w:p>
    <w:p>
      <w:pPr>
        <w:spacing w:after="140"/>
        <w:jc w:val="both"/>
      </w:pPr>
      <w:r>
        <w:t xml:space="preserve">The targets below reflect these assumptions, carried over from the FRD review. They should be confirmed; changing them will adjust several NFRs.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No online payment in MVP. </w:t>
      </w:r>
      <w:r>
        <w:t xml:space="preserve">Orders flow via WhatsApp Checkout (FR-713) and subscription is a dummy implementation, so the platform handles no card data and PCI-DSS scope does not apply to the MVP. A real payment gateway in Phase 2 will introduce PCI obligations.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Single region, modest scale. </w:t>
      </w:r>
      <w:r>
        <w:t xml:space="preserve">MVP runs in one region on a modular monolith; capacity targets (NFR-SC03) are baselines, not peak-of-business numbers.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Cloud-deferred items. </w:t>
      </w:r>
      <w:r>
        <w:t xml:space="preserve">Encryption at rest and the 99.9% availability target are expected once the platform moves to a managed cloud database/host; MVP targets are set lower and marked.</w:t>
      </w:r>
    </w:p>
    <w:p>
      <w:pPr>
        <w:pStyle w:val="Heading1"/>
      </w:pPr>
      <w:r>
        <w:t xml:space="preserve">4. NFR Categories</w:t>
      </w:r>
    </w:p>
    <w:p>
      <w:pPr>
        <w:spacing w:after="140"/>
        <w:jc w:val="both"/>
      </w:pPr>
      <w:r>
        <w:t xml:space="preserve">Requirements are organised into nine quality-attribute categories. Security and privacy carry the most Must-priority items, reflecting the multi-tenant model and the data-ownership value proposition.</w:t>
      </w:r>
    </w:p>
    <w:p>
      <w:pPr>
        <w:pStyle w:val="Heading2"/>
      </w:pPr>
      <w:r>
        <w:t xml:space="preserve">4.1 Security</w:t>
      </w:r>
    </w:p>
    <w:p>
      <w:pPr>
        <w:spacing w:after="80"/>
      </w:pPr>
      <w:r>
        <w:rPr>
          <w:i/>
          <w:iCs/>
          <w:color w:val="5A6172"/>
          <w:sz w:val="18"/>
          <w:szCs w:val="18"/>
        </w:rPr>
        <w:t xml:space="preserve">Highest-priority category. NFR-S01 (tenant isolation) is the single most important requirement in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020"/>
        <w:gridCol w:w="860"/>
        <w:gridCol w:w="3180"/>
      </w:tblGrid>
      <w:tr>
        <w:trPr>
          <w:tblHeader/>
        </w:trP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 / Metric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NFR-S01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Tenant data isolation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Every tenant-scoped query is filtered by organization_id; zero cross-tenant reads/writes. Enforced at the data-access layer (repository guards and/or PostgreSQL RLS), not the UI.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Automated isolation test suite (tenant A cannot access tenant B); code review of data layer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NFR-S02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Password storage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Passwords hashed with Argon2id (or bcrypt cost ≥ 12). Never stored or logged in plaintext.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Code review; secrets scan of logs/DB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NFR-S03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Transport security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TLS 1.2+ on all endpoints including every *.jovstack.app subdomain; HSTS enabled; HTTP redirected to HTTPS.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SSL Labs / testssl scan; config review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NFR-S04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Authorization (deny-by-default)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Every protected endpoint authorises by role server-side; default is deny. No authorisation decision trusts client input.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Automated authz tests per role; code review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NFR-S05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Secrets management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No credentials, keys or tokens in source, repo history, or container images. Injected via environment/secret store.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Repo secret scan in CI; image inspection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NFR-S06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Brute-force protection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Login, password-reset and invitation endpoints rate-limited; account lockout/back-off after repeated failures.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Load/abuse test; review of throttling rules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NFR-S07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Injection &amp; XSS defence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Parameterised queries via Prisma; output encoding; CSRF protection on state-changing requests; OWASP Top 10 addressed.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SAST + dependency scan; targeted security tests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NFR-S08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File-upload safety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Uploaded media validated by type, MIME and size; stored in object storage outside the app root; max size enforced (e.g., ≤ 5 MB/image).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Negative-case upload tests (FR-801)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NFR-S09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Session &amp; token lifecycle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Access tokens expire (≤ 60 min) with refresh; sessions invalidated on logout (FR-104) and password reset (FR-106).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Automated session tests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NFR-S10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Audit logging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Security-relevant events (login, role change, deletion, publish) logged with actor, organization_id and timestamp; no secrets/PII in logs.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Log review; sample-event verification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4.2 Privacy &amp; Data Protection</w:t>
      </w:r>
    </w:p>
    <w:p>
      <w:pPr>
        <w:spacing w:after="80"/>
      </w:pPr>
      <w:r>
        <w:rPr>
          <w:i/>
          <w:iCs/>
          <w:color w:val="5A6172"/>
          <w:sz w:val="18"/>
          <w:szCs w:val="18"/>
        </w:rPr>
        <w:t xml:space="preserve">Supports the SME data-ownership promise and FRD requirements FR-107, FR-108 and FR-204.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020"/>
        <w:gridCol w:w="860"/>
        <w:gridCol w:w="3180"/>
      </w:tblGrid>
      <w:tr>
        <w:trPr>
          <w:tblHeader/>
        </w:trP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 / Metric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NFR-P01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Account &amp; data deletion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Account deletion (FR-107) and organization soft-delete (FR-204) honour the cascade/retention rules in FRD §4.7; hard purge after the retention window.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Cascade tests; retention-window review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NFR-P02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Personal-data export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Personal-data export (FR-108) produced in a machine-readable format within the defined window (e.g., ≤ 72 h).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Functional test of export path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NFR-P03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Encryption at rest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Production database and backups encrypted at rest.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A6172"/>
                <w:sz w:val="15"/>
                <w:szCs w:val="15"/>
              </w:rPr>
              <w:t xml:space="preserve">Should*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Infra config review (*Must once on cloud)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NFR-P04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Data retention policy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Soft-delete retention windows defined for organizations, websites and media; documented and enforced.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Policy review; scheduled-purge test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NFR-P05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Consent for stored data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Capture of consent / acceptable-use acknowledgement consistent with the data-ownership promise to SMEs.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Registration-flow review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4.3 Performance &amp; Efficiency</w:t>
      </w:r>
    </w:p>
    <w:p>
      <w:pPr>
        <w:spacing w:after="80"/>
      </w:pPr>
      <w:r>
        <w:rPr>
          <w:i/>
          <w:iCs/>
          <w:color w:val="5A6172"/>
          <w:sz w:val="18"/>
          <w:szCs w:val="18"/>
        </w:rPr>
        <w:t xml:space="preserve">Public storefront speed is a Must because it directly affects SME conversion and SEO.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020"/>
        <w:gridCol w:w="860"/>
        <w:gridCol w:w="3180"/>
      </w:tblGrid>
      <w:tr>
        <w:trPr>
          <w:tblHeader/>
        </w:trP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 / Metric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NFR-PF01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Published storefront speed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Public site Largest Contentful Paint &lt; 2.5 s on a mid-tier mobile over 4G; Core Web Vitals in the “good” band.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Lighthouse / WebPageTest on sample sites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NFR-PF02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API latency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Core API p95 &lt; 300 ms and p99 &lt; 800 ms under nominal load (excludes first-publish provisioning).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Load test (k6/JMeter) with latency report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NFR-PF03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Dashboard interactivity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Authenticated dashboard time-to-interactive &lt; 3 s on broadband.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Lighthouse; RUM where available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NFR-PF04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Editor save responsiveness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Block edit/save acknowledged within 1 s (perceived) for typical page sizes.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Manual + scripted timing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NFR-PF05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Query efficiency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organization_id indexed on all tenant tables; no full table scans on hot paths; N+1 queries avoided.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EXPLAIN/plan review; slow-query log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4.4 Scalability &amp; Capacity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020"/>
        <w:gridCol w:w="860"/>
        <w:gridCol w:w="3180"/>
      </w:tblGrid>
      <w:tr>
        <w:trPr>
          <w:tblHeader/>
        </w:trP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 / Metric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NFR-SC01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Stateless app tier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Application servers hold no local session state, enabling horizontal scaling behind a load balancer.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Architecture review; multi-instance test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NFR-SC02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Connection pooling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Database access uses a bounded connection pool sized to instance count; no per-request connection churn.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Config review; pool-saturation test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NFR-SC03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MVP capacity baseline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Sustains ≈ 1,000 organizations, 5,000 websites and 50 concurrent editors without architectural change.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Load test at target volumes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NFR-SC04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Subdomain routing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Wildcard *.jovstack.app routing resolves any provisioned site (FR-851) without per-site configuration.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Routing test across many subdomains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4.5 Availability &amp;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020"/>
        <w:gridCol w:w="860"/>
        <w:gridCol w:w="3180"/>
      </w:tblGrid>
      <w:tr>
        <w:trPr>
          <w:tblHeader/>
        </w:trP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 / Metric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NFR-A01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Availability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≥ 99.5% monthly uptime for MVP (target 99.9% post-MVP / on cloud).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Uptime monitoring report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NFR-A02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Backup &amp; restore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Automated daily backups with point-in-time recovery; restore tested at least once before launch.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Documented restore drill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NFR-A03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RTO / RPO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Recovery Time Objective ≤ 4 h; Recovery Point Objective ≤ 24 h for MVP.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DR plan review; drill timing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NFR-A04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Health &amp; graceful shutdown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Liveness/readiness endpoints exposed; in-flight requests drain on shutdown/deploy.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Endpoint test; rolling-deploy test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NFR-A05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Storefront resilience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Published sites stay available during routine dashboard maintenance where feasible.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A6172"/>
                <w:sz w:val="15"/>
                <w:szCs w:val="15"/>
              </w:rPr>
              <w:t xml:space="preserve">Could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Maintenance-mode test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4.6 Maintainability &amp; Delivery</w:t>
      </w:r>
    </w:p>
    <w:p>
      <w:pPr>
        <w:spacing w:after="80"/>
      </w:pPr>
      <w:r>
        <w:rPr>
          <w:i/>
          <w:iCs/>
          <w:color w:val="5A6172"/>
          <w:sz w:val="18"/>
          <w:szCs w:val="18"/>
        </w:rPr>
        <w:t xml:space="preserve">Reflects the modular-monolith decision and the no-hardcoded-credentials CI/CD constraint.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020"/>
        <w:gridCol w:w="860"/>
        <w:gridCol w:w="3180"/>
      </w:tblGrid>
      <w:tr>
        <w:trPr>
          <w:tblHeader/>
        </w:trP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 / Metric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NFR-M01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Module boundaries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Modular-monolith modules (Core, Builder, Commerce, Billing) communicate through defined interfaces; no cross-module DB reach-in.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Architecture/dependency review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NFR-M02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Automated test coverage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Core domains (auth, isolation, RBAC, publishing) covered by automated tests; isolation tests mandatory.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Coverage report in CI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NFR-M03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CI/CD pipeline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Build, test and deploy automated via GitHub Actions; no manual production steps; no hardcoded credentials.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Pipeline review; deployment audit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NFR-M04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Database migrations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Schema changes managed by versioned, reviewable Prisma migrations; forward-only with documented rollback.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Migration history review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NFR-M05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Code quality gates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Linting and type checks enforced in CI; merge blocked on failure.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A6172"/>
                <w:sz w:val="15"/>
                <w:szCs w:val="15"/>
              </w:rPr>
              <w:t xml:space="preserve">Could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CI configuration review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4.7 Observability</w:t>
      </w:r>
    </w:p>
    <w:p>
      <w:pPr>
        <w:spacing w:after="80"/>
      </w:pPr>
      <w:r>
        <w:rPr>
          <w:i/>
          <w:iCs/>
          <w:color w:val="5A6172"/>
          <w:sz w:val="18"/>
          <w:szCs w:val="18"/>
        </w:rPr>
        <w:t xml:space="preserve">Structured, org-scoped logging underpins both operations and incident diagnosis.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020"/>
        <w:gridCol w:w="860"/>
        <w:gridCol w:w="3180"/>
      </w:tblGrid>
      <w:tr>
        <w:trPr>
          <w:tblHeader/>
        </w:trP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 / Metric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NFR-O01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Structured logging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JSON logs with correlation id and organization_id; secrets and PII excluded.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Log-sample inspection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NFR-O02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Metrics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Latency, error rate and throughput exposed per service/endpoint.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Metrics dashboard review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NFR-O03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Alerting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Alerts on error-rate and availability threshold breaches route to an owner.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Alert-rule test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NFR-O04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Tracing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Distributed tracing across modules for request diagnosis.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A6172"/>
                <w:sz w:val="15"/>
                <w:szCs w:val="15"/>
              </w:rPr>
              <w:t xml:space="preserve">Could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Trace sample (post-MVP)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4.8 Usability &amp; Accessibility</w:t>
      </w:r>
    </w:p>
    <w:p>
      <w:pPr>
        <w:spacing w:after="80"/>
      </w:pPr>
      <w:r>
        <w:rPr>
          <w:i/>
          <w:iCs/>
          <w:color w:val="5A6172"/>
          <w:sz w:val="18"/>
          <w:szCs w:val="18"/>
        </w:rPr>
        <w:t xml:space="preserve">Localisation readiness (Bahasa Indonesia / English) reflects the target SME market.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020"/>
        <w:gridCol w:w="860"/>
        <w:gridCol w:w="3180"/>
      </w:tblGrid>
      <w:tr>
        <w:trPr>
          <w:tblHeader/>
        </w:trP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 / Metric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NFR-U01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Accessibility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Dashboard and shipped templates meet WCAG 2.1 AA for colour contrast, keyboard nav and labels.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axe/Lighthouse a11y audit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NFR-U02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Responsiveness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Dashboard and published sites render correctly on mobile, tablet and desktop (mobile-first).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Cross-device test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NFR-U03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Localisation readiness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UI strings externalised to support Bahasa Indonesia and English without code change.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i18n structure review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NFR-U04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Error &amp; empty states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Clear validation, error and empty-state messaging across key flows.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5A6172"/>
                <w:sz w:val="15"/>
                <w:szCs w:val="15"/>
              </w:rPr>
              <w:t xml:space="preserve">Could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UX review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4.9 Compatibility &amp; Portability</w:t>
      </w:r>
    </w:p>
    <w:p>
      <w:pPr>
        <w:spacing w:after="80"/>
      </w:pPr>
      <w:r>
        <w:rPr>
          <w:i/>
          <w:iCs/>
          <w:color w:val="5A6172"/>
          <w:sz w:val="18"/>
          <w:szCs w:val="18"/>
        </w:rPr>
        <w:t xml:space="preserve">Container portability keeps the future Kubernetes/AWS path open without rework.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020"/>
        <w:gridCol w:w="860"/>
        <w:gridCol w:w="3180"/>
      </w:tblGrid>
      <w:tr>
        <w:trPr>
          <w:tblHeader/>
        </w:trP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Target / Metric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shd w:fill="2E27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NFR-C01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Browser support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Latest two versions of Chrome, Edge, Firefox and Safari, plus mobile Chrome/Safari.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D9822B"/>
                <w:sz w:val="15"/>
                <w:szCs w:val="15"/>
              </w:rPr>
              <w:t xml:space="preserve">Should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Compatibility matrix test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NFR-C02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Containerisation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All services run in Docker images portable to Kubernetes/AWS without code change.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Container build/run verification</w:t>
            </w:r>
          </w:p>
        </w:tc>
      </w:tr>
      <w:tr>
        <w:tc>
          <w:tcPr>
            <w:tcW w:type="dxa" w:w="7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2430"/>
                <w:sz w:val="16"/>
                <w:szCs w:val="16"/>
              </w:rPr>
              <w:t xml:space="preserve">NFR-C03</w:t>
            </w:r>
          </w:p>
        </w:tc>
        <w:tc>
          <w:tcPr>
            <w:tcW w:type="dxa" w:w="160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12-factor configuration</w:t>
            </w:r>
          </w:p>
        </w:tc>
        <w:tc>
          <w:tcPr>
            <w:tcW w:type="dxa" w:w="302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All environment-specific config supplied via environment variables; identical artefact across environments.</w:t>
            </w:r>
          </w:p>
        </w:tc>
        <w:tc>
          <w:tcPr>
            <w:tcW w:type="dxa" w:w="86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6C3FD1"/>
                <w:sz w:val="15"/>
                <w:szCs w:val="15"/>
              </w:rPr>
              <w:t xml:space="preserve">Must</w:t>
            </w:r>
          </w:p>
        </w:tc>
        <w:tc>
          <w:tcPr>
            <w:tcW w:type="dxa" w:w="3180"/>
            <w:tcBorders>
              <w:top w:val="single" w:color="C9CDD6" w:sz="1"/>
              <w:left w:val="single" w:color="C9CDD6" w:sz="1"/>
              <w:bottom w:val="single" w:color="C9CDD6" w:sz="1"/>
              <w:right w:val="single" w:color="C9CDD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430"/>
                <w:sz w:val="16"/>
                <w:szCs w:val="16"/>
              </w:rPr>
              <w:t xml:space="preserve">Config/build review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Traceability to the FRD</w:t>
      </w:r>
    </w:p>
    <w:p>
      <w:pPr>
        <w:spacing w:after="140"/>
        <w:jc w:val="both"/>
      </w:pPr>
      <w:r>
        <w:t xml:space="preserve">Selected NFRs trace directly to functional requirements, ensuring quality attributes are anchored to behaviour: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NFR-S01, NFR-PF05 </w:t>
      </w:r>
      <w:r>
        <w:t xml:space="preserve">↔ FRD §5 multi-tenant rules (organization_id scoping).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NFR-S04 </w:t>
      </w:r>
      <w:r>
        <w:t xml:space="preserve">↔ FRD §6 RBAC model and FR-301–306.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NFR-S08 </w:t>
      </w:r>
      <w:r>
        <w:t xml:space="preserve">↔ FR-801 media upload.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NFR-S09 </w:t>
      </w:r>
      <w:r>
        <w:t xml:space="preserve">↔ FR-104 logout, FR-106 reset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NFR-P01, NFR-P02 </w:t>
      </w:r>
      <w:r>
        <w:t xml:space="preserve">↔ FR-107 delete account, FR-108 export data, FR-204 delete organization.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NFR-SC04 </w:t>
      </w:r>
      <w:r>
        <w:t xml:space="preserve">↔ FR-851 subdomain generation, FR-852 publish.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NFR-M03 </w:t>
      </w:r>
      <w:r>
        <w:t xml:space="preserve">↔ FR-404/904 dynamic pricing (no hardcoded values) and the CI/CD credential constraint.</w:t>
      </w:r>
    </w:p>
    <w:p>
      <w:pPr>
        <w:pStyle w:val="Heading1"/>
      </w:pPr>
      <w:r>
        <w:t xml:space="preserve">6. Acceptance Gate</w:t>
      </w:r>
    </w:p>
    <w:p>
      <w:pPr>
        <w:spacing w:after="140"/>
        <w:jc w:val="both"/>
      </w:pPr>
      <w:r>
        <w:t xml:space="preserve">Development is considered production-ready for MVP launch when all Must-priority NFRs pass their stated verification, with particular emphasis on the following gating set: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NFR-S01 — tenant isolation proven by an automated cross-tenant test suite.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NFR-S02–S09 — the core security controls (hashing, TLS, deny-by-default authz, secrets, brute-force, injection/XSS, upload safety, session lifecycle).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NFR-PF01 / NFR-PF05 — storefront speed and query efficiency.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NFR-A02 — a tested backup-and-restore drill.</w:t>
      </w:r>
    </w:p>
    <w:p>
      <w:pPr>
        <w:pStyle w:val="ListParagraph"/>
        <w:numPr>
          <w:ilvl w:val="0"/>
          <w:numId w:val="3"/>
        </w:numPr>
        <w:spacing w:after="70"/>
      </w:pPr>
      <w:r>
        <w:t xml:space="preserve">NFR-M03 / NFR-M04 — automated pipeline with no hardcoded credentials, and versioned migrations.</w:t>
      </w:r>
    </w:p>
    <w:p>
      <w:pPr>
        <w:spacing w:after="140"/>
        <w:jc w:val="both"/>
      </w:pPr>
      <w:r>
        <w:t xml:space="preserve">Should and Could items are tracked in the backlog and do not block MVP launch, but Should items are expected to close within the first iterations after release.</w:t>
      </w:r>
    </w:p>
    <w:p>
      <w:pPr>
        <w:pStyle w:val="Heading1"/>
      </w:pPr>
      <w:r>
        <w:t xml:space="preserve">7. Next-Phase Quality Items</w:t>
      </w:r>
    </w:p>
    <w:p>
      <w:pPr>
        <w:spacing w:after="140"/>
        <w:jc w:val="both"/>
      </w:pPr>
      <w:r>
        <w:t xml:space="preserve">The following are explicitly deferred and should be revisited when the platform moves beyond MVP: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PCI-DSS scope and controls once a real payment gateway is introduced (Phase 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Tightened availability (99.9%+), multi-region resilience and encryption-at-rest once on managed cloud.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Distributed tracing and richer SLO/alerting as traffic grows.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Custom-domain security (automated TLS provisioning, domain verification) when FR custom-domain support is added.</w:t>
      </w:r>
    </w:p>
    <w:p>
      <w:pPr>
        <w:pBdr>
          <w:top w:val="single" w:color="C9CDD6" w:sz="4" w:space="6"/>
        </w:pBdr>
        <w:spacing w:before="220"/>
      </w:pPr>
      <w:r>
        <w:rPr>
          <w:i/>
          <w:iCs/>
          <w:color w:val="5A6172"/>
          <w:sz w:val="17"/>
          <w:szCs w:val="17"/>
        </w:rPr>
        <w:t xml:space="preserve">End of document.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172"/>
        <w:sz w:val="15"/>
        <w:szCs w:val="15"/>
      </w:rPr>
      <w:t xml:space="preserve">Version 1.0</w:t>
    </w:r>
    <w:r>
      <w:rPr>
        <w:color w:val="5A6172"/>
        <w:sz w:val="15"/>
        <w:szCs w:val="15"/>
      </w:rPr>
      <w:t xml:space="preserve">	Page </w:t>
    </w:r>
    <w:r>
      <w:rPr>
        <w:color w:val="5A617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A6172"/>
        <w:sz w:val="15"/>
        <w:szCs w:val="15"/>
      </w:rPr>
      <w:t xml:space="preserve"> of </w:t>
    </w:r>
    <w:r>
      <w:rPr>
        <w:color w:val="5A617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DD6" w:sz="4" w:space="4"/>
      </w:pBdr>
      <w:tabs>
        <w:tab w:val="right" w:pos="9360"/>
      </w:tabs>
    </w:pPr>
    <w:r>
      <w:rPr>
        <w:color w:val="5A6172"/>
        <w:sz w:val="15"/>
        <w:szCs w:val="15"/>
      </w:rPr>
      <w:t xml:space="preserve">JovStack NFR v1.0 — Non-Functional Requirements</w:t>
    </w:r>
    <w:r>
      <w:rPr>
        <w:color w:val="5A6172"/>
        <w:sz w:val="15"/>
        <w:szCs w:val="15"/>
      </w:rPr>
      <w:t xml:space="preserve">	Draft for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2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C3FD1" w:sz="6" w:space="4"/>
      </w:pBdr>
      <w:spacing w:after="130" w:before="280"/>
      <w:outlineLvl w:val="0"/>
    </w:pPr>
    <w:rPr>
      <w:rFonts w:ascii="Arial" w:cs="Arial" w:eastAsia="Arial" w:hAnsi="Arial"/>
      <w:b/>
      <w:bCs/>
      <w:color w:val="6C3FD1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243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2026-05-30T07:31:14.647Z</dcterms:created>
  <dcterms:modified xsi:type="dcterms:W3CDTF">2026-05-30T07:31:14.647Z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