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6C3FD1"/>
          <w:sz w:val="56"/>
          <w:szCs w:val="56"/>
        </w:rPr>
        <w:t xml:space="preserve">JOVSTACK</w:t>
      </w:r>
    </w:p>
    <w:p>
      <w:pPr>
        <w:spacing w:after="60"/>
      </w:pPr>
      <w:r>
        <w:rPr>
          <w:color w:val="5A6172"/>
          <w:sz w:val="24"/>
          <w:szCs w:val="24"/>
        </w:rPr>
        <w:t xml:space="preserve">Multi-Tenant SaaS Platform</w:t>
      </w:r>
    </w:p>
    <w:p>
      <w:pPr>
        <w:pBdr>
          <w:top w:val="single" w:color="6C3FD1" w:sz="12" w:space="6"/>
        </w:pBdr>
        <w:spacing w:after="60" w:before="480"/>
      </w:pPr>
      <w:r>
        <w:rPr>
          <w:b/>
          <w:bCs/>
          <w:color w:val="1F2430"/>
          <w:sz w:val="40"/>
          <w:szCs w:val="40"/>
        </w:rPr>
        <w:t xml:space="preserve">Requirements &amp; Architecture Review</w:t>
      </w:r>
    </w:p>
    <w:p>
      <w:pPr>
        <w:spacing w:after="60"/>
      </w:pPr>
      <w:r>
        <w:rPr>
          <w:i/>
          <w:iCs/>
          <w:color w:val="5A6172"/>
          <w:sz w:val="22"/>
          <w:szCs w:val="22"/>
        </w:rPr>
        <w:t xml:space="preserve">Independent assessment of requirement quality, scope integrity and architectural soundness</w:t>
      </w:r>
    </w:p>
    <w:p>
      <w:pPr>
        <w:spacing w:after="0" w:before="900"/>
      </w:pPr>
      <w:r>
        <w:rPr>
          <w:b/>
          <w:bCs/>
          <w:color w:val="1F2430"/>
          <w:sz w:val="22"/>
          <w:szCs w:val="22"/>
        </w:rPr>
        <w:t xml:space="preserve">Reviewed artefacts</w:t>
      </w:r>
    </w:p>
    <w:p>
      <w:pPr>
        <w:pStyle w:val="ListParagraph"/>
        <w:numPr>
          <w:ilvl w:val="0"/>
          <w:numId w:val="2"/>
        </w:numPr>
        <w:spacing w:after="70"/>
      </w:pPr>
      <w:r>
        <w:t xml:space="preserve">JovStack Master Project Context Document — v0.1 Draft</w:t>
      </w:r>
    </w:p>
    <w:p>
      <w:pPr>
        <w:pStyle w:val="ListParagraph"/>
        <w:numPr>
          <w:ilvl w:val="0"/>
          <w:numId w:val="2"/>
        </w:numPr>
        <w:spacing w:after="70"/>
      </w:pPr>
      <w:r>
        <w:t xml:space="preserve">JovStack Product Requirements Document (PRD) — v1.0 Draft</w:t>
      </w:r>
    </w:p>
    <w:p>
      <w:pPr>
        <w:pStyle w:val="ListParagraph"/>
        <w:numPr>
          <w:ilvl w:val="0"/>
          <w:numId w:val="2"/>
        </w:numPr>
        <w:spacing w:after="70"/>
      </w:pPr>
      <w:r>
        <w:t xml:space="preserve">JovStack Functional Requirements Document (FRD) — v1.0, Parent Platform Core</w:t>
      </w:r>
    </w:p>
    <w:p>
      <w:pPr>
        <w:spacing w:before="1400"/>
      </w:pPr>
      <w:r>
        <w:rPr>
          <w:color w:val="5A6172"/>
          <w:sz w:val="20"/>
          <w:szCs w:val="20"/>
        </w:rPr>
        <w:t xml:space="preserve">Prepared by the Business Analysis &amp; Project Management function</w:t>
      </w:r>
    </w:p>
    <w:p>
      <w:pPr>
        <w:spacing w:after="0"/>
      </w:pPr>
      <w:r>
        <w:rPr>
          <w:color w:val="5A6172"/>
          <w:sz w:val="20"/>
          <w:szCs w:val="20"/>
        </w:rPr>
        <w:t xml:space="preserve">Version 1.0  ·  Issued for Review  ·  30 May 2026</w:t>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Document Title</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JovStack Platform — Requirements &amp; Architecture Review</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Subject</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Review of Master Context (v0.1), PRD (v1.0 Draft), FRD (v1.0)</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Prepared By</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Business Analysis &amp; Project Management Function</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Discipline</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Multi-tenant SaaS (reference: website builders, app platforms, payment platforms)</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Document Status</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Issued for Review</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Version</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1.0</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Date</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30 May 2026</w:t>
            </w:r>
          </w:p>
        </w:tc>
      </w:tr>
      <w:tr>
        <w:tc>
          <w:tcPr>
            <w:tcW w:type="dxa" w:w="2600"/>
            <w:tcBorders>
              <w:top w:val="single" w:color="C9CDD6" w:sz="1"/>
              <w:left w:val="single" w:color="C9CDD6" w:sz="1"/>
              <w:bottom w:val="single" w:color="C9CDD6" w:sz="1"/>
              <w:right w:val="single" w:color="C9CDD6" w:sz="1"/>
            </w:tcBorders>
            <w:shd w:fill="EEF0F4" w:val="clear"/>
            <w:tcMar>
              <w:top w:type="dxa" w:w="70"/>
              <w:left w:type="dxa" w:w="110"/>
              <w:bottom w:type="dxa" w:w="70"/>
              <w:right w:type="dxa" w:w="110"/>
            </w:tcMar>
            <w:vAlign w:val="center"/>
          </w:tcPr>
          <w:p>
            <w:r>
              <w:rPr>
                <w:b/>
                <w:bCs/>
                <w:color w:val="1F2430"/>
                <w:sz w:val="19"/>
                <w:szCs w:val="19"/>
              </w:rPr>
              <w:t xml:space="preserve">Distribution</w:t>
            </w:r>
          </w:p>
        </w:tc>
        <w:tc>
          <w:tcPr>
            <w:tcW w:type="dxa" w:w="67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Product, Engineering, Design, Stakeholders</w:t>
            </w:r>
          </w:p>
        </w:tc>
      </w:tr>
    </w:tbl>
    <w:p>
      <w:pPr>
        <w:spacing w:before="200"/>
      </w:pPr>
      <w:r>
        <w:rPr>
          <w:i/>
          <w:iCs/>
          <w:color w:val="5A6172"/>
          <w:sz w:val="19"/>
          <w:szCs w:val="19"/>
        </w:rPr>
        <w:t xml:space="preserve">This review is advisory. It identifies findings and recommendations against the supplied artefacts; it does not amend the source documents, which remain under the authors’ control.</w:t>
      </w:r>
    </w:p>
    <w:p>
      <w:pPr>
        <w:pageBreakBefore/>
        <w:spacing w:after="160"/>
      </w:pPr>
      <w:r>
        <w:rPr>
          <w:b/>
          <w:bCs/>
          <w:color w:val="6C3FD1"/>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40"/>
        <w:jc w:val="both"/>
      </w:pPr>
      <w:r>
        <w:t xml:space="preserve">The JovStack documentation set establishes a credible product vision and a coherent platform narrative: an integrated business operating platform for small and medium enterprises, beginning with a website builder and expanding into ERP, payment and CRM modules. The strategic framing, problem statement and modular “Platform Core plus product modules” structure are sound and demonstrate clear product and SDLC thinking.</w:t>
      </w:r>
    </w:p>
    <w:p>
      <w:pPr>
        <w:spacing w:after="140"/>
        <w:jc w:val="both"/>
      </w:pPr>
      <w:r>
        <w:t xml:space="preserve">The review nonetheless surfaces one decisive issue and several material gaps. The decisive issue is a </w:t>
      </w:r>
      <w:r>
        <w:rPr>
          <w:b/>
          <w:bCs/>
        </w:rPr>
        <w:t xml:space="preserve">scope contradiction at the heart of the MVP</w:t>
      </w:r>
      <w:r>
        <w:t xml:space="preserve">: the PRD defines the website builder as the minimum viable product, while the Master Context and the Functional Requirements Document defer the builder to a later phase and specify only the parent platform, authentication, organization management and an administrative pricing panel. As currently written, building to the FRD would produce a platform that cannot create or publish a website — the very capability that carries the product’s value and that the advertised free plan promises.</w:t>
      </w:r>
    </w:p>
    <w:p>
      <w:pPr>
        <w:spacing w:after="140"/>
        <w:jc w:val="both"/>
      </w:pPr>
      <w:r>
        <w:t xml:space="preserve">Beyond scope, the functional requirements are expressed as titles and single-line descriptions without actors, acceptance criteria or priority, which makes them difficult to estimate and untestable in their present form. The multi-tenant model is named but not specified: organization membership, roles, invitations and tenant data isolation — the foundations of any multi-tenant SaaS — are absent. Non-functional requirements, a data model and an authorization model are acknowledged as outstanding and should be treated as gating items for the next phase.</w:t>
      </w:r>
    </w:p>
    <w:p>
      <w:pPr>
        <w:spacing w:after="140"/>
        <w:jc w:val="both"/>
      </w:pPr>
      <w:r>
        <w:t xml:space="preserve">None of these findings undermine the project’s direction. They are the expected gaps of an early draft and are entirely addressable before development begins. Section 8 sets out a prioritized action plan; Section 9 gives a narrative readiness view for both internal go/no-go and portfolio purposes.</w:t>
      </w:r>
    </w:p>
    <w:p>
      <w:pPr>
        <w:pStyle w:val="Heading1"/>
      </w:pPr>
      <w:r>
        <w:t xml:space="preserve">2. Review Scope and Method</w:t>
      </w:r>
    </w:p>
    <w:p>
      <w:pPr>
        <w:pStyle w:val="Heading2"/>
      </w:pPr>
      <w:r>
        <w:t xml:space="preserve">2.1 Objectives</w:t>
      </w:r>
    </w:p>
    <w:p>
      <w:pPr>
        <w:spacing w:after="140"/>
        <w:jc w:val="both"/>
      </w:pPr>
      <w:r>
        <w:t xml:space="preserve">This review evaluates the supplied artefacts against three lenses agreed for the engagement: requirement quality, scope integrity and architectural soundness. Schedule, resourcing and budget are explicitly out of scope.</w:t>
      </w:r>
    </w:p>
    <w:p>
      <w:pPr>
        <w:pStyle w:val="Heading2"/>
      </w:pPr>
      <w:r>
        <w:t xml:space="preserve">2.2 Artefacts and basis of review</w:t>
      </w:r>
    </w:p>
    <w:p>
      <w:pPr>
        <w:spacing w:after="140"/>
        <w:jc w:val="both"/>
      </w:pPr>
      <w:r>
        <w:t xml:space="preserve">The review covers all three artefacts and reconciles them against one another. Inconsistencies discovered between the documents are recorded in Section 6 for the authors’ consideration; the source documents have not been altered.</w:t>
      </w:r>
    </w:p>
    <w:p>
      <w:pPr>
        <w:pStyle w:val="Heading2"/>
      </w:pPr>
      <w:r>
        <w:t xml:space="preserve">2.3 Reference frame</w:t>
      </w:r>
    </w:p>
    <w:p>
      <w:pPr>
        <w:spacing w:after="140"/>
        <w:jc w:val="both"/>
      </w:pPr>
      <w:r>
        <w:t xml:space="preserve">Findings are assessed against established practice for multi-tenant SaaS platforms of the website-builder and application-platform class. Where this review applies a standard expectation (for example, that functional requirements carry acceptance criteria, or that a multi-tenant platform define its data-isolation model), the expectation reflects common industry practice rather than a project-specific mandate.</w:t>
      </w:r>
    </w:p>
    <w:p>
      <w:pPr>
        <w:pStyle w:val="Heading2"/>
      </w:pPr>
      <w:r>
        <w:t xml:space="preserve">2.4 Severity language</w:t>
      </w:r>
    </w:p>
    <w:p>
      <w:pPr>
        <w:spacing w:after="140"/>
        <w:jc w:val="both"/>
      </w:pPr>
      <w:r>
        <w:t xml:space="preserve">Findings use four severity levels to aid triage, not to grade the documents: </w:t>
      </w:r>
      <w:r>
        <w:rPr>
          <w:b/>
          <w:bCs/>
          <w:color w:val="C0392B"/>
        </w:rPr>
        <w:t xml:space="preserve">Critical</w:t>
      </w:r>
      <w:r>
        <w:t xml:space="preserve"> (blocks a coherent MVP if unresolved), </w:t>
      </w:r>
      <w:r>
        <w:rPr>
          <w:b/>
          <w:bCs/>
          <w:color w:val="D9822B"/>
        </w:rPr>
        <w:t xml:space="preserve">High</w:t>
      </w:r>
      <w:r>
        <w:t xml:space="preserve"> (material risk to delivery or to the value proposition), </w:t>
      </w:r>
      <w:r>
        <w:rPr>
          <w:b/>
          <w:bCs/>
          <w:color w:val="C9A227"/>
        </w:rPr>
        <w:t xml:space="preserve">Medium</w:t>
      </w:r>
      <w:r>
        <w:t xml:space="preserve"> (should be resolved before the relevant phase), and </w:t>
      </w:r>
      <w:r>
        <w:rPr>
          <w:b/>
          <w:bCs/>
          <w:color w:val="5A6172"/>
        </w:rPr>
        <w:t xml:space="preserve">Low</w:t>
      </w:r>
      <w:r>
        <w:t xml:space="preserve"> (housekeeping). </w:t>
      </w:r>
    </w:p>
    <w:p>
      <w:pPr>
        <w:pStyle w:val="Heading1"/>
      </w:pPr>
      <w:r>
        <w:t xml:space="preserve">3. Documentation Maturity Snapshot</w:t>
      </w:r>
    </w:p>
    <w:p>
      <w:pPr>
        <w:spacing w:after="140"/>
        <w:jc w:val="both"/>
      </w:pPr>
      <w:r>
        <w:t xml:space="preserve">The artefact set is well-sequenced and reflects a deliberate vision-to-delivery flow. The Master Context provides strong strategic and architectural framing; the PRD captures vision, goals, target users and roadmap appropriately for a draft; and the FRD enumerates the parent-platform requirement inventory. The principal maturity gaps are consistent across the set and are summarised below.</w:t>
      </w:r>
    </w:p>
    <w:p>
      <w:pPr>
        <w:pStyle w:val="ListParagraph"/>
        <w:numPr>
          <w:ilvl w:val="0"/>
          <w:numId w:val="2"/>
        </w:numPr>
        <w:spacing w:after="70"/>
      </w:pPr>
      <w:r>
        <w:t xml:space="preserve">Strategy and product framing are mature and internally consistent within each document.</w:t>
      </w:r>
    </w:p>
    <w:p>
      <w:pPr>
        <w:pStyle w:val="ListParagraph"/>
        <w:numPr>
          <w:ilvl w:val="0"/>
          <w:numId w:val="2"/>
        </w:numPr>
        <w:spacing w:after="70"/>
      </w:pPr>
      <w:r>
        <w:t xml:space="preserve">Requirements exist as an inventory but not yet at specification depth (no acceptance criteria, actors or priority).</w:t>
      </w:r>
    </w:p>
    <w:p>
      <w:pPr>
        <w:pStyle w:val="ListParagraph"/>
        <w:numPr>
          <w:ilvl w:val="0"/>
          <w:numId w:val="2"/>
        </w:numPr>
        <w:spacing w:after="70"/>
      </w:pPr>
      <w:r>
        <w:t xml:space="preserve">The most consequential product capability — the website builder — is named in strategy but unspecified in the functional set.</w:t>
      </w:r>
    </w:p>
    <w:p>
      <w:pPr>
        <w:pStyle w:val="ListParagraph"/>
        <w:numPr>
          <w:ilvl w:val="0"/>
          <w:numId w:val="2"/>
        </w:numPr>
        <w:spacing w:after="70"/>
      </w:pPr>
      <w:r>
        <w:t xml:space="preserve">Non-functional requirements, the domain/data model and the authorization model are acknowledged as the declared next steps and are not yet drafted.</w:t>
      </w:r>
    </w:p>
    <w:p>
      <w:pPr>
        <w:pStyle w:val="Heading1"/>
      </w:pPr>
      <w:r>
        <w:t xml:space="preserve">4. Findings — Requirement Quality</w:t>
      </w:r>
    </w:p>
    <w:p>
      <w:pPr>
        <w:pStyle w:val="Heading2"/>
      </w:pPr>
      <w:r>
        <w:t xml:space="preserve">4.1 Specification depth</w:t>
      </w:r>
    </w:p>
    <w:p>
      <w:pPr>
        <w:spacing w:after="140"/>
        <w:jc w:val="both"/>
      </w:pPr>
      <w:r>
        <w:t xml:space="preserve">Every functional requirement is captured as a short title and a one-sentence description. None carries an actor, preconditions, postconditions, acceptance criteria, priority or dependency. In their current form the requirements are an inventory rather than a specification: they communicate intent but cannot be reliably estimated, tested, or signed off. The recommended remedy is to elevate each requirement to a consistent template — identifier, actor, description, preconditions, acceptance criteria, priority (MoSCoW) and dependencies — beginning with the requirements that fall inside the re-baselined MVP.</w:t>
      </w:r>
    </w:p>
    <w:p>
      <w:pPr>
        <w:pStyle w:val="Heading2"/>
      </w:pPr>
      <w:r>
        <w:t xml:space="preserve">4.2 Account and identity lifecycle</w:t>
      </w:r>
    </w:p>
    <w:p>
      <w:pPr>
        <w:spacing w:after="140"/>
        <w:jc w:val="both"/>
      </w:pPr>
      <w:r>
        <w:t xml:space="preserve">Authentication covers registration, login, forgot-password and logout. The lifecycle is incomplete for a production platform: there is no email verification at registration, no account deletion or data-export path, and no multi-factor option. Given that the product’s stated value is customer-data ownership, the absence of consent capture, data retention and deletion requirements is a notable gap that also carries regulatory weight.</w:t>
      </w:r>
    </w:p>
    <w:p>
      <w:pPr>
        <w:pStyle w:val="Heading2"/>
      </w:pPr>
      <w:r>
        <w:t xml:space="preserve">4.3 Organization lifecycle and cascade behaviour</w:t>
      </w:r>
    </w:p>
    <w:p>
      <w:pPr>
        <w:spacing w:after="140"/>
        <w:jc w:val="both"/>
      </w:pPr>
      <w:r>
        <w:t xml:space="preserve">Organization create, view, update, soft-delete and switch are present, but soft-delete has no defined cascade or retention policy: it is unclear what happens to an organization’s websites, custom domain and subscription on deletion, or whether and how an organization can be restored. These rules should be specified before the data model is built, since they shape referential and lifecycle design.</w:t>
      </w:r>
    </w:p>
    <w:p>
      <w:pPr>
        <w:pStyle w:val="Heading2"/>
      </w:pPr>
      <w:r>
        <w:t xml:space="preserve">4.4 Subscription and billing path</w:t>
      </w:r>
    </w:p>
    <w:p>
      <w:pPr>
        <w:spacing w:after="140"/>
        <w:jc w:val="both"/>
      </w:pPr>
      <w:r>
        <w:t xml:space="preserve">The pricing requirements (FR-701–707) describe viewing plans and administrative maintenance of plans and features. They do not include any requirement by which a user selects, subscribes to, upgrades, downgrades or pays for a plan. Because “Subscription Management” is declared a Platform Core service and the business model is freemium, the missing subscribe-and-billing path is a functional gap rather than a deferred feature, even if paid tiers themselves remain future scope. This is recorded as CX-04 in Section 6.</w:t>
      </w:r>
    </w:p>
    <w:p>
      <w:pPr>
        <w:pStyle w:val="Heading2"/>
      </w:pPr>
      <w:r>
        <w:t xml:space="preserve">4.5 Supporting requirements</w:t>
      </w:r>
    </w:p>
    <w:p>
      <w:pPr>
        <w:pStyle w:val="ListParagraph"/>
        <w:numPr>
          <w:ilvl w:val="0"/>
          <w:numId w:val="2"/>
        </w:numPr>
        <w:spacing w:after="70"/>
      </w:pPr>
      <w:r>
        <w:t xml:space="preserve">Contact submission (FR-006 / FR-502) has no anti-abuse control, notification routing or status workflow.</w:t>
      </w:r>
    </w:p>
    <w:p>
      <w:pPr>
        <w:pStyle w:val="ListParagraph"/>
        <w:numPr>
          <w:ilvl w:val="0"/>
          <w:numId w:val="2"/>
        </w:numPr>
        <w:spacing w:after="70"/>
      </w:pPr>
      <w:r>
        <w:t xml:space="preserve">Dashboard “activities” and “product access” (FR-301–302) are undefined until entitlements exist.</w:t>
      </w:r>
    </w:p>
    <w:p>
      <w:pPr>
        <w:pStyle w:val="ListParagraph"/>
        <w:numPr>
          <w:ilvl w:val="0"/>
          <w:numId w:val="2"/>
        </w:numPr>
        <w:spacing w:after="70"/>
      </w:pPr>
      <w:r>
        <w:t xml:space="preserve">No audit-logging, rate-limiting or observability requirements are stated for a platform described as production-grade.</w:t>
      </w:r>
    </w:p>
    <w:p>
      <w:pPr>
        <w:pStyle w:val="Heading1"/>
      </w:pPr>
      <w:r>
        <w:t xml:space="preserve">5. Findings — Scope Integrity</w:t>
      </w:r>
    </w:p>
    <w:p>
      <w:pPr>
        <w:pStyle w:val="Heading2"/>
      </w:pPr>
      <w:r>
        <w:t xml:space="preserve">5.1 The MVP scope contradiction (headline finding)</w:t>
      </w:r>
    </w:p>
    <w:p>
      <w:pPr>
        <w:spacing w:after="140"/>
        <w:jc w:val="both"/>
      </w:pPr>
      <w:r>
        <w:t xml:space="preserve">The single most important finding is that the documents disagree on what the MVP is. The PRD is titled “Website Builder Platform for SMEs” and lists template selection, content editing and website publishing as in-scope for the MVP. The Master Context lists the website builder as a “Next Phase” item, and the FRD — scoped as “Parent Platform Core” — contains no website-builder requirements whatsoever.</w:t>
      </w:r>
    </w:p>
    <w:p>
      <w:pPr>
        <w:spacing w:after="140"/>
        <w:jc w:val="both"/>
      </w:pPr>
      <w:r>
        <w:t xml:space="preserve">The practical consequence is significant. A build executed against the current FRD would deliver a marketing website, authentication, organization management, a product-status catalogue and an administrative pricing panel — but no ability for an SME to create or publish a website. The core value hypothesis would therefore go untested, and the advertised free plan (“1 Website” on a JovStack subdomain) could not be honoured. This is recorded as CX-01 (Critical) and CX-05 (High) in Section 6.</w:t>
      </w:r>
    </w:p>
    <w:p>
      <w:pPr>
        <w:spacing w:after="140"/>
        <w:jc w:val="both"/>
      </w:pPr>
      <w:r>
        <w:t xml:space="preserve">The recommended resolution is to re-baseline the MVP around a thin but end-to-end path — register, create a site from a template, edit basic content, and publish to a JovStack subdomain — and to treat the parent marketing site, administration and pricing maintenance as supporting scope around that spine. This keeps the MVP genuinely minimal while ensuring it validates the product’s reason to exist.</w:t>
      </w:r>
    </w:p>
    <w:p>
      <w:pPr>
        <w:pStyle w:val="Heading2"/>
      </w:pPr>
      <w:r>
        <w:t xml:space="preserve">5.2 Terminology overload: “Product Catalog”</w:t>
      </w:r>
    </w:p>
    <w:p>
      <w:pPr>
        <w:spacing w:after="140"/>
        <w:jc w:val="both"/>
      </w:pPr>
      <w:r>
        <w:t xml:space="preserve">“Product Catalog” denotes two different things: a public marketing showcase of JovStack’s modules, and an in-dashboard list of products a user can access. Using one term for both a marketing artefact and an entitlement surface invites confusion in the data model and the UI. The two concepts should be named and specified distinctly.</w:t>
      </w:r>
    </w:p>
    <w:p>
      <w:pPr>
        <w:pStyle w:val="Heading2"/>
      </w:pPr>
      <w:r>
        <w:t xml:space="preserve">5.3 Scope creep candidates</w:t>
      </w:r>
    </w:p>
    <w:p>
      <w:pPr>
        <w:spacing w:after="140"/>
        <w:jc w:val="both"/>
      </w:pPr>
      <w:r>
        <w:t xml:space="preserve">Custom domains (FR-608) and the broader administrative pricing engine are valuable but heavy for an MVP whose core builder capability is not yet specified. Custom domains in particular introduce DNS, certificate provisioning and edge-routing work that is disproportionate to early value. These items are candidates for deferral until the core path is proven; if retained, they should be specified with their full technical implications rather than as single lines.</w:t>
      </w:r>
    </w:p>
    <w:p>
      <w:pPr>
        <w:pStyle w:val="Heading1"/>
      </w:pPr>
      <w:r>
        <w:t xml:space="preserve">6. Cross-Document Consistency Findings</w:t>
      </w:r>
    </w:p>
    <w:p>
      <w:pPr>
        <w:spacing w:after="140"/>
        <w:jc w:val="both"/>
      </w:pPr>
      <w:r>
        <w:t xml:space="preserve">The following inconsistencies were identified while reconciling the three artefacts. They are presented for the authors’ attention; no source document has been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60"/>
        <w:gridCol w:w="1900"/>
        <w:gridCol w:w="900"/>
      </w:tblGrid>
      <w:tr>
        <w:trPr>
          <w:tblHeader/>
        </w:trPr>
        <w:tc>
          <w:tcPr>
            <w:tcW w:type="dxa" w:w="9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ID</w:t>
            </w:r>
          </w:p>
        </w:tc>
        <w:tc>
          <w:tcPr>
            <w:tcW w:type="dxa" w:w="24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Area</w:t>
            </w:r>
          </w:p>
        </w:tc>
        <w:tc>
          <w:tcPr>
            <w:tcW w:type="dxa" w:w="326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Inconsistency Observed</w:t>
            </w:r>
          </w:p>
        </w:tc>
        <w:tc>
          <w:tcPr>
            <w:tcW w:type="dxa" w:w="19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Source Conflict</w:t>
            </w:r>
          </w:p>
        </w:tc>
        <w:tc>
          <w:tcPr>
            <w:tcW w:type="dxa" w:w="9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Sev.</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CX-01</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MVP scope of the Website Builder</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PRD positions the Website Builder as the MVP and lists Template Selection, Content Editing and Website Publishing as in-scope. The Master Context and FRD defer the Website Builder to a “Next Phase” and the FRD contains no Website Builder requirements at all.</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PRD §5.1 vs Master Context §9 / FRD</w:t>
            </w:r>
          </w:p>
        </w:tc>
        <w:tc>
          <w:tcPr>
            <w:tcW w:type="dxa" w:w="900"/>
            <w:tcBorders>
              <w:top w:val="single" w:color="C9CDD6" w:sz="1"/>
              <w:left w:val="single" w:color="C9CDD6" w:sz="1"/>
              <w:bottom w:val="single" w:color="C9CDD6" w:sz="1"/>
              <w:right w:val="single" w:color="C9CDD6" w:sz="1"/>
            </w:tcBorders>
            <w:shd w:fill="C0392B" w:val="clear"/>
            <w:tcMar>
              <w:top w:type="dxa" w:w="70"/>
              <w:left w:type="dxa" w:w="110"/>
              <w:bottom w:type="dxa" w:w="70"/>
              <w:right w:type="dxa" w:w="110"/>
            </w:tcMar>
            <w:vAlign w:val="center"/>
          </w:tcPr>
          <w:p>
            <w:pPr>
              <w:jc w:val="center"/>
            </w:pPr>
            <w:r>
              <w:rPr>
                <w:b/>
                <w:bCs/>
                <w:color w:val="FFFFFF"/>
                <w:sz w:val="18"/>
                <w:szCs w:val="18"/>
              </w:rPr>
              <w:t xml:space="preserve">Critical</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CX-02</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Product catalog contents</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FRD FR-003 states the catalog displays Website Builder, ERP and Payment Gateway (three products). The Master Context and PRD describe four modules including CRM.</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FRD FR-003 vs Master Context §8</w:t>
            </w:r>
          </w:p>
        </w:tc>
        <w:tc>
          <w:tcPr>
            <w:tcW w:type="dxa" w:w="900"/>
            <w:tcBorders>
              <w:top w:val="single" w:color="C9CDD6" w:sz="1"/>
              <w:left w:val="single" w:color="C9CDD6" w:sz="1"/>
              <w:bottom w:val="single" w:color="C9CDD6" w:sz="1"/>
              <w:right w:val="single" w:color="C9CDD6" w:sz="1"/>
            </w:tcBorders>
            <w:shd w:fill="C9A227" w:val="clear"/>
            <w:tcMar>
              <w:top w:type="dxa" w:w="70"/>
              <w:left w:type="dxa" w:w="110"/>
              <w:bottom w:type="dxa" w:w="70"/>
              <w:right w:type="dxa" w:w="110"/>
            </w:tcMar>
            <w:vAlign w:val="center"/>
          </w:tcPr>
          <w:p>
            <w:pPr>
              <w:jc w:val="center"/>
            </w:pPr>
            <w:r>
              <w:rPr>
                <w:b/>
                <w:bCs/>
                <w:color w:val="FFFFFF"/>
                <w:sz w:val="18"/>
                <w:szCs w:val="18"/>
              </w:rPr>
              <w:t xml:space="preserve">Medium</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CX-03</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Requirement numbering</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Functional requirement IDs jump from FR-605 to FR-608; FR-606 and FR-607 are undefined in both the Master Context and the FRD.</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Master Context §11 / FRD §7</w:t>
            </w:r>
          </w:p>
        </w:tc>
        <w:tc>
          <w:tcPr>
            <w:tcW w:type="dxa" w:w="900"/>
            <w:tcBorders>
              <w:top w:val="single" w:color="C9CDD6" w:sz="1"/>
              <w:left w:val="single" w:color="C9CDD6" w:sz="1"/>
              <w:bottom w:val="single" w:color="C9CDD6" w:sz="1"/>
              <w:right w:val="single" w:color="C9CDD6" w:sz="1"/>
            </w:tcBorders>
            <w:shd w:fill="5A6172" w:val="clear"/>
            <w:tcMar>
              <w:top w:type="dxa" w:w="70"/>
              <w:left w:type="dxa" w:w="110"/>
              <w:bottom w:type="dxa" w:w="70"/>
              <w:right w:type="dxa" w:w="110"/>
            </w:tcMar>
            <w:vAlign w:val="center"/>
          </w:tcPr>
          <w:p>
            <w:pPr>
              <w:jc w:val="center"/>
            </w:pPr>
            <w:r>
              <w:rPr>
                <w:b/>
                <w:bCs/>
                <w:color w:val="FFFFFF"/>
                <w:sz w:val="18"/>
                <w:szCs w:val="18"/>
              </w:rPr>
              <w:t xml:space="preserve">Low</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CX-04</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Subscription vs. pricing</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“Subscription Management” is named as a Platform Core service and the model is Freemium, yet FR-701–707 cover only viewing and admin maintenance of plans. No requirement allows a user to subscribe, upgrade, downgrade, or be billed.</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Master Context §8 vs FRD §8</w:t>
            </w:r>
          </w:p>
        </w:tc>
        <w:tc>
          <w:tcPr>
            <w:tcW w:type="dxa" w:w="900"/>
            <w:tcBorders>
              <w:top w:val="single" w:color="C9CDD6" w:sz="1"/>
              <w:left w:val="single" w:color="C9CDD6" w:sz="1"/>
              <w:bottom w:val="single" w:color="C9CDD6" w:sz="1"/>
              <w:right w:val="single" w:color="C9CDD6" w:sz="1"/>
            </w:tcBorders>
            <w:shd w:fill="D9822B" w:val="clear"/>
            <w:tcMar>
              <w:top w:type="dxa" w:w="70"/>
              <w:left w:type="dxa" w:w="110"/>
              <w:bottom w:type="dxa" w:w="70"/>
              <w:right w:type="dxa" w:w="110"/>
            </w:tcMar>
            <w:vAlign w:val="center"/>
          </w:tcPr>
          <w:p>
            <w:pPr>
              <w:jc w:val="center"/>
            </w:pPr>
            <w:r>
              <w:rPr>
                <w:b/>
                <w:bCs/>
                <w:color w:val="FFFFFF"/>
                <w:sz w:val="18"/>
                <w:szCs w:val="18"/>
              </w:rPr>
              <w:t xml:space="preserve">High</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CX-05</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Free plan deliverability</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The Free plan advertises “1 Website” on a JovStack subdomain, but no functional requirement in this version provides website creation or publishing, so the advertised plan cannot be fulfilled by the specified build.</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Master Context §6 vs FRD</w:t>
            </w:r>
          </w:p>
        </w:tc>
        <w:tc>
          <w:tcPr>
            <w:tcW w:type="dxa" w:w="900"/>
            <w:tcBorders>
              <w:top w:val="single" w:color="C9CDD6" w:sz="1"/>
              <w:left w:val="single" w:color="C9CDD6" w:sz="1"/>
              <w:bottom w:val="single" w:color="C9CDD6" w:sz="1"/>
              <w:right w:val="single" w:color="C9CDD6" w:sz="1"/>
            </w:tcBorders>
            <w:shd w:fill="D9822B" w:val="clear"/>
            <w:tcMar>
              <w:top w:type="dxa" w:w="70"/>
              <w:left w:type="dxa" w:w="110"/>
              <w:bottom w:type="dxa" w:w="70"/>
              <w:right w:type="dxa" w:w="110"/>
            </w:tcMar>
            <w:vAlign w:val="center"/>
          </w:tcPr>
          <w:p>
            <w:pPr>
              <w:jc w:val="center"/>
            </w:pPr>
            <w:r>
              <w:rPr>
                <w:b/>
                <w:bCs/>
                <w:color w:val="FFFFFF"/>
                <w:sz w:val="18"/>
                <w:szCs w:val="18"/>
              </w:rPr>
              <w:t xml:space="preserve">High</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CX-06</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Custom domain placement</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FR-608 (Custom Domain) sits in the parent core, but custom domains are not referenced in the PRD MVP scope and no plan-tier entitlement (Free vs Pro) is assigned to the feature.</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FRD FR-608 vs PRD §5.1</w:t>
            </w:r>
          </w:p>
        </w:tc>
        <w:tc>
          <w:tcPr>
            <w:tcW w:type="dxa" w:w="900"/>
            <w:tcBorders>
              <w:top w:val="single" w:color="C9CDD6" w:sz="1"/>
              <w:left w:val="single" w:color="C9CDD6" w:sz="1"/>
              <w:bottom w:val="single" w:color="C9CDD6" w:sz="1"/>
              <w:right w:val="single" w:color="C9CDD6" w:sz="1"/>
            </w:tcBorders>
            <w:shd w:fill="C9A227" w:val="clear"/>
            <w:tcMar>
              <w:top w:type="dxa" w:w="70"/>
              <w:left w:type="dxa" w:w="110"/>
              <w:bottom w:type="dxa" w:w="70"/>
              <w:right w:type="dxa" w:w="110"/>
            </w:tcMar>
            <w:vAlign w:val="center"/>
          </w:tcPr>
          <w:p>
            <w:pPr>
              <w:jc w:val="center"/>
            </w:pPr>
            <w:r>
              <w:rPr>
                <w:b/>
                <w:bCs/>
                <w:color w:val="FFFFFF"/>
                <w:sz w:val="18"/>
                <w:szCs w:val="18"/>
              </w:rPr>
              <w:t xml:space="preserve">Medium</w:t>
            </w:r>
          </w:p>
        </w:tc>
      </w:tr>
      <w:tr>
        <w:tc>
          <w:tcPr>
            <w:tcW w:type="dxa" w:w="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CX-07</w:t>
            </w:r>
          </w:p>
        </w:tc>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Administrator persona</w:t>
            </w:r>
          </w:p>
        </w:tc>
        <w:tc>
          <w:tcPr>
            <w:tcW w:type="dxa" w:w="32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The FRD defines Administration functions (FR-501–504), but neither the PRD target-user list nor the Master Context defines a platform-operator / administrator persona or its authority boundary.</w:t>
            </w:r>
          </w:p>
        </w:tc>
        <w:tc>
          <w:tcPr>
            <w:tcW w:type="dxa" w:w="19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FRD §6 vs PRD §4</w:t>
            </w:r>
          </w:p>
        </w:tc>
        <w:tc>
          <w:tcPr>
            <w:tcW w:type="dxa" w:w="900"/>
            <w:tcBorders>
              <w:top w:val="single" w:color="C9CDD6" w:sz="1"/>
              <w:left w:val="single" w:color="C9CDD6" w:sz="1"/>
              <w:bottom w:val="single" w:color="C9CDD6" w:sz="1"/>
              <w:right w:val="single" w:color="C9CDD6" w:sz="1"/>
            </w:tcBorders>
            <w:shd w:fill="C9A227" w:val="clear"/>
            <w:tcMar>
              <w:top w:type="dxa" w:w="70"/>
              <w:left w:type="dxa" w:w="110"/>
              <w:bottom w:type="dxa" w:w="70"/>
              <w:right w:type="dxa" w:w="110"/>
            </w:tcMar>
            <w:vAlign w:val="center"/>
          </w:tcPr>
          <w:p>
            <w:pPr>
              <w:jc w:val="center"/>
            </w:pPr>
            <w:r>
              <w:rPr>
                <w:b/>
                <w:bCs/>
                <w:color w:val="FFFFFF"/>
                <w:sz w:val="18"/>
                <w:szCs w:val="18"/>
              </w:rPr>
              <w:t xml:space="preserve">Medium</w:t>
            </w:r>
          </w:p>
        </w:tc>
      </w:tr>
    </w:tbl>
    <w:p>
      <w:pPr>
        <w:pStyle w:val="Heading1"/>
      </w:pPr>
      <w:r>
        <w:t xml:space="preserve">7. Findings — Architectural Soundness</w:t>
      </w:r>
    </w:p>
    <w:p>
      <w:pPr>
        <w:pStyle w:val="Heading2"/>
      </w:pPr>
      <w:r>
        <w:t xml:space="preserve">7.1 Overall direction</w:t>
      </w:r>
    </w:p>
    <w:p>
      <w:pPr>
        <w:spacing w:after="140"/>
        <w:jc w:val="both"/>
      </w:pPr>
      <w:r>
        <w:t xml:space="preserve">The chosen stack — Next.js and TypeScript on the front end, NestJS and TypeScript on the back end, PostgreSQL with Prisma, Docker and GitHub Actions — is modern, coherent and well-suited to both a production trajectory and a portfolio demonstration. The “Platform Core plus product modules” framing is a sound basis for a modular monolith that can later decompose into services. Deferring Redis, Kubernetes and a cloud target until after MVP is a reasonable sequencing decision.</w:t>
      </w:r>
    </w:p>
    <w:p>
      <w:pPr>
        <w:pStyle w:val="Heading2"/>
      </w:pPr>
      <w:r>
        <w:t xml:space="preserve">7.2 Tenant isolation must be decided before the data model</w:t>
      </w:r>
    </w:p>
    <w:p>
      <w:pPr>
        <w:spacing w:after="140"/>
        <w:jc w:val="both"/>
      </w:pPr>
      <w:r>
        <w:t xml:space="preserve">The documents declare a multi-tenant architecture but do not select an isolation model. The choice between a shared schema with a tenant key, a schema-per-tenant approach, and a database-per-tenant approach is foundational: it constrains the ERD, the access layer and the security model, and it is expensive to change later. With PostgreSQL and Prisma specifically, row-level security typically requires raw SQL or extensions because Prisma does not enforce it natively; this should be acknowledged and designed for. The isolation decision should be made and documented before the ERD phase begins.</w:t>
      </w:r>
    </w:p>
    <w:p>
      <w:pPr>
        <w:pStyle w:val="Heading2"/>
      </w:pPr>
      <w:r>
        <w:t xml:space="preserve">7.3 Membership, roles and authorization are missing</w:t>
      </w:r>
    </w:p>
    <w:p>
      <w:pPr>
        <w:spacing w:after="140"/>
        <w:jc w:val="both"/>
      </w:pPr>
      <w:r>
        <w:t xml:space="preserve">The model “one user, many organizations; each organization, many products” implies organization membership and, almost certainly, multiple users per organization in time. Yet there are no requirements for membership, invitations, owner-versus-member roles, or per-tenant authorization. “Switch Organization” presupposes this machinery without defining it. A role and authorization model is a prerequisite, not an enhancement, for a multi-tenant platform and should be specified alongside the data model.</w:t>
      </w:r>
    </w:p>
    <w:p>
      <w:pPr>
        <w:pStyle w:val="Heading2"/>
      </w:pPr>
      <w:r>
        <w:t xml:space="preserve">7.4 Serving published sites and tenant routing</w:t>
      </w:r>
    </w:p>
    <w:p>
      <w:pPr>
        <w:spacing w:after="140"/>
        <w:jc w:val="both"/>
      </w:pPr>
      <w:r>
        <w:t xml:space="preserve">The central technical question of a website builder — how a published tenant site is rendered and served — is not addressed. Subdomain tenancy (for example, tokobudi.jovstack.app) requires wildcard subdomain routing, and any custom-domain support requires domain verification and automated TLS. These are architecturally material and should be captured as explicit design work if the builder is brought into the MVP.</w:t>
      </w:r>
    </w:p>
    <w:p>
      <w:pPr>
        <w:pStyle w:val="Heading2"/>
      </w:pPr>
      <w:r>
        <w:t xml:space="preserve">7.5 Deployment model</w:t>
      </w:r>
    </w:p>
    <w:p>
      <w:pPr>
        <w:spacing w:after="140"/>
        <w:jc w:val="both"/>
      </w:pPr>
      <w:r>
        <w:t xml:space="preserve">For an initial release and a portfolio artefact, a modular monolith is preferable to a microservices topology: it preserves the modular boundaries already described while minimising operational overhead. Stating this decision explicitly — modular monolith first, service extraction later — would strengthen the architecture narrative and demonstrate deliberate trade-off reasoning.</w:t>
      </w:r>
    </w:p>
    <w:p>
      <w:pPr>
        <w:pStyle w:val="Heading1"/>
      </w:pPr>
      <w:r>
        <w:t xml:space="preserve">8. Risk Register and Action Plan</w:t>
      </w:r>
    </w:p>
    <w:p>
      <w:pPr>
        <w:pStyle w:val="Heading2"/>
      </w:pPr>
      <w:r>
        <w:t xml:space="preserve">8.1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700"/>
        <w:gridCol w:w="1500"/>
        <w:gridCol w:w="3340"/>
      </w:tblGrid>
      <w:tr>
        <w:trPr>
          <w:tblHeader/>
        </w:trPr>
        <w:tc>
          <w:tcPr>
            <w:tcW w:type="dxa" w:w="82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ID</w:t>
            </w:r>
          </w:p>
        </w:tc>
        <w:tc>
          <w:tcPr>
            <w:tcW w:type="dxa" w:w="37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Risk</w:t>
            </w:r>
          </w:p>
        </w:tc>
        <w:tc>
          <w:tcPr>
            <w:tcW w:type="dxa" w:w="15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Exposure</w:t>
            </w:r>
          </w:p>
        </w:tc>
        <w:tc>
          <w:tcPr>
            <w:tcW w:type="dxa" w:w="334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Recommended Response</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R1</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MVP delivers the parent platform and an admin pricing panel but not the value-bearing product (the website builder), so the core value hypothesis is never validated with users.</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C0392B"/>
                <w:sz w:val="18"/>
                <w:szCs w:val="18"/>
              </w:rPr>
              <w:t xml:space="preserve">High</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Re-baseline the MVP around a thin but complete “register → create site → publish on subdomain” path; treat the parent marketing site as supporting scope.</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R2</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Tenant data-isolation model is unresolved before data modelling, risking expensive rework once the ERD and access layer are built.</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C0392B"/>
                <w:sz w:val="18"/>
                <w:szCs w:val="18"/>
              </w:rPr>
              <w:t xml:space="preserve">High</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Decide the isolation pattern (shared-schema with tenant key vs. schema-per-tenant) and confirm Prisma/PostgreSQL row-level-security approach before the ERD phase.</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R3</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Organization membership, roles and invitations are unspecified, undermining the stated multi-tenant model (one user, many organizations).</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C0392B"/>
                <w:sz w:val="18"/>
                <w:szCs w:val="18"/>
              </w:rPr>
              <w:t xml:space="preserve">High</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Add a membership and RBAC requirement set (owner / member, invitation lifecycle, per-tenant authorization) prior to development.</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R4</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Requirements lack acceptance criteria, actors and priority, so they cannot be estimated or tested reliably and sprint planning will be unstable.</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D9822B"/>
                <w:sz w:val="18"/>
                <w:szCs w:val="18"/>
              </w:rPr>
              <w:t xml:space="preserve">Medium</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Elevate each FR with actor, preconditions, acceptance criteria and a MoSCoW priority before Sprint 1.</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R5</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No NFRs for a platform described as “production-grade,” especially tenant isolation, security, performance and availability.</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D9822B"/>
                <w:sz w:val="18"/>
                <w:szCs w:val="18"/>
              </w:rPr>
              <w:t xml:space="preserve">Medium</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Author the NFR set in the next phase, leading with security and multi-tenant isolation targets.</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R6</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Custom-domain and subdomain serving introduce DNS, TLS and edge-routing complexity disproportionate to MVP value.</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D9822B"/>
                <w:sz w:val="18"/>
                <w:szCs w:val="18"/>
              </w:rPr>
              <w:t xml:space="preserve">Medium</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Defer custom domains beyond MVP; specify wildcard-subdomain routing and automated TLS as explicit architecture work if retained.</w:t>
            </w:r>
          </w:p>
        </w:tc>
      </w:tr>
      <w:tr>
        <w:tc>
          <w:tcPr>
            <w:tcW w:type="dxa" w:w="82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R7</w:t>
            </w:r>
          </w:p>
        </w:tc>
        <w:tc>
          <w:tcPr>
            <w:tcW w:type="dxa" w:w="37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The platform’s value proposition is customer-data ownership, yet there are no consent, privacy, retention or account-deletion requirements.</w:t>
            </w:r>
          </w:p>
        </w:tc>
        <w:tc>
          <w:tcPr>
            <w:tcW w:type="dxa" w:w="15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pPr>
              <w:jc w:val="center"/>
            </w:pPr>
            <w:r>
              <w:rPr>
                <w:b/>
                <w:bCs/>
                <w:color w:val="D9822B"/>
                <w:sz w:val="18"/>
                <w:szCs w:val="18"/>
              </w:rPr>
              <w:t xml:space="preserve">Medium</w:t>
            </w:r>
          </w:p>
        </w:tc>
        <w:tc>
          <w:tcPr>
            <w:tcW w:type="dxa" w:w="334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Add data-protection requirements (consent capture, retention, export and deletion) aligned to the data-ownership promise.</w:t>
            </w:r>
          </w:p>
        </w:tc>
      </w:tr>
    </w:tbl>
    <w:p>
      <w:pPr>
        <w:pStyle w:val="Heading2"/>
      </w:pPr>
      <w:r>
        <w:t xml:space="preserve">8.2 Prioritized action plan</w:t>
      </w:r>
    </w:p>
    <w:p>
      <w:pPr>
        <w:spacing w:after="140"/>
        <w:jc w:val="both"/>
      </w:pPr>
      <w:r>
        <w:t xml:space="preserve">The following sequence resolves the findings in dependency order and aligns with the project’s declared next steps (NFRs, domain model, architecture, ERD, API and UI/UX).</w:t>
      </w:r>
    </w:p>
    <w:p>
      <w:pPr>
        <w:pStyle w:val="ListParagraph"/>
        <w:numPr>
          <w:ilvl w:val="0"/>
          <w:numId w:val="3"/>
        </w:numPr>
        <w:spacing w:after="90"/>
      </w:pPr>
      <w:r>
        <w:t xml:space="preserve">Resolve the MVP scope contradiction (CX-01): confirm whether the website builder is in or out of the MVP, and re-baseline the in-scope requirements accordingly.</w:t>
      </w:r>
    </w:p>
    <w:p>
      <w:pPr>
        <w:pStyle w:val="ListParagraph"/>
        <w:numPr>
          <w:ilvl w:val="0"/>
          <w:numId w:val="3"/>
        </w:numPr>
        <w:spacing w:after="90"/>
      </w:pPr>
      <w:r>
        <w:t xml:space="preserve">Decide and document the tenant data-isolation model (R2) so it can gate the ERD.</w:t>
      </w:r>
    </w:p>
    <w:p>
      <w:pPr>
        <w:pStyle w:val="ListParagraph"/>
        <w:numPr>
          <w:ilvl w:val="0"/>
          <w:numId w:val="3"/>
        </w:numPr>
        <w:spacing w:after="90"/>
      </w:pPr>
      <w:r>
        <w:t xml:space="preserve">Specify the multi-tenant foundations: organization membership, invitations, roles and per-tenant authorization (R3, §7.3).</w:t>
      </w:r>
    </w:p>
    <w:p>
      <w:pPr>
        <w:pStyle w:val="ListParagraph"/>
        <w:numPr>
          <w:ilvl w:val="0"/>
          <w:numId w:val="3"/>
        </w:numPr>
        <w:spacing w:after="90"/>
      </w:pPr>
      <w:r>
        <w:t xml:space="preserve">Elevate in-scope functional requirements to specification depth with acceptance criteria and MoSCoW priority (§4.1).</w:t>
      </w:r>
    </w:p>
    <w:p>
      <w:pPr>
        <w:pStyle w:val="ListParagraph"/>
        <w:numPr>
          <w:ilvl w:val="0"/>
          <w:numId w:val="3"/>
        </w:numPr>
        <w:spacing w:after="90"/>
      </w:pPr>
      <w:r>
        <w:t xml:space="preserve">Add the subscribe-and-billing path and clarify free-versus-paid entitlements, including where custom domains sit (CX-04, CX-06).</w:t>
      </w:r>
    </w:p>
    <w:p>
      <w:pPr>
        <w:pStyle w:val="ListParagraph"/>
        <w:numPr>
          <w:ilvl w:val="0"/>
          <w:numId w:val="3"/>
        </w:numPr>
        <w:spacing w:after="90"/>
      </w:pPr>
      <w:r>
        <w:t xml:space="preserve">Author the NFR set, leading with security, tenant isolation, performance and availability (R5).</w:t>
      </w:r>
    </w:p>
    <w:p>
      <w:pPr>
        <w:pStyle w:val="ListParagraph"/>
        <w:numPr>
          <w:ilvl w:val="0"/>
          <w:numId w:val="3"/>
        </w:numPr>
        <w:spacing w:after="90"/>
      </w:pPr>
      <w:r>
        <w:t xml:space="preserve">Complete the account and data lifecycle (verification, deletion, consent, retention) in line with the data-ownership promise (§4.2, R7).</w:t>
      </w:r>
    </w:p>
    <w:p>
      <w:pPr>
        <w:pStyle w:val="ListParagraph"/>
        <w:numPr>
          <w:ilvl w:val="0"/>
          <w:numId w:val="3"/>
        </w:numPr>
        <w:spacing w:after="90"/>
      </w:pPr>
      <w:r>
        <w:t xml:space="preserve">Correct the documentation housekeeping items: FR numbering gap (CX-03) and catalogue product list (CX-02), and separate the two senses of “product catalog” (§5.2).</w:t>
      </w:r>
    </w:p>
    <w:p>
      <w:pPr>
        <w:pStyle w:val="Heading1"/>
      </w:pPr>
      <w:r>
        <w:t xml:space="preserve">9. Functional Coverage Map</w:t>
      </w:r>
    </w:p>
    <w:p>
      <w:pPr>
        <w:spacing w:after="140"/>
        <w:jc w:val="both"/>
      </w:pPr>
      <w:r>
        <w:t xml:space="preserve">The table maps the current functional inventory to capability groups and notes the principal gap in each. It is a coverage view, not a scoring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Capability Group</w:t>
            </w:r>
          </w:p>
        </w:tc>
        <w:tc>
          <w:tcPr>
            <w:tcW w:type="dxa" w:w="230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FR Coverage</w:t>
            </w:r>
          </w:p>
        </w:tc>
        <w:tc>
          <w:tcPr>
            <w:tcW w:type="dxa" w:w="4660"/>
            <w:tcBorders>
              <w:top w:val="single" w:color="C9CDD6" w:sz="1"/>
              <w:left w:val="single" w:color="C9CDD6" w:sz="1"/>
              <w:bottom w:val="single" w:color="C9CDD6" w:sz="1"/>
              <w:right w:val="single" w:color="C9CDD6" w:sz="1"/>
            </w:tcBorders>
            <w:shd w:fill="2E2740" w:val="clear"/>
            <w:tcMar>
              <w:top w:type="dxa" w:w="70"/>
              <w:left w:type="dxa" w:w="110"/>
              <w:bottom w:type="dxa" w:w="70"/>
              <w:right w:type="dxa" w:w="110"/>
            </w:tcMar>
            <w:vAlign w:val="center"/>
          </w:tcPr>
          <w:p>
            <w:r>
              <w:rPr>
                <w:b/>
                <w:bCs/>
                <w:color w:val="FFFFFF"/>
                <w:sz w:val="19"/>
                <w:szCs w:val="19"/>
              </w:rPr>
              <w:t xml:space="preserve">Assessment</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Public website</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FR-001 – FR-006</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Adequate at MVP depth; contact form needs anti-spam and routing detail.</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Authentication</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FR-101 – FR-104</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Core present; missing email verification, account deletion and (optional) MFA.</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User profile</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FR-201 – FR-203</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Sufficient for MVP.</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Dashboard</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FR-301 – FR-302</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Thin; “activities” and “product access” need definition once entitlements exist.</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Product catalog</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FR-401 – FR-402</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Term overloaded — marketing showcase vs. dashboard entitlement list should be separated.</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Administration</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FR-501 – FR-504</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Admin persona and authority boundary undefined (see CX-07).</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Organization mgmt.</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FR-601 – FR-608</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Lifecycle present but no membership, roles, invitations, or soft-delete cascade policy.</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Pricing &amp; subscription</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FR-701 – FR-707</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Admin/plan maintenance only; no subscribe / billing path (see CX-04).</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Website builder</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None</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Absent from this FRD despite being the PRD MVP (see CX-01) — the headline gap.</w:t>
            </w:r>
          </w:p>
        </w:tc>
      </w:tr>
      <w:tr>
        <w:tc>
          <w:tcPr>
            <w:tcW w:type="dxa" w:w="24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bCs/>
                <w:color w:val="1F2430"/>
                <w:sz w:val="19"/>
                <w:szCs w:val="19"/>
              </w:rPr>
              <w:t xml:space="preserve">Multi-tenant security</w:t>
            </w:r>
          </w:p>
        </w:tc>
        <w:tc>
          <w:tcPr>
            <w:tcW w:type="dxa" w:w="230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None</w:t>
            </w:r>
          </w:p>
        </w:tc>
        <w:tc>
          <w:tcPr>
            <w:tcW w:type="dxa" w:w="4660"/>
            <w:tcBorders>
              <w:top w:val="single" w:color="C9CDD6" w:sz="1"/>
              <w:left w:val="single" w:color="C9CDD6" w:sz="1"/>
              <w:bottom w:val="single" w:color="C9CDD6" w:sz="1"/>
              <w:right w:val="single" w:color="C9CDD6" w:sz="1"/>
            </w:tcBorders>
            <w:tcMar>
              <w:top w:type="dxa" w:w="70"/>
              <w:left w:type="dxa" w:w="110"/>
              <w:bottom w:type="dxa" w:w="70"/>
              <w:right w:type="dxa" w:w="110"/>
            </w:tcMar>
            <w:vAlign w:val="center"/>
          </w:tcPr>
          <w:p>
            <w:r>
              <w:rPr>
                <w:b w:val="false"/>
                <w:bCs w:val="false"/>
                <w:color w:val="1F2430"/>
                <w:sz w:val="19"/>
                <w:szCs w:val="19"/>
              </w:rPr>
              <w:t xml:space="preserve">No isolation, RBAC or authorization requirements — mandatory for a multi-tenant SaaS.</w:t>
            </w:r>
          </w:p>
        </w:tc>
      </w:tr>
    </w:tbl>
    <w:p>
      <w:pPr>
        <w:pStyle w:val="Heading1"/>
      </w:pPr>
      <w:r>
        <w:t xml:space="preserve">10. Readiness View and Conclusion</w:t>
      </w:r>
    </w:p>
    <w:p>
      <w:pPr>
        <w:pStyle w:val="Heading2"/>
      </w:pPr>
      <w:r>
        <w:t xml:space="preserve">10.1 Internal go / no-go</w:t>
      </w:r>
    </w:p>
    <w:p>
      <w:pPr>
        <w:spacing w:after="140"/>
        <w:jc w:val="both"/>
      </w:pPr>
      <w:r>
        <w:t xml:space="preserve">The project is not yet ready to enter development, but it is close, and the outstanding items are well understood and addressable. The recommended gate is to clear the Critical and High findings — the MVP scope decision, tenant isolation, multi-tenant foundations, the subscribe path, and specification depth for the in-scope requirements — before Sprint 1. Once those are resolved, the remaining items can proceed in parallel with early development. A short re-baselining cycle is preferable to entering sprints on the current FRD, which would build a platform without its defining capability.</w:t>
      </w:r>
    </w:p>
    <w:p>
      <w:pPr>
        <w:pStyle w:val="Heading2"/>
      </w:pPr>
      <w:r>
        <w:t xml:space="preserve">10.2 Portfolio perspective</w:t>
      </w:r>
    </w:p>
    <w:p>
      <w:pPr>
        <w:spacing w:after="140"/>
        <w:jc w:val="both"/>
      </w:pPr>
      <w:r>
        <w:t xml:space="preserve">As a portfolio artefact the documentation set already demonstrates genuine strengths: a clear problem statement, a defensible business model, deliberate multi-tenant framing and an explicit SDLC flow. A reviewer assessing software-engineering and product maturity would, however, quickly notice the same gaps identified here — the scope contradiction, the absence of acceptance criteria, and the under-specified multi-tenant security model. Addressing them would convert a promising draft into a portfolio piece that evidences not only product thinking but also engineering rigour and architectural judgement. The single highest-leverage improvement on both fronts is the same: make the website builder a real, end-to-end slice of the MVP and specify the multi-tenant foundations beneath it.</w:t>
      </w:r>
    </w:p>
    <w:p>
      <w:pPr>
        <w:pStyle w:val="Heading2"/>
      </w:pPr>
      <w:r>
        <w:t xml:space="preserve">10.3 Conclusion</w:t>
      </w:r>
    </w:p>
    <w:p>
      <w:pPr>
        <w:spacing w:after="140"/>
        <w:jc w:val="both"/>
      </w:pPr>
      <w:r>
        <w:t xml:space="preserve">JovStack rests on a sound idea and a coherent architecture. The findings in this review are characteristic of an early draft and do not call the direction into question. Resolving the headline scope contradiction and establishing the multi-tenant foundations — isolation, membership, roles and authorization — will place the project on a firm footing for development and materially strengthen its value as a portfolio demonstration.</w:t>
      </w:r>
    </w:p>
    <w:p>
      <w:pPr>
        <w:pBdr>
          <w:top w:val="single" w:color="C9CDD6" w:sz="4" w:space="6"/>
        </w:pBdr>
        <w:spacing w:before="240"/>
      </w:pPr>
      <w:r>
        <w:rPr>
          <w:i/>
          <w:iCs/>
          <w:color w:val="5A6172"/>
          <w:sz w:val="18"/>
          <w:szCs w:val="18"/>
        </w:rPr>
        <w:t xml:space="preserve">End of review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172"/>
        <w:sz w:val="16"/>
        <w:szCs w:val="16"/>
      </w:rPr>
      <w:t xml:space="preserve">Version 1.0</w:t>
    </w:r>
    <w:r>
      <w:rPr>
        <w:color w:val="5A6172"/>
        <w:sz w:val="16"/>
        <w:szCs w:val="16"/>
      </w:rPr>
      <w:t xml:space="preserve">	Page </w:t>
    </w:r>
    <w:r>
      <w:rPr>
        <w:color w:val="5A6172"/>
        <w:sz w:val="16"/>
        <w:szCs w:val="16"/>
      </w:rPr>
      <w:fldChar w:fldCharType="begin"/>
      <w:instrText xml:space="preserve">PAGE</w:instrText>
      <w:fldChar w:fldCharType="separate"/>
      <w:fldChar w:fldCharType="end"/>
    </w:r>
    <w:r>
      <w:rPr>
        <w:color w:val="5A6172"/>
        <w:sz w:val="16"/>
        <w:szCs w:val="16"/>
      </w:rPr>
      <w:t xml:space="preserve"> of </w:t>
    </w:r>
    <w:r>
      <w:rPr>
        <w:color w:val="5A61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tabs>
        <w:tab w:val="right" w:pos="9360"/>
      </w:tabs>
    </w:pPr>
    <w:r>
      <w:rPr>
        <w:color w:val="5A6172"/>
        <w:sz w:val="16"/>
        <w:szCs w:val="16"/>
      </w:rPr>
      <w:t xml:space="preserve">JovStack — Requirements &amp; Architecture Review</w:t>
    </w:r>
    <w:r>
      <w:rPr>
        <w:color w:val="5A6172"/>
        <w:sz w:val="16"/>
        <w:szCs w:val="16"/>
      </w:rPr>
      <w:t xml:space="preserve">	Confidential / Issued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2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3FD1" w:sz="6" w:space="4"/>
      </w:pBdr>
      <w:spacing w:after="140" w:before="300"/>
      <w:outlineLvl w:val="0"/>
    </w:pPr>
    <w:rPr>
      <w:rFonts w:ascii="Arial" w:cs="Arial" w:eastAsia="Arial" w:hAnsi="Arial"/>
      <w:b/>
      <w:bCs/>
      <w:color w:val="6C3FD1"/>
      <w:sz w:val="28"/>
      <w:szCs w:val="28"/>
    </w:rPr>
  </w:style>
  <w:style w:type="paragraph" w:styleId="Heading2">
    <w:name w:val="Heading 2"/>
    <w:basedOn w:val="Normal"/>
    <w:next w:val="Normal"/>
    <w:qFormat/>
    <w:pPr>
      <w:spacing w:after="90" w:before="220"/>
      <w:outlineLvl w:val="1"/>
    </w:pPr>
    <w:rPr>
      <w:rFonts w:ascii="Arial" w:cs="Arial" w:eastAsia="Arial" w:hAnsi="Arial"/>
      <w:b/>
      <w:bCs/>
      <w:color w:val="1F2430"/>
      <w:sz w:val="23"/>
      <w:szCs w:val="23"/>
    </w:rPr>
  </w:style>
  <w:style w:type="paragraph" w:styleId="Heading3">
    <w:name w:val="Heading 3"/>
    <w:basedOn w:val="Normal"/>
    <w:next w:val="Normal"/>
    <w:qFormat/>
    <w:pPr>
      <w:spacing w:after="70" w:before="160"/>
      <w:outlineLvl w:val="2"/>
    </w:pPr>
    <w:rPr>
      <w:rFonts w:ascii="Arial" w:cs="Arial" w:eastAsia="Arial" w:hAnsi="Arial"/>
      <w:b/>
      <w:bCs/>
      <w:color w:val="5A617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JovStack Platform Requirements &amp; Architecture Review</dc:title>
  <dc:creator>Business Analysis Function</dc:creator>
  <cp:lastModifiedBy>Un-named</cp:lastModifiedBy>
  <cp:revision>1</cp:revision>
  <dcterms:created xsi:type="dcterms:W3CDTF">2026-05-30T07:01:57.054Z</dcterms:created>
  <dcterms:modified xsi:type="dcterms:W3CDTF">2026-05-30T07:01:57.055Z</dcterms:modified>
</cp:coreProperties>
</file>

<file path=docProps/custom.xml><?xml version="1.0" encoding="utf-8"?>
<Properties xmlns="http://schemas.openxmlformats.org/officeDocument/2006/custom-properties" xmlns:vt="http://schemas.openxmlformats.org/officeDocument/2006/docPropsVTypes"/>
</file>