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Windows 本地运行 Live2D 桌宠助手</w:t>
        <w:br/>
        <w:t>第一阶段技术架构与落地方案</w:t>
      </w:r>
    </w:p>
    <w:p>
      <w:pPr>
        <w:pStyle w:val="SubtitleCustom"/>
      </w:pPr>
      <w:r>
        <w:t>目标平台：Windows · 运行形态：本地优先 · 核心路线：Hermes Agent + Live2D/VTube Studio + 本地语音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1F4E78"/>
          <w:left w:val="single" w:sz="10" w:space="0" w:color="1F4E78"/>
          <w:bottom w:val="single" w:sz="10" w:space="0" w:color="1F4E78"/>
          <w:right w:val="single" w:sz="10" w:space="0" w:color="1F4E78"/>
          <w:insideH w:val="single" w:sz="10" w:space="0" w:color="1F4E78"/>
          <w:insideV w:val="single" w:sz="10" w:space="0" w:color="1F4E78"/>
        </w:tblBorders>
      </w:tblPr>
      <w:tblGrid>
        <w:gridCol w:w="9792"/>
      </w:tblGrid>
      <w:tr>
        <w:tc>
          <w:tcPr>
            <w:tcW w:type="dxa" w:w="9792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Title"/>
            </w:pPr>
            <w:r>
              <w:t>项目定位（第一阶段）</w:t>
            </w:r>
          </w:p>
          <w:p>
            <w:pPr>
              <w:spacing w:after="40"/>
            </w:pPr>
            <w:r>
              <w:rPr>
                <w:color w:val="FFFFFF"/>
                <w:sz w:val="20"/>
              </w:rPr>
              <w:t>• 先做出“可以一直开着”的桌宠助手，而不是一次性把所有 agent 功能做满。</w:t>
            </w:r>
          </w:p>
          <w:p>
            <w:pPr>
              <w:spacing w:after="40"/>
            </w:pPr>
            <w:r>
              <w:rPr>
                <w:color w:val="FFFFFF"/>
                <w:sz w:val="20"/>
              </w:rPr>
              <w:t>• 所有核心能力都以本地运行优先：本地大模型、本地语音识别、本地语音合成、本机桌面前台。</w:t>
            </w:r>
          </w:p>
          <w:p>
            <w:pPr>
              <w:spacing w:after="40"/>
            </w:pPr>
            <w:r>
              <w:rPr>
                <w:color w:val="FFFFFF"/>
                <w:sz w:val="20"/>
              </w:rPr>
              <w:t>• Hermes 作为长期成长型 agent 大脑；Live2D 负责角色表现；语音链路与桌面交互作为可替换模块。</w:t>
            </w:r>
          </w:p>
        </w:tc>
      </w:tr>
    </w:tbl>
    <w:p/>
    <w:p>
      <w:r>
        <w:rPr>
          <w:b/>
        </w:rPr>
        <w:t>适用硬件：RTX 4090 48GB VRAM + 64GB RAM。该配置足以在本地跑 Gemma 4 的 26B / 31B 级主模型、独立 embedding 模型，以及较强的本地 ASR/TTS。</w:t>
      </w:r>
      <w:r/>
    </w:p>
    <w:p>
      <w:r>
        <w:rPr>
          <w:b/>
        </w:rPr>
        <w:t>本文件目标：</w:t>
      </w:r>
      <w:r>
        <w:t>聚焦第一阶段的系统边界、技术选型、部署方案、模块职责、数据流、目录结构、实施顺序和验收口径。</w:t>
      </w:r>
    </w:p>
    <w:p>
      <w:pPr>
        <w:pStyle w:val="SectionHeading"/>
      </w:pPr>
      <w:r>
        <w:t>1. 第一阶段目标与边界</w:t>
      </w:r>
    </w:p>
    <w:p>
      <w:r>
        <w:rPr>
          <w:b/>
        </w:rPr>
        <w:t>阶段目标：</w:t>
      </w:r>
      <w:r>
        <w:t>在 Windows 上交付一个可长期常驻的桌宠式 AI 助手，具备 Live2D 角色表现、离线语音对话、Hermes 长期记忆/成长底座，以及少量高频桌面技能。</w:t>
      </w:r>
    </w:p>
    <w:p>
      <w:pPr>
        <w:pStyle w:val="ListBullet"/>
      </w:pPr>
      <w:r>
        <w:t>必须实现：Live2D 角色常驻、文本/语音对话、本地模型推理、Hermes 接管会话与记忆、基础情绪/状态切换。</w:t>
      </w:r>
    </w:p>
    <w:p>
      <w:pPr>
        <w:pStyle w:val="ListBullet"/>
      </w:pPr>
      <w:r>
        <w:t>应优先实现：提醒、剪贴板提问、截图提问、简单启动应用。</w:t>
      </w:r>
    </w:p>
    <w:p>
      <w:pPr>
        <w:pStyle w:val="ListBullet"/>
      </w:pPr>
      <w:r>
        <w:t>本阶段暂不强求：复杂系统自动化、无缝多模态感知、复杂编排、多角色协作、PersonaPlex 实时全双工语音。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406A8E"/>
          <w:left w:val="single" w:sz="10" w:space="0" w:color="406A8E"/>
          <w:bottom w:val="single" w:sz="10" w:space="0" w:color="406A8E"/>
          <w:right w:val="single" w:sz="10" w:space="0" w:color="406A8E"/>
          <w:insideH w:val="single" w:sz="10" w:space="0" w:color="406A8E"/>
          <w:insideV w:val="single" w:sz="10" w:space="0" w:color="406A8E"/>
        </w:tblBorders>
      </w:tblPr>
      <w:tblGrid>
        <w:gridCol w:w="9792"/>
      </w:tblGrid>
      <w:tr>
        <w:tc>
          <w:tcPr>
            <w:tcW w:type="dxa" w:w="9792"/>
            <w:shd w:fill="406A8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Title"/>
            </w:pPr>
            <w:r>
              <w:t>第一阶段交付标准</w:t>
            </w:r>
          </w:p>
          <w:p>
            <w:pPr>
              <w:spacing w:after="40"/>
            </w:pPr>
            <w:r>
              <w:rPr>
                <w:color w:val="FFFFFF"/>
                <w:sz w:val="20"/>
              </w:rPr>
              <w:t>• 桌宠能稳定常驻 4 小时以上，不崩溃、不明显泄漏显存。</w:t>
            </w:r>
          </w:p>
          <w:p>
            <w:pPr>
              <w:spacing w:after="40"/>
            </w:pPr>
            <w:r>
              <w:rPr>
                <w:color w:val="FFFFFF"/>
                <w:sz w:val="20"/>
              </w:rPr>
              <w:t>• 语音对话全链路可在本机完成，不依赖公网推理。</w:t>
            </w:r>
          </w:p>
          <w:p>
            <w:pPr>
              <w:spacing w:after="40"/>
            </w:pPr>
            <w:r>
              <w:rPr>
                <w:color w:val="FFFFFF"/>
                <w:sz w:val="20"/>
              </w:rPr>
              <w:t>• Hermes 能持续保存用户偏好、最近对话摘要、少量长期记忆。</w:t>
            </w:r>
          </w:p>
          <w:p>
            <w:pPr>
              <w:spacing w:after="40"/>
            </w:pPr>
            <w:r>
              <w:rPr>
                <w:color w:val="FFFFFF"/>
                <w:sz w:val="20"/>
              </w:rPr>
              <w:t>• 角色具备至少 5 个状态：idle、listening、thinking、speaking、error。</w:t>
            </w:r>
          </w:p>
        </w:tc>
      </w:tr>
    </w:tbl>
    <w:p/>
    <w:p>
      <w:pPr>
        <w:pStyle w:val="SectionHeading"/>
      </w:pPr>
      <w:r>
        <w:t>2. 第一阶段总体技术架构</w:t>
      </w:r>
    </w:p>
    <w:p>
      <w:r>
        <w:rPr>
          <w:b/>
        </w:rPr>
        <w:t>总体原则：</w:t>
      </w:r>
      <w:r>
        <w:t>前台、语音层、agent 大脑、桌面工具层解耦。这样第二阶段替换 PersonaPlex、改成自研 Live2D renderer 或切换模型时，不需要推翻整套系统。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0D7DE"/>
          <w:left w:val="single" w:sz="8" w:space="0" w:color="D0D7DE"/>
          <w:bottom w:val="single" w:sz="8" w:space="0" w:color="D0D7DE"/>
          <w:right w:val="single" w:sz="8" w:space="0" w:color="D0D7DE"/>
          <w:insideH w:val="single" w:sz="8" w:space="0" w:color="D0D7DE"/>
          <w:insideV w:val="single" w:sz="8" w:space="0" w:color="D0D7DE"/>
        </w:tblBorders>
      </w:tblPr>
      <w:tblGrid>
        <w:gridCol w:w="2736"/>
        <w:gridCol w:w="7056"/>
      </w:tblGrid>
      <w:tr>
        <w:trPr>
          <w:tblHeader w:val="true"/>
        </w:trPr>
        <w:tc>
          <w:tcPr>
            <w:tcW w:type="dxa" w:w="4896"/>
            <w:vAlign w:val="center"/>
            <w:shd w:fill="DCE6F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896"/>
            <w:vAlign w:val="center"/>
            <w:shd w:fill="DCE6F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>决策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Live2D 表现层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VTube Studio 承载 Live2D 模型、表情、动作与口型。优先使用其公开 API，而不是首版自写渲染器。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桌宠控制层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Electron + Node.js 控制器，负责状态机、悬浮 UI、快捷键、任务调度、日志和本地配置。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语音层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本地 ASR + 本地 TTS。首版以稳定、延迟可接受为先；第二阶段再考虑 PersonaPlex 式实时双工升级。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Agent 大脑层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Hermes Agent 作为本地服务运行，对外暴露 OpenAI 兼容接口，承接会话、记忆、技能和长期成长逻辑。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桌面工具层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截图、剪贴板、提醒、启动应用等本地技能，统一经安全白名单路由。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存储层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Hermes 自身记忆/会话/skills 存储 + 桌宠本地配置 + 轻量日志。</w:t>
            </w:r>
          </w:p>
        </w:tc>
      </w:tr>
    </w:tbl>
    <w:p/>
    <w:p>
      <w:r>
        <w:rPr>
          <w:b/>
        </w:rPr>
        <w:t>核心数据流：</w:t>
      </w:r>
      <w:r>
        <w:t>麦克风 → ASR → Hermes（记忆/决策/技能）→ 文本响应 → TTS → VTube Studio 驱动口型/表情；如需桌面动作，则 Hermes 通过本地工具路由器调用受限工具。</w:t>
      </w:r>
    </w:p>
    <w:p>
      <w:pPr>
        <w:pStyle w:val="SectionHeading"/>
      </w:pPr>
      <w:r>
        <w:t>3. 本地模型选型（基于 4090 48GB / 64GB RAM）</w:t>
      </w:r>
    </w:p>
    <w:p>
      <w:r>
        <w:rPr>
          <w:b/>
        </w:rPr>
        <w:t>建议采用“分模型负责制”，而不是一模通吃。</w:t>
      </w:r>
      <w:r>
        <w:t>桌宠助手对响应稳定性、上下文一致性、语音体验和资源占用敏感。更合理的做法是把主模型、嵌入模型、ASR、TTS 分开。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0D7DE"/>
          <w:left w:val="single" w:sz="8" w:space="0" w:color="D0D7DE"/>
          <w:bottom w:val="single" w:sz="8" w:space="0" w:color="D0D7DE"/>
          <w:right w:val="single" w:sz="8" w:space="0" w:color="D0D7DE"/>
          <w:insideH w:val="single" w:sz="8" w:space="0" w:color="D0D7DE"/>
          <w:insideV w:val="single" w:sz="8" w:space="0" w:color="D0D7DE"/>
        </w:tblBorders>
      </w:tblPr>
      <w:tblGrid>
        <w:gridCol w:w="2376"/>
        <w:gridCol w:w="2880"/>
        <w:gridCol w:w="5256"/>
      </w:tblGrid>
      <w:tr>
        <w:trPr>
          <w:tblHeader w:val="true"/>
        </w:trPr>
        <w:tc>
          <w:tcPr>
            <w:tcW w:type="dxa" w:w="3264"/>
            <w:shd w:fill="EAF2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>类别</w:t>
            </w:r>
          </w:p>
        </w:tc>
        <w:tc>
          <w:tcPr>
            <w:tcW w:type="dxa" w:w="3264"/>
            <w:shd w:fill="EAF2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>推荐</w:t>
            </w:r>
          </w:p>
        </w:tc>
        <w:tc>
          <w:tcPr>
            <w:tcW w:type="dxa" w:w="3264"/>
            <w:shd w:fill="EAF2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>原因与使用方式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主对话/Agent 模型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优先：Gemma 4 31B；低延迟备选：Gemma 4 26B</w:t>
            </w:r>
          </w:p>
        </w:tc>
        <w:tc>
          <w:tcPr>
            <w:tcW w:type="dxa" w:w="52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Hermes 后端主模型。Gemma 4 31B 适合作为高质量主对话模型；Gemma 4 26B A4B MoE 适合作为更低延迟备选。两者在你的硬件上都能本地部署。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轻量快速模型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Gemma 4 E4B</w:t>
            </w:r>
          </w:p>
        </w:tc>
        <w:tc>
          <w:tcPr>
            <w:tcW w:type="dxa" w:w="52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用于低延迟辅助任务、摘要、分类、工具前检查，降低主模型占用；如后续要强化工具调用，也可评估 FunctionGemma。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嵌入模型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BGE-M3 或 nomic-embed-text-v2-moe / nomic-embed-text</w:t>
            </w:r>
          </w:p>
        </w:tc>
        <w:tc>
          <w:tcPr>
            <w:tcW w:type="dxa" w:w="52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用于记忆检索、长期上下文召回。BGE-M3 与 nomic 系列都可本地跑。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ASR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faster-whisper large-v3 或 large-v3-turbo</w:t>
            </w:r>
          </w:p>
        </w:tc>
        <w:tc>
          <w:tcPr>
            <w:tcW w:type="dxa" w:w="52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首版优先稳定与精度；若追求更低延迟，可再下调模型或开启 VAD。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TTS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MeloTTS（中日英多语）或 Kokoro（英文优先）</w:t>
            </w:r>
          </w:p>
        </w:tc>
        <w:tc>
          <w:tcPr>
            <w:tcW w:type="dxa" w:w="52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需要本地、可控、延迟低。若主要中文/日文交互，优先 MeloTTS。</w:t>
            </w:r>
          </w:p>
        </w:tc>
      </w:tr>
    </w:tbl>
    <w:p/>
    <w:p>
      <w:r>
        <w:rPr>
          <w:b/>
        </w:rPr>
        <w:t>为什么主模型改为优先推荐 Gemma 4：Google 官方已发布 Gemma 4，包含 31B Dense、26B A4B MoE 以及 E2B / E4B 版本；Ollama 官方库也已提供 gemma4 标签，适合直接做本地优先部署。</w:t>
      </w:r>
      <w:r/>
    </w:p>
    <w:p>
      <w:r>
        <w:rPr>
          <w:b/>
        </w:rPr>
        <w:t>为什么不把语音层也强行塞进 Ollama：</w:t>
      </w:r>
      <w:r>
        <w:t>ASR/TTS 与实时音频编排和普通 chat completion 的运行时差异很大。首版建议把语音层独立部署，本地控制器只通过统一接口调用。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305F72"/>
          <w:left w:val="single" w:sz="10" w:space="0" w:color="305F72"/>
          <w:bottom w:val="single" w:sz="10" w:space="0" w:color="305F72"/>
          <w:right w:val="single" w:sz="10" w:space="0" w:color="305F72"/>
          <w:insideH w:val="single" w:sz="10" w:space="0" w:color="305F72"/>
          <w:insideV w:val="single" w:sz="10" w:space="0" w:color="305F72"/>
        </w:tblBorders>
      </w:tblPr>
      <w:tblGrid>
        <w:gridCol w:w="9792"/>
      </w:tblGrid>
      <w:tr>
        <w:tc>
          <w:tcPr>
            <w:tcW w:type="dxa" w:w="9792"/>
            <w:shd w:fill="305F7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Title"/>
            </w:pPr>
            <w:r>
              <w:t>推荐的首版本地模型组合</w:t>
              <w:br/>
              <w:t>• Hermes 主模型：Gemma 4 31B（主推），用于主对话、长期记忆整合与复杂决策。</w:t>
              <w:br/>
              <w:t>• Hermes 辅助模型：Gemma 4 26B（低延迟备选）或 Gemma 4 E4B（摘要、路由、轻任务）。</w:t>
              <w:br/>
              <w:t>• Embedding：BGE-M3；如果更看重现成 Ollama 兼容体验，可选 nomic-embed-text。</w:t>
              <w:br/>
              <w:t>• ASR：faster-whisper large-v3 或 turbo 版本。</w:t>
              <w:br/>
              <w:t>• TTS：MeloTTS 优先；英文桌宠可评估 Kokoro。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</w:tc>
      </w:tr>
    </w:tbl>
    <w:p/>
    <w:p>
      <w:pPr>
        <w:pStyle w:val="SectionHeading"/>
      </w:pPr>
      <w:r>
        <w:t>4. 部署方案（本地优先）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0D7DE"/>
          <w:left w:val="single" w:sz="8" w:space="0" w:color="D0D7DE"/>
          <w:bottom w:val="single" w:sz="8" w:space="0" w:color="D0D7DE"/>
          <w:right w:val="single" w:sz="8" w:space="0" w:color="D0D7DE"/>
          <w:insideH w:val="single" w:sz="8" w:space="0" w:color="D0D7DE"/>
          <w:insideV w:val="single" w:sz="8" w:space="0" w:color="D0D7DE"/>
        </w:tblBorders>
      </w:tblPr>
      <w:tblGrid>
        <w:gridCol w:w="2736"/>
        <w:gridCol w:w="7056"/>
      </w:tblGrid>
      <w:tr>
        <w:trPr>
          <w:tblHeader w:val="true"/>
        </w:trPr>
        <w:tc>
          <w:tcPr>
            <w:tcW w:type="dxa" w:w="4896"/>
            <w:vAlign w:val="center"/>
            <w:shd w:fill="DCE6F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896"/>
            <w:vAlign w:val="center"/>
            <w:shd w:fill="DCE6F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>决策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模型运行方式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推荐用本地 OpenAI 兼容推理服务作为 Hermes 上游，例如 Ollama 暴露兼容接口或其他本地推理服务；关键是 Hermes 只依赖统一 API，而不绑定某个推理栈。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Hermes 运行方式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Hermes 单独作为本地服务进程运行，负责 agent 决策、记忆、skills、自动总结和工具编排。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桌宠控制器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Electron 前台作为常驻应用，连接 VTube Studio API、本地语音模块、Hermes API。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ASR/TTS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建议拆为本地 Python 服务或 Node 子进程服务，单独管理加载、热启动和重启。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模型缓存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所有模型权重预下载到本地磁盘；上线环境默认无公网依赖。</w:t>
            </w:r>
          </w:p>
        </w:tc>
      </w:tr>
    </w:tbl>
    <w:p/>
    <w:p>
      <w:r>
        <w:rPr>
          <w:b/>
        </w:rPr>
        <w:t>推荐的本机进程拓扑：</w:t>
      </w:r>
      <w:r>
        <w:t>VTube Studio（UI） + Electron Controller（编排） + Hermes Server（Agent） + LLM Runtime（主模型/embedding） + ASR Service + TTS Service。</w:t>
      </w:r>
    </w:p>
    <w:p>
      <w:pPr>
        <w:pStyle w:val="SectionHeading"/>
      </w:pPr>
      <w:r>
        <w:t>5. 模块职责与接口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0D7DE"/>
          <w:left w:val="single" w:sz="8" w:space="0" w:color="D0D7DE"/>
          <w:bottom w:val="single" w:sz="8" w:space="0" w:color="D0D7DE"/>
          <w:right w:val="single" w:sz="8" w:space="0" w:color="D0D7DE"/>
          <w:insideH w:val="single" w:sz="8" w:space="0" w:color="D0D7DE"/>
          <w:insideV w:val="single" w:sz="8" w:space="0" w:color="D0D7DE"/>
        </w:tblBorders>
      </w:tblPr>
      <w:tblGrid>
        <w:gridCol w:w="2736"/>
        <w:gridCol w:w="7056"/>
      </w:tblGrid>
      <w:tr>
        <w:trPr>
          <w:tblHeader w:val="true"/>
        </w:trPr>
        <w:tc>
          <w:tcPr>
            <w:tcW w:type="dxa" w:w="4896"/>
            <w:vAlign w:val="center"/>
            <w:shd w:fill="DCE6F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896"/>
            <w:vAlign w:val="center"/>
            <w:shd w:fill="DCE6F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>决策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controller-electron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桌面托盘、设置面板、热键、状态机、日志总线、与 VTube Studio 的连接。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vts-client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封装 VTube Studio WebSocket API：鉴权、热键、模型事件、参数更新、口型/表情触发。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hermes-client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以 OpenAI 兼容方式调用 Hermes，同时携带 profile、session、工具上下文和记忆策略。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speech-asr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录音、VAD、转写、打断检测、音频缓存。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speech-tts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文本到语音、语速/音色配置、音频流回传、播放完成事件。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desktop-tools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截图、剪贴板、提醒、打开应用、简单文件读取。仅暴露白名单能力。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state-engine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角色状态机，统一管理 idle/listening/thinking/speaking/error。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memory-policy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哪些内容进入长期记忆、哪些只做短期摘要、哪些永不保存。</w:t>
            </w:r>
          </w:p>
        </w:tc>
      </w:tr>
    </w:tbl>
    <w:p/>
    <w:p>
      <w:pPr>
        <w:pStyle w:val="SectionHeading"/>
      </w:pPr>
      <w:r>
        <w:t>6. 关键交互时序</w:t>
      </w:r>
    </w:p>
    <w:p>
      <w:pPr>
        <w:pStyle w:val="ListNumber"/>
      </w:pPr>
      <w:r>
        <w:t>用户按住说话或唤醒词触发，speech-asr 开始录音并做 VAD。</w:t>
      </w:r>
    </w:p>
    <w:p>
      <w:pPr>
        <w:pStyle w:val="ListNumber"/>
      </w:pPr>
      <w:r>
        <w:t>ASR 将转写文本连同会话元数据发给 Hermes。</w:t>
      </w:r>
    </w:p>
    <w:p>
      <w:pPr>
        <w:pStyle w:val="ListNumber"/>
      </w:pPr>
      <w:r>
        <w:t>Hermes 检索长期记忆与最近摘要，决定是否调用桌面技能。</w:t>
      </w:r>
    </w:p>
    <w:p>
      <w:pPr>
        <w:pStyle w:val="ListNumber"/>
      </w:pPr>
      <w:r>
        <w:t>Hermes 生成文本响应，同时返回角色情绪标签与是否需要执行工具。</w:t>
      </w:r>
    </w:p>
    <w:p>
      <w:pPr>
        <w:pStyle w:val="ListNumber"/>
      </w:pPr>
      <w:r>
        <w:t>控制器把情绪标签映射到 VTube Studio 热键或参数，切换表情与动作。</w:t>
      </w:r>
    </w:p>
    <w:p>
      <w:pPr>
        <w:pStyle w:val="ListNumber"/>
      </w:pPr>
      <w:r>
        <w:t>speech-tts 合成语音并播放；播放期间控制嘴型与 speaking 状态。</w:t>
      </w:r>
    </w:p>
    <w:p>
      <w:pPr>
        <w:pStyle w:val="ListNumber"/>
      </w:pPr>
      <w:r>
        <w:t>对话结束后，memory-policy 决定写入短期摘要、长期偏好或技能候选。</w:t>
      </w:r>
    </w:p>
    <w:p>
      <w:r>
        <w:rPr>
          <w:b/>
        </w:rPr>
        <w:t>实现建议：</w:t>
      </w:r>
      <w:r>
        <w:t>第一阶段不要尝试“边听边打断边生成边播报”的复杂实时双工链路。先做 turn-based 语音回合制，再在第二阶段接入 PersonaPlex 之类的实时语音引擎。</w:t>
      </w:r>
    </w:p>
    <w:p>
      <w:pPr>
        <w:pStyle w:val="SectionHeading"/>
      </w:pPr>
      <w:r>
        <w:t>7. 记忆策略与安全边界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0D7DE"/>
          <w:left w:val="single" w:sz="8" w:space="0" w:color="D0D7DE"/>
          <w:bottom w:val="single" w:sz="8" w:space="0" w:color="D0D7DE"/>
          <w:right w:val="single" w:sz="8" w:space="0" w:color="D0D7DE"/>
          <w:insideH w:val="single" w:sz="8" w:space="0" w:color="D0D7DE"/>
          <w:insideV w:val="single" w:sz="8" w:space="0" w:color="D0D7DE"/>
        </w:tblBorders>
      </w:tblPr>
      <w:tblGrid>
        <w:gridCol w:w="2736"/>
        <w:gridCol w:w="7056"/>
      </w:tblGrid>
      <w:tr>
        <w:trPr>
          <w:tblHeader w:val="true"/>
        </w:trPr>
        <w:tc>
          <w:tcPr>
            <w:tcW w:type="dxa" w:w="4896"/>
            <w:vAlign w:val="center"/>
            <w:shd w:fill="DCE6F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896"/>
            <w:vAlign w:val="center"/>
            <w:shd w:fill="DCE6F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>决策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长期记忆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用户偏好、称呼、作息偏好、常用应用、稳定习惯。必须可编辑、可删除。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短期摘要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最近 20–50 轮对话压缩摘要，用于维持连续体验。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不保存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密码、验证码、剪贴板敏感片段、临时令牌、未明确允许的隐私内容。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工具白名单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只开放提醒、打开应用、截图、剪贴板、读取指定目录等低风险能力。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显式确认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删除文件、运行脚本、发送消息、联网等高风险操作全部要求确认。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8A3D3D"/>
          <w:left w:val="single" w:sz="10" w:space="0" w:color="8A3D3D"/>
          <w:bottom w:val="single" w:sz="10" w:space="0" w:color="8A3D3D"/>
          <w:right w:val="single" w:sz="10" w:space="0" w:color="8A3D3D"/>
          <w:insideH w:val="single" w:sz="10" w:space="0" w:color="8A3D3D"/>
          <w:insideV w:val="single" w:sz="10" w:space="0" w:color="8A3D3D"/>
        </w:tblBorders>
      </w:tblPr>
      <w:tblGrid>
        <w:gridCol w:w="9792"/>
      </w:tblGrid>
      <w:tr>
        <w:tc>
          <w:tcPr>
            <w:tcW w:type="dxa" w:w="9792"/>
            <w:shd w:fill="8A3D3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Title"/>
            </w:pPr>
            <w:r>
              <w:t>第一阶段必须做的两条底线</w:t>
            </w:r>
          </w:p>
          <w:p>
            <w:pPr>
              <w:spacing w:after="40"/>
            </w:pPr>
            <w:r>
              <w:rPr>
                <w:color w:val="FFFFFF"/>
                <w:sz w:val="20"/>
              </w:rPr>
              <w:t>• 任何可造成系统副作用的能力都必须走白名单和二次确认。</w:t>
            </w:r>
          </w:p>
          <w:p>
            <w:pPr>
              <w:spacing w:after="40"/>
            </w:pPr>
            <w:r>
              <w:rPr>
                <w:color w:val="FFFFFF"/>
                <w:sz w:val="20"/>
              </w:rPr>
              <w:t>• 长期记忆必须支持用户可见、可编辑、可清除，避免“黑盒养成”。</w:t>
            </w:r>
          </w:p>
        </w:tc>
      </w:tr>
    </w:tbl>
    <w:p/>
    <w:p>
      <w:pPr>
        <w:pStyle w:val="SectionHeading"/>
      </w:pPr>
      <w:r>
        <w:t>8. 仓库结构建议</w:t>
      </w:r>
    </w:p>
    <w:p>
      <w:r>
        <w:rPr>
          <w:rFonts w:ascii="Consolas" w:hAnsi="Consolas"/>
          <w:sz w:val="19"/>
        </w:rPr>
        <w:t>desktop-pet/</w:t>
        <w:br/>
        <w:t xml:space="preserve">  apps/</w:t>
        <w:br/>
        <w:t xml:space="preserve">    controller-electron/</w:t>
        <w:br/>
        <w:t xml:space="preserve">    hermes-backend/</w:t>
        <w:br/>
        <w:t xml:space="preserve">  packages/</w:t>
        <w:br/>
        <w:t xml:space="preserve">    vts-client/</w:t>
        <w:br/>
        <w:t xml:space="preserve">    hermes-client/</w:t>
        <w:br/>
        <w:t xml:space="preserve">    speech-asr/</w:t>
        <w:br/>
        <w:t xml:space="preserve">    speech-tts/</w:t>
        <w:br/>
        <w:t xml:space="preserve">    state-engine/</w:t>
        <w:br/>
        <w:t xml:space="preserve">    memory-policy/</w:t>
        <w:br/>
        <w:t xml:space="preserve">    desktop-tools/</w:t>
        <w:br/>
        <w:t xml:space="preserve">  assets/</w:t>
        <w:br/>
        <w:t xml:space="preserve">    live2d-models/</w:t>
        <w:br/>
        <w:t xml:space="preserve">    prompts/</w:t>
        <w:br/>
        <w:t xml:space="preserve">    voices/</w:t>
        <w:br/>
        <w:t xml:space="preserve">  scripts/</w:t>
        <w:br/>
        <w:t xml:space="preserve">    start-all.ps1</w:t>
        <w:br/>
        <w:t xml:space="preserve">    preload-models.ps1</w:t>
        <w:br/>
        <w:t xml:space="preserve">  docs/</w:t>
        <w:br/>
        <w:t xml:space="preserve">    architecture.md</w:t>
        <w:br/>
        <w:t xml:space="preserve">    api-contracts.md</w:t>
        <w:br/>
        <w:t xml:space="preserve">    runbook.md</w:t>
      </w:r>
    </w:p>
    <w:p>
      <w:pPr>
        <w:pStyle w:val="SectionHeading"/>
      </w:pPr>
      <w:r>
        <w:t>9. 第一阶段实施计划（4 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0D7DE"/>
          <w:left w:val="single" w:sz="8" w:space="0" w:color="D0D7DE"/>
          <w:bottom w:val="single" w:sz="8" w:space="0" w:color="D0D7DE"/>
          <w:right w:val="single" w:sz="8" w:space="0" w:color="D0D7DE"/>
          <w:insideH w:val="single" w:sz="8" w:space="0" w:color="D0D7DE"/>
          <w:insideV w:val="single" w:sz="8" w:space="0" w:color="D0D7DE"/>
        </w:tblBorders>
      </w:tblPr>
      <w:tblGrid>
        <w:gridCol w:w="2736"/>
        <w:gridCol w:w="7056"/>
      </w:tblGrid>
      <w:tr>
        <w:trPr>
          <w:tblHeader w:val="true"/>
        </w:trPr>
        <w:tc>
          <w:tcPr>
            <w:tcW w:type="dxa" w:w="4896"/>
            <w:vAlign w:val="center"/>
            <w:shd w:fill="DCE6F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896"/>
            <w:vAlign w:val="center"/>
            <w:shd w:fill="DCE6F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>决策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第 1 周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跑通 VTube Studio 控制 + Hermes API + 文本聊天；建立基础状态机和日志。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第 2 周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接入本地 ASR/TTS；完成语音回合制对话；实现口型/说话动画联动。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第 3 周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加入提醒、截图提问、剪贴板提问；完成长期记忆与短期摘要策略。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第 4 周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做稳定性、资源占用、异常恢复、开机自启、配置面板和打包。</w:t>
            </w:r>
          </w:p>
        </w:tc>
      </w:tr>
    </w:tbl>
    <w:p/>
    <w:p>
      <w:r>
        <w:rPr>
          <w:b/>
        </w:rPr>
        <w:t>阶段验收：</w:t>
      </w:r>
      <w:r>
        <w:t>到第 4 周末，用户应能在完全本地环境下与桌宠进行连续语音对话，桌宠可表现基础情绪状态，并能跨会话记住至少 10 条稳定偏好信息。</w:t>
      </w:r>
    </w:p>
    <w:p>
      <w:pPr>
        <w:pStyle w:val="SectionHeading"/>
      </w:pPr>
      <w:r>
        <w:t>10. 主要风险与规避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0D7DE"/>
          <w:left w:val="single" w:sz="8" w:space="0" w:color="D0D7DE"/>
          <w:bottom w:val="single" w:sz="8" w:space="0" w:color="D0D7DE"/>
          <w:right w:val="single" w:sz="8" w:space="0" w:color="D0D7DE"/>
          <w:insideH w:val="single" w:sz="8" w:space="0" w:color="D0D7DE"/>
          <w:insideV w:val="single" w:sz="8" w:space="0" w:color="D0D7DE"/>
        </w:tblBorders>
      </w:tblPr>
      <w:tblGrid>
        <w:gridCol w:w="2736"/>
        <w:gridCol w:w="7056"/>
      </w:tblGrid>
      <w:tr>
        <w:trPr>
          <w:tblHeader w:val="true"/>
        </w:trPr>
        <w:tc>
          <w:tcPr>
            <w:tcW w:type="dxa" w:w="4896"/>
            <w:vAlign w:val="center"/>
            <w:shd w:fill="DCE6F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896"/>
            <w:vAlign w:val="center"/>
            <w:shd w:fill="DCE6F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</w:rPr>
              <w:t>决策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风险 1：首版过度追求“实时自然对话”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规避：第一阶段只做稳定 turn-based 语音链路；PersonaPlex 放到第二阶段。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风险 2：自写 Live2D 渲染器拖慢项目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规避：首版使用 VTube Studio 公开 API；等产品验证后再考虑自研。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风险 3：主模型过大导致延迟过高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规避：主模型与辅助模型分层；摘要/分类优先交给 Gemma 4 E4B，主对话再交给 Gemma 4 31B。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风险 4：记忆体验失控</w:t>
            </w:r>
          </w:p>
        </w:tc>
        <w:tc>
          <w:tcPr>
            <w:tcW w:type="dxa" w:w="70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规避：显式记忆策略、用户可视化记忆列表、清除入口。</w:t>
            </w:r>
          </w:p>
        </w:tc>
      </w:tr>
    </w:tbl>
    <w:p/>
    <w:p>
      <w:pPr>
        <w:pStyle w:val="SectionHeading"/>
      </w:pPr>
      <w:r>
        <w:t>11. 参考依据（官方项目）</w:t>
      </w:r>
    </w:p>
    <w:p>
      <w:pPr>
        <w:pStyle w:val="ListBullet"/>
      </w:pPr>
      <w:r>
        <w:t>NousResearch / hermes-agent：官方 README 与 API server 文档。项目强调 built-in learning loop、跨会话记忆、skills 与 OpenAI-compatible API。</w:t>
      </w:r>
    </w:p>
    <w:p>
      <w:pPr>
        <w:pStyle w:val="ListBullet"/>
      </w:pPr>
      <w:r>
        <w:t>DenchiSoft / VTubeStudio：官方 API 文档，说明插件可通过公开 API 触发 hotkeys、加载模型、获取事件，并通过本地 WebSocket 连接。</w:t>
      </w:r>
    </w:p>
    <w:p>
      <w:pPr>
        <w:pStyle w:val="ListBullet"/>
      </w:pPr>
      <w:r>
        <w:t>Snowfork / Open-LLM-VTuber：官方 README，说明项目支持 Windows、本地语音、Live2D talking face、可替换 LLM/ASR/TTS，并可离线运行。</w:t>
      </w:r>
    </w:p>
    <w:p>
      <w:pPr>
        <w:pStyle w:val="ListBullet"/>
      </w:pPr>
      <w:r>
        <w:t>NVIDIA / personaplex：官方 README，说明 PersonaPlex 是实时、全双工、speech-to-speech conversational model；本方案据此将其放在第二阶段。</w:t>
      </w:r>
    </w:p>
    <w:p>
      <w:pPr>
        <w:pStyle w:val="ListBullet"/>
      </w:pPr>
      <w:r>
        <w:t>Google Gemma 4 官方文档与 Ollama 官方模型库：Gemma 4 提供 E2B、E4B、26B、31B 等版本；Ollama 官方库已提供 gemma4 标签，可直接用于本地模型选型与部署参考。</w:t>
      </w:r>
    </w:p>
    <w:p>
      <w:pPr>
        <w:pStyle w:val="ListBullet"/>
      </w:pPr>
      <w:r>
        <w:t>SYSTRAN / faster-whisper：官方 README 与 release 说明，用于 ASR 本地部署建议。</w:t>
      </w:r>
    </w:p>
    <w:p>
      <w:pPr>
        <w:pStyle w:val="ListBullet"/>
      </w:pPr>
      <w:r>
        <w:t>hexgrad / kokoro 与 myshell-ai / MeloTTS：官方仓库，用于 TTS 本地部署建议。</w:t>
      </w:r>
    </w:p>
    <w:p>
      <w:pPr>
        <w:pStyle w:val="Small"/>
      </w:pPr>
      <w:r>
        <w:t>注：本方案故意将第一阶段限定在“稳定桌宠 + 本地语音 + Hermes 成长底座”范围内，避免一开始就把实时语音、复杂桌面自动化和自研渲染器全部堆到同一阶段。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Windows Live2D 桌宠助手 · 第一阶段技术架构与落地方案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after="80"/>
    </w:pPr>
    <w:rPr>
      <w:rFonts w:ascii="Aptos" w:hAnsi="Aptos"/>
      <w:b/>
      <w:color w:val="142238"/>
      <w:sz w:val="44"/>
    </w:rPr>
  </w:style>
  <w:style w:type="paragraph" w:customStyle="1" w:styleId="SubtitleCustom">
    <w:name w:val="SubtitleCustom"/>
    <w:basedOn w:val="Normal"/>
    <w:pPr>
      <w:spacing w:after="320"/>
    </w:pPr>
    <w:rPr>
      <w:rFonts w:ascii="Aptos" w:hAnsi="Aptos"/>
      <w:b w:val="0"/>
      <w:color w:val="4F6178"/>
      <w:sz w:val="22"/>
    </w:rPr>
  </w:style>
  <w:style w:type="paragraph" w:customStyle="1" w:styleId="SectionHeading">
    <w:name w:val="SectionHeading"/>
    <w:basedOn w:val="Heading1"/>
    <w:pPr>
      <w:spacing w:before="160" w:after="120"/>
    </w:pPr>
    <w:rPr>
      <w:rFonts w:ascii="Aptos" w:hAnsi="Aptos"/>
      <w:b/>
      <w:color w:val="142238"/>
      <w:sz w:val="30"/>
    </w:rPr>
  </w:style>
  <w:style w:type="paragraph" w:customStyle="1" w:styleId="SubHeading">
    <w:name w:val="SubHeading"/>
    <w:basedOn w:val="Heading2"/>
    <w:pPr>
      <w:spacing w:before="160" w:after="120"/>
    </w:pPr>
    <w:rPr>
      <w:rFonts w:ascii="Aptos" w:hAnsi="Aptos"/>
      <w:b/>
      <w:color w:val="2F5496"/>
      <w:sz w:val="23"/>
    </w:rPr>
  </w:style>
  <w:style w:type="paragraph" w:customStyle="1" w:styleId="CalloutTitle">
    <w:name w:val="CalloutTitle"/>
    <w:basedOn w:val="Normal"/>
    <w:pPr>
      <w:spacing w:before="160" w:after="120"/>
    </w:pPr>
    <w:rPr>
      <w:rFonts w:ascii="Aptos" w:hAnsi="Aptos"/>
      <w:b/>
      <w:color w:val="FFFFFF"/>
      <w:sz w:val="21"/>
    </w:rPr>
  </w:style>
  <w:style w:type="paragraph" w:customStyle="1" w:styleId="Small">
    <w:name w:val="Small"/>
    <w:basedOn w:val="Normal"/>
    <w:pPr>
      <w:spacing w:before="160" w:after="120"/>
    </w:pPr>
    <w:rPr>
      <w:rFonts w:ascii="Aptos" w:hAnsi="Aptos"/>
      <w:b w:val="0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