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4"/>
          <w:szCs w:val="34"/>
        </w:rPr>
        <w:t xml:space="preserve">Benchmark Research and Output Verification</w:t>
      </w:r>
    </w:p>
    <w:p>
      <w:pPr>
        <w:spacing w:after="60"/>
      </w:pPr>
      <w:r>
        <w:rPr>
          <w:color w:val="555555"/>
          <w:sz w:val="22"/>
          <w:szCs w:val="22"/>
        </w:rPr>
        <w:t xml:space="preserve">Addendum to the AfCEN CDE Platform PRD. Requirements FR-13 to FR-24.</w:t>
      </w:r>
    </w:p>
    <w:p>
      <w:pPr>
        <w:pBdr>
          <w:bottom w:val="single" w:color="1F3A5F" w:sz="6" w:space="6"/>
        </w:pBdr>
        <w:spacing w:after="200"/>
      </w:pPr>
      <w:r>
        <w:t xml:space="preserve"/>
      </w:r>
    </w:p>
    <w:p>
      <w:pPr>
        <w:spacing w:after="140"/>
      </w:pPr>
      <w:r>
        <w:rPr>
          <w:i/>
          <w:iCs/>
          <w:color w:val="555555"/>
          <w:sz w:val="19"/>
          <w:szCs w:val="19"/>
        </w:rPr>
        <w:t xml:space="preserve">Internal document. Not for circulation to bidders or the Developer's partners. Section 10 covers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A5F" w:color="auto" w:val="clear"/>
            <w:tcMar>
              <w:top w:type="dxa" w:w="60"/>
              <w:left w:type="dxa" w:w="90"/>
              <w:bottom w:type="dxa" w:w="60"/>
              <w:right w:type="dxa" w:w="90"/>
            </w:tcMar>
          </w:tcPr>
          <w:p>
            <w:pPr>
              <w:spacing w:after="0" w:line="240"/>
            </w:pPr>
            <w:r>
              <w:rPr>
                <w:b/>
                <w:bCs/>
                <w:color w:val="FFFFFF"/>
                <w:sz w:val="18"/>
                <w:szCs w:val="18"/>
              </w:rPr>
              <w:t xml:space="preserve">Field</w:t>
            </w:r>
          </w:p>
        </w:tc>
        <w:tc>
          <w:tcPr>
            <w:tcW w:type="dxa" w:w="6960"/>
            <w:shd w:fill="1F3A5F" w:color="auto" w:val="clear"/>
            <w:tcMar>
              <w:top w:type="dxa" w:w="60"/>
              <w:left w:type="dxa" w:w="90"/>
              <w:bottom w:type="dxa" w:w="60"/>
              <w:right w:type="dxa" w:w="90"/>
            </w:tcMar>
          </w:tcPr>
          <w:p>
            <w:pPr>
              <w:spacing w:after="0" w:line="240"/>
            </w:pPr>
            <w:r>
              <w:rPr>
                <w:b/>
                <w:bCs/>
                <w:color w:val="FFFFFF"/>
                <w:sz w:val="18"/>
                <w:szCs w:val="18"/>
              </w:rPr>
              <w:t xml:space="preserve">Detail</w:t>
            </w:r>
          </w:p>
        </w:tc>
      </w:tr>
      <w:tr>
        <w:tc>
          <w:tcPr>
            <w:tcW w:type="dxa" w:w="2400"/>
            <w:tcMar>
              <w:top w:type="dxa" w:w="60"/>
              <w:left w:type="dxa" w:w="90"/>
              <w:bottom w:type="dxa" w:w="60"/>
              <w:right w:type="dxa" w:w="90"/>
            </w:tcMar>
          </w:tcPr>
          <w:p>
            <w:pPr>
              <w:spacing w:after="0" w:line="240"/>
            </w:pPr>
            <w:r>
              <w:rPr>
                <w:b/>
                <w:bCs/>
                <w:sz w:val="18"/>
                <w:szCs w:val="18"/>
              </w:rPr>
              <w:t xml:space="preserve">Document</w:t>
            </w:r>
          </w:p>
        </w:tc>
        <w:tc>
          <w:tcPr>
            <w:tcW w:type="dxa" w:w="6960"/>
            <w:tcMar>
              <w:top w:type="dxa" w:w="60"/>
              <w:left w:type="dxa" w:w="90"/>
              <w:bottom w:type="dxa" w:w="60"/>
              <w:right w:type="dxa" w:w="90"/>
            </w:tcMar>
          </w:tcPr>
          <w:p>
            <w:pPr>
              <w:spacing w:after="0" w:line="240"/>
            </w:pPr>
            <w:r>
              <w:rPr>
                <w:b w:val="false"/>
                <w:bCs w:val="false"/>
                <w:sz w:val="18"/>
                <w:szCs w:val="18"/>
              </w:rPr>
              <w:t xml:space="preserve">Benchmark Research and Output Verification, v0.1 draft</w:t>
            </w:r>
          </w:p>
        </w:tc>
      </w:tr>
      <w:tr>
        <w:tc>
          <w:tcPr>
            <w:tcW w:type="dxa" w:w="2400"/>
            <w:shd w:fill="F2F5F9" w:color="auto" w:val="clear"/>
            <w:tcMar>
              <w:top w:type="dxa" w:w="60"/>
              <w:left w:type="dxa" w:w="90"/>
              <w:bottom w:type="dxa" w:w="60"/>
              <w:right w:type="dxa" w:w="90"/>
            </w:tcMar>
          </w:tcPr>
          <w:p>
            <w:pPr>
              <w:spacing w:after="0" w:line="240"/>
            </w:pPr>
            <w:r>
              <w:rPr>
                <w:b/>
                <w:bCs/>
                <w:sz w:val="18"/>
                <w:szCs w:val="18"/>
              </w:rPr>
              <w:t xml:space="preserve">Owner</w:t>
            </w:r>
          </w:p>
        </w:tc>
        <w:tc>
          <w:tcPr>
            <w:tcW w:type="dxa" w:w="6960"/>
            <w:shd w:fill="F2F5F9" w:color="auto" w:val="clear"/>
            <w:tcMar>
              <w:top w:type="dxa" w:w="60"/>
              <w:left w:type="dxa" w:w="90"/>
              <w:bottom w:type="dxa" w:w="60"/>
              <w:right w:type="dxa" w:w="90"/>
            </w:tcMar>
          </w:tcPr>
          <w:p>
            <w:pPr>
              <w:spacing w:after="0" w:line="240"/>
            </w:pPr>
            <w:r>
              <w:rPr>
                <w:b w:val="false"/>
                <w:bCs w:val="false"/>
                <w:sz w:val="18"/>
                <w:szCs w:val="18"/>
              </w:rPr>
              <w:t xml:space="preserve">Dennis Nderitu, AfCEN</w:t>
            </w:r>
          </w:p>
        </w:tc>
      </w:tr>
      <w:tr>
        <w:tc>
          <w:tcPr>
            <w:tcW w:type="dxa" w:w="2400"/>
            <w:tcMar>
              <w:top w:type="dxa" w:w="60"/>
              <w:left w:type="dxa" w:w="90"/>
              <w:bottom w:type="dxa" w:w="60"/>
              <w:right w:type="dxa" w:w="90"/>
            </w:tcMar>
          </w:tcPr>
          <w:p>
            <w:pPr>
              <w:spacing w:after="0" w:line="240"/>
            </w:pPr>
            <w:r>
              <w:rPr>
                <w:b/>
                <w:bCs/>
                <w:sz w:val="18"/>
                <w:szCs w:val="18"/>
              </w:rPr>
              <w:t xml:space="preserve">Extends</w:t>
            </w:r>
          </w:p>
        </w:tc>
        <w:tc>
          <w:tcPr>
            <w:tcW w:type="dxa" w:w="6960"/>
            <w:tcMar>
              <w:top w:type="dxa" w:w="60"/>
              <w:left w:type="dxa" w:w="90"/>
              <w:bottom w:type="dxa" w:w="60"/>
              <w:right w:type="dxa" w:w="90"/>
            </w:tcMar>
          </w:tcPr>
          <w:p>
            <w:pPr>
              <w:spacing w:after="0" w:line="240"/>
            </w:pPr>
            <w:r>
              <w:rPr>
                <w:b w:val="false"/>
                <w:bCs w:val="false"/>
                <w:sz w:val="18"/>
                <w:szCs w:val="18"/>
              </w:rPr>
              <w:t xml:space="preserve">AfCEN CDE Platform PRD. Continues the FR numbering from FR-12.</w:t>
            </w:r>
          </w:p>
        </w:tc>
      </w:tr>
      <w:tr>
        <w:tc>
          <w:tcPr>
            <w:tcW w:type="dxa" w:w="2400"/>
            <w:shd w:fill="F2F5F9" w:color="auto" w:val="clear"/>
            <w:tcMar>
              <w:top w:type="dxa" w:w="60"/>
              <w:left w:type="dxa" w:w="90"/>
              <w:bottom w:type="dxa" w:w="60"/>
              <w:right w:type="dxa" w:w="90"/>
            </w:tcMar>
          </w:tcPr>
          <w:p>
            <w:pPr>
              <w:spacing w:after="0" w:line="240"/>
            </w:pPr>
            <w:r>
              <w:rPr>
                <w:b/>
                <w:bCs/>
                <w:sz w:val="18"/>
                <w:szCs w:val="18"/>
              </w:rPr>
              <w:t xml:space="preserve">Depends on</w:t>
            </w:r>
          </w:p>
        </w:tc>
        <w:tc>
          <w:tcPr>
            <w:tcW w:type="dxa" w:w="6960"/>
            <w:shd w:fill="F2F5F9" w:color="auto" w:val="clear"/>
            <w:tcMar>
              <w:top w:type="dxa" w:w="60"/>
              <w:left w:type="dxa" w:w="90"/>
              <w:bottom w:type="dxa" w:w="60"/>
              <w:right w:type="dxa" w:w="90"/>
            </w:tcMar>
          </w:tcPr>
          <w:p>
            <w:pPr>
              <w:spacing w:after="0" w:line="240"/>
            </w:pPr>
            <w:r>
              <w:rPr>
                <w:b w:val="false"/>
                <w:bCs w:val="false"/>
                <w:sz w:val="18"/>
                <w:szCs w:val="18"/>
              </w:rPr>
              <w:t xml:space="preserve">FS Deliverable Review Standard, which supplies the section-level acceptance criteria this capability automates.</w:t>
            </w:r>
          </w:p>
        </w:tc>
      </w:tr>
      <w:tr>
        <w:tc>
          <w:tcPr>
            <w:tcW w:type="dxa" w:w="2400"/>
            <w:tcMar>
              <w:top w:type="dxa" w:w="60"/>
              <w:left w:type="dxa" w:w="90"/>
              <w:bottom w:type="dxa" w:w="60"/>
              <w:right w:type="dxa" w:w="90"/>
            </w:tcMar>
          </w:tcPr>
          <w:p>
            <w:pPr>
              <w:spacing w:after="0" w:line="240"/>
            </w:pPr>
            <w:r>
              <w:rPr>
                <w:b/>
                <w:bCs/>
                <w:sz w:val="18"/>
                <w:szCs w:val="18"/>
              </w:rPr>
              <w:t xml:space="preserve">Purpose</w:t>
            </w:r>
          </w:p>
        </w:tc>
        <w:tc>
          <w:tcPr>
            <w:tcW w:type="dxa" w:w="6960"/>
            <w:tcMar>
              <w:top w:type="dxa" w:w="60"/>
              <w:left w:type="dxa" w:w="90"/>
              <w:bottom w:type="dxa" w:w="60"/>
              <w:right w:type="dxa" w:w="90"/>
            </w:tcMar>
          </w:tcPr>
          <w:p>
            <w:pPr>
              <w:spacing w:after="0" w:line="240"/>
            </w:pPr>
            <w:r>
              <w:rPr>
                <w:b w:val="false"/>
                <w:bCs w:val="false"/>
                <w:sz w:val="18"/>
                <w:szCs w:val="18"/>
              </w:rPr>
              <w:t xml:space="preserve">Give the platform the ability to research benchmarks from public sources, replicate the analysis with the same tool class as the Consultant, and verify that outputs sit inside a declared accuracy range.</w:t>
            </w:r>
          </w:p>
        </w:tc>
      </w:tr>
      <w:tr>
        <w:tc>
          <w:tcPr>
            <w:tcW w:type="dxa" w:w="2400"/>
            <w:shd w:fill="F2F5F9" w:color="auto" w:val="clear"/>
            <w:tcMar>
              <w:top w:type="dxa" w:w="60"/>
              <w:left w:type="dxa" w:w="90"/>
              <w:bottom w:type="dxa" w:w="60"/>
              <w:right w:type="dxa" w:w="90"/>
            </w:tcMar>
          </w:tcPr>
          <w:p>
            <w:pPr>
              <w:spacing w:after="0" w:line="240"/>
            </w:pPr>
            <w:r>
              <w:rPr>
                <w:b/>
                <w:bCs/>
                <w:sz w:val="18"/>
                <w:szCs w:val="18"/>
              </w:rPr>
              <w:t xml:space="preserve">Status</w:t>
            </w:r>
          </w:p>
        </w:tc>
        <w:tc>
          <w:tcPr>
            <w:tcW w:type="dxa" w:w="6960"/>
            <w:shd w:fill="F2F5F9" w:color="auto" w:val="clear"/>
            <w:tcMar>
              <w:top w:type="dxa" w:w="60"/>
              <w:left w:type="dxa" w:w="90"/>
              <w:bottom w:type="dxa" w:w="60"/>
              <w:right w:type="dxa" w:w="90"/>
            </w:tcMar>
          </w:tcPr>
          <w:p>
            <w:pPr>
              <w:spacing w:after="0" w:line="240"/>
            </w:pPr>
            <w:r>
              <w:rPr>
                <w:b w:val="false"/>
                <w:bCs w:val="false"/>
                <w:sz w:val="18"/>
                <w:szCs w:val="18"/>
              </w:rPr>
              <w:t xml:space="preserve">Draft for internal build use. Open items in Section 11.</w:t>
            </w:r>
          </w:p>
        </w:tc>
      </w:tr>
    </w:tbl>
    <w:p>
      <w:pPr>
        <w:pStyle w:val="Heading1"/>
        <w:spacing w:after="120" w:before="280"/>
      </w:pPr>
      <w:r>
        <w:rPr>
          <w:b/>
          <w:bCs/>
          <w:color w:val="1F3A5F"/>
          <w:sz w:val="26"/>
          <w:szCs w:val="26"/>
        </w:rPr>
        <w:t xml:space="preserve">1  What this adds, and why it matters</w:t>
      </w:r>
    </w:p>
    <w:p>
      <w:pPr>
        <w:spacing w:after="120" w:line="264"/>
      </w:pPr>
      <w:r>
        <w:t xml:space="preserve">The Platform PRD gives FR-3 a benchmark library and FR-4 a threshold check. The FS Review Standard supplies the rulebook. All three still assume that someone has put credible reference values into the library by hand. On present evidence that library is one project, at 2020 prices, with a flat per-km rate. Thresholds set on that data would produce noise, and the flag-accepted ratio is the metric the platform is judged on.</w:t>
      </w:r>
    </w:p>
    <w:p>
      <w:pPr>
        <w:spacing w:after="120" w:line="264"/>
      </w:pPr>
      <w:r>
        <w:t xml:space="preserve">This addendum closes that gap with three capabilities. First, the platform researches benchmarks from public sources for each input and assumption, and normalises them to a common basis. Second, it re-runs the analysis with the same class of tool the Consultant used, so the check is against a computed result and not only a reference number. Third, it verifies that each output sits inside a declared accuracy range, using a recognised classification rather than an in-house rule.</w:t>
      </w:r>
    </w:p>
    <w:p>
      <w:pPr>
        <w:spacing w:after="120" w:line="264"/>
      </w:pPr>
      <w:r>
        <w:rPr>
          <w:b/>
          <w:bCs/>
        </w:rPr>
        <w:t xml:space="preserve">The boundaries in the Platform PRD do not move. </w:t>
      </w:r>
      <w:r>
        <w:t xml:space="preserve">The checks stay advisory, the Consultant remains the sole signatory under TOR Section 8.3, and the PM team remains the sole approval authority. A replication that disagrees with the Consultant raises a question for the PM team. It never becomes the answer.</w:t>
      </w:r>
    </w:p>
    <w:p>
      <w:pPr>
        <w:pStyle w:val="Heading1"/>
        <w:spacing w:after="120" w:before="280"/>
      </w:pPr>
      <w:r>
        <w:rPr>
          <w:b/>
          <w:bCs/>
          <w:color w:val="1F3A5F"/>
          <w:sz w:val="26"/>
          <w:szCs w:val="26"/>
        </w:rPr>
        <w:t xml:space="preserve">2  The research problem is normalisation, not harvesting</w:t>
      </w:r>
    </w:p>
    <w:p>
      <w:pPr>
        <w:spacing w:after="120" w:line="264"/>
      </w:pPr>
      <w:r>
        <w:t xml:space="preserve">Public transmission cost data exists but is not comparable as published. Scope definitions differ, price years differ, currencies differ, and terrain and voltage drive costs more than any average conveys. ESMAP makes this point directly in its April 2026 technical report: cost categories are not standardised across the literature, which leaves published breakdowns hard to compare and trends uncertain. Fichtner's cost tool, built on 68 projects of which 78 percent are African, concludes that comparing many projects gives no usable estimate unless project specifics are accounted for.</w:t>
      </w:r>
    </w:p>
    <w:p>
      <w:pPr>
        <w:spacing w:after="120" w:line="264"/>
      </w:pPr>
      <w:r>
        <w:t xml:space="preserve">A worked example makes the point concretely, using the reference PFS rate of 153,846 USD per km for 132 kV double circuit in Uganda.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3A5F" w:color="auto" w:val="clear"/>
            <w:tcMar>
              <w:top w:type="dxa" w:w="60"/>
              <w:left w:type="dxa" w:w="90"/>
              <w:bottom w:type="dxa" w:w="60"/>
              <w:right w:type="dxa" w:w="90"/>
            </w:tcMar>
          </w:tcPr>
          <w:p>
            <w:pPr>
              <w:spacing w:after="0" w:line="240"/>
            </w:pPr>
            <w:r>
              <w:rPr>
                <w:b/>
                <w:bCs/>
                <w:color w:val="FFFFFF"/>
                <w:sz w:val="18"/>
                <w:szCs w:val="18"/>
              </w:rPr>
              <w:t xml:space="preserve">Step</w:t>
            </w:r>
          </w:p>
        </w:tc>
        <w:tc>
          <w:tcPr>
            <w:tcW w:type="dxa" w:w="3600"/>
            <w:shd w:fill="1F3A5F" w:color="auto" w:val="clear"/>
            <w:tcMar>
              <w:top w:type="dxa" w:w="60"/>
              <w:left w:type="dxa" w:w="90"/>
              <w:bottom w:type="dxa" w:w="60"/>
              <w:right w:type="dxa" w:w="90"/>
            </w:tcMar>
          </w:tcPr>
          <w:p>
            <w:pPr>
              <w:spacing w:after="0" w:line="240"/>
            </w:pPr>
            <w:r>
              <w:rPr>
                <w:b/>
                <w:bCs/>
                <w:color w:val="FFFFFF"/>
                <w:sz w:val="18"/>
                <w:szCs w:val="18"/>
              </w:rPr>
              <w:t xml:space="preserve">Result</w:t>
            </w:r>
          </w:p>
        </w:tc>
        <w:tc>
          <w:tcPr>
            <w:tcW w:type="dxa" w:w="3160"/>
            <w:shd w:fill="1F3A5F" w:color="auto" w:val="clear"/>
            <w:tcMar>
              <w:top w:type="dxa" w:w="60"/>
              <w:left w:type="dxa" w:w="90"/>
              <w:bottom w:type="dxa" w:w="60"/>
              <w:right w:type="dxa" w:w="90"/>
            </w:tcMar>
          </w:tcPr>
          <w:p>
            <w:pPr>
              <w:spacing w:after="0" w:line="240"/>
            </w:pPr>
            <w:r>
              <w:rPr>
                <w:b/>
                <w:bCs/>
                <w:color w:val="FFFFFF"/>
                <w:sz w:val="18"/>
                <w:szCs w:val="18"/>
              </w:rPr>
              <w:t xml:space="preserve">Consequence</w:t>
            </w:r>
          </w:p>
        </w:tc>
      </w:tr>
      <w:tr>
        <w:tc>
          <w:tcPr>
            <w:tcW w:type="dxa" w:w="2600"/>
            <w:tcMar>
              <w:top w:type="dxa" w:w="60"/>
              <w:left w:type="dxa" w:w="90"/>
              <w:bottom w:type="dxa" w:w="60"/>
              <w:right w:type="dxa" w:w="90"/>
            </w:tcMar>
          </w:tcPr>
          <w:p>
            <w:pPr>
              <w:spacing w:after="0" w:line="240"/>
            </w:pPr>
            <w:r>
              <w:rPr>
                <w:b/>
                <w:bCs/>
                <w:sz w:val="18"/>
                <w:szCs w:val="18"/>
              </w:rPr>
              <w:t xml:space="preserve">Naive check against ACER Europe, 0.318 M/km</w:t>
            </w:r>
          </w:p>
        </w:tc>
        <w:tc>
          <w:tcPr>
            <w:tcW w:type="dxa" w:w="3600"/>
            <w:tcMar>
              <w:top w:type="dxa" w:w="60"/>
              <w:left w:type="dxa" w:w="90"/>
              <w:bottom w:type="dxa" w:w="60"/>
              <w:right w:type="dxa" w:w="90"/>
            </w:tcMar>
          </w:tcPr>
          <w:p>
            <w:pPr>
              <w:spacing w:after="0" w:line="240"/>
            </w:pPr>
            <w:r>
              <w:rPr>
                <w:b w:val="false"/>
                <w:bCs w:val="false"/>
                <w:sz w:val="18"/>
                <w:szCs w:val="18"/>
              </w:rPr>
              <w:t xml:space="preserve">PFS rate is 2.07 times lower</w:t>
            </w:r>
          </w:p>
        </w:tc>
        <w:tc>
          <w:tcPr>
            <w:tcW w:type="dxa" w:w="3160"/>
            <w:tcMar>
              <w:top w:type="dxa" w:w="60"/>
              <w:left w:type="dxa" w:w="90"/>
              <w:bottom w:type="dxa" w:w="60"/>
              <w:right w:type="dxa" w:w="90"/>
            </w:tcMar>
          </w:tcPr>
          <w:p>
            <w:pPr>
              <w:spacing w:after="0" w:line="240"/>
            </w:pPr>
            <w:r>
              <w:rPr>
                <w:b w:val="false"/>
                <w:bCs w:val="false"/>
                <w:sz w:val="18"/>
                <w:szCs w:val="18"/>
              </w:rPr>
              <w:t xml:space="preserve">False Material flag</w:t>
            </w:r>
          </w:p>
        </w:tc>
      </w:tr>
      <w:tr>
        <w:tc>
          <w:tcPr>
            <w:tcW w:type="dxa" w:w="2600"/>
            <w:shd w:fill="F2F5F9" w:color="auto" w:val="clear"/>
            <w:tcMar>
              <w:top w:type="dxa" w:w="60"/>
              <w:left w:type="dxa" w:w="90"/>
              <w:bottom w:type="dxa" w:w="60"/>
              <w:right w:type="dxa" w:w="90"/>
            </w:tcMar>
          </w:tcPr>
          <w:p>
            <w:pPr>
              <w:spacing w:after="0" w:line="240"/>
            </w:pPr>
            <w:r>
              <w:rPr>
                <w:b/>
                <w:bCs/>
                <w:sz w:val="18"/>
                <w:szCs w:val="18"/>
              </w:rPr>
              <w:t xml:space="preserve">Naive check against NCEP US, 0.421 M/km</w:t>
            </w:r>
          </w:p>
        </w:tc>
        <w:tc>
          <w:tcPr>
            <w:tcW w:type="dxa" w:w="3600"/>
            <w:shd w:fill="F2F5F9" w:color="auto" w:val="clear"/>
            <w:tcMar>
              <w:top w:type="dxa" w:w="60"/>
              <w:left w:type="dxa" w:w="90"/>
              <w:bottom w:type="dxa" w:w="60"/>
              <w:right w:type="dxa" w:w="90"/>
            </w:tcMar>
          </w:tcPr>
          <w:p>
            <w:pPr>
              <w:spacing w:after="0" w:line="240"/>
            </w:pPr>
            <w:r>
              <w:rPr>
                <w:b w:val="false"/>
                <w:bCs w:val="false"/>
                <w:sz w:val="18"/>
                <w:szCs w:val="18"/>
              </w:rPr>
              <w:t xml:space="preserve">PFS rate is 2.74 times lower</w:t>
            </w:r>
          </w:p>
        </w:tc>
        <w:tc>
          <w:tcPr>
            <w:tcW w:type="dxa" w:w="3160"/>
            <w:shd w:fill="F2F5F9" w:color="auto" w:val="clear"/>
            <w:tcMar>
              <w:top w:type="dxa" w:w="60"/>
              <w:left w:type="dxa" w:w="90"/>
              <w:bottom w:type="dxa" w:w="60"/>
              <w:right w:type="dxa" w:w="90"/>
            </w:tcMar>
          </w:tcPr>
          <w:p>
            <w:pPr>
              <w:spacing w:after="0" w:line="240"/>
            </w:pPr>
            <w:r>
              <w:rPr>
                <w:b w:val="false"/>
                <w:bCs w:val="false"/>
                <w:sz w:val="18"/>
                <w:szCs w:val="18"/>
              </w:rPr>
              <w:t xml:space="preserve">False Material flag</w:t>
            </w:r>
          </w:p>
        </w:tc>
      </w:tr>
      <w:tr>
        <w:tc>
          <w:tcPr>
            <w:tcW w:type="dxa" w:w="2600"/>
            <w:tcMar>
              <w:top w:type="dxa" w:w="60"/>
              <w:left w:type="dxa" w:w="90"/>
              <w:bottom w:type="dxa" w:w="60"/>
              <w:right w:type="dxa" w:w="90"/>
            </w:tcMar>
          </w:tcPr>
          <w:p>
            <w:pPr>
              <w:spacing w:after="0" w:line="240"/>
            </w:pPr>
            <w:r>
              <w:rPr>
                <w:b/>
                <w:bCs/>
                <w:sz w:val="18"/>
                <w:szCs w:val="18"/>
              </w:rPr>
              <w:t xml:space="preserve">Normalised: apply the ESMAP finding that World Bank projects in developing markets run 1.56 to 4.35 times below developed-market benchmarks</w:t>
            </w:r>
          </w:p>
        </w:tc>
        <w:tc>
          <w:tcPr>
            <w:tcW w:type="dxa" w:w="3600"/>
            <w:tcMar>
              <w:top w:type="dxa" w:w="60"/>
              <w:left w:type="dxa" w:w="90"/>
              <w:bottom w:type="dxa" w:w="60"/>
              <w:right w:type="dxa" w:w="90"/>
            </w:tcMar>
          </w:tcPr>
          <w:p>
            <w:pPr>
              <w:spacing w:after="0" w:line="240"/>
            </w:pPr>
            <w:r>
              <w:rPr>
                <w:b w:val="false"/>
                <w:bCs w:val="false"/>
                <w:sz w:val="18"/>
                <w:szCs w:val="18"/>
              </w:rPr>
              <w:t xml:space="preserve">Developing-market equivalent band of 0.073 to 0.270 M/km in 2010 values, about 0.093 to 0.343 M/km once escalated</w:t>
            </w:r>
          </w:p>
        </w:tc>
        <w:tc>
          <w:tcPr>
            <w:tcW w:type="dxa" w:w="3160"/>
            <w:tcMar>
              <w:top w:type="dxa" w:w="60"/>
              <w:left w:type="dxa" w:w="90"/>
              <w:bottom w:type="dxa" w:w="60"/>
              <w:right w:type="dxa" w:w="90"/>
            </w:tcMar>
          </w:tcPr>
          <w:p>
            <w:pPr>
              <w:spacing w:after="0" w:line="240"/>
            </w:pPr>
            <w:r>
              <w:rPr>
                <w:b w:val="false"/>
                <w:bCs w:val="false"/>
                <w:sz w:val="18"/>
                <w:szCs w:val="18"/>
              </w:rPr>
              <w:t xml:space="preserve">PFS rate of 0.154 sits inside the band. No flag.</w:t>
            </w:r>
          </w:p>
        </w:tc>
      </w:tr>
      <w:tr>
        <w:tc>
          <w:tcPr>
            <w:tcW w:type="dxa" w:w="2600"/>
            <w:shd w:fill="F2F5F9" w:color="auto" w:val="clear"/>
            <w:tcMar>
              <w:top w:type="dxa" w:w="60"/>
              <w:left w:type="dxa" w:w="90"/>
              <w:bottom w:type="dxa" w:w="60"/>
              <w:right w:type="dxa" w:w="90"/>
            </w:tcMar>
          </w:tcPr>
          <w:p>
            <w:pPr>
              <w:spacing w:after="0" w:line="240"/>
            </w:pPr>
            <w:r>
              <w:rPr>
                <w:b/>
                <w:bCs/>
                <w:sz w:val="18"/>
                <w:szCs w:val="18"/>
              </w:rPr>
              <w:t xml:space="preserve">Structural check on how the rate was built</w:t>
            </w:r>
          </w:p>
        </w:tc>
        <w:tc>
          <w:tcPr>
            <w:tcW w:type="dxa" w:w="3600"/>
            <w:shd w:fill="F2F5F9" w:color="auto" w:val="clear"/>
            <w:tcMar>
              <w:top w:type="dxa" w:w="60"/>
              <w:left w:type="dxa" w:w="90"/>
              <w:bottom w:type="dxa" w:w="60"/>
              <w:right w:type="dxa" w:w="90"/>
            </w:tcMar>
          </w:tcPr>
          <w:p>
            <w:pPr>
              <w:spacing w:after="0" w:line="240"/>
            </w:pPr>
            <w:r>
              <w:rPr>
                <w:b w:val="false"/>
                <w:bCs w:val="false"/>
                <w:sz w:val="18"/>
                <w:szCs w:val="18"/>
              </w:rPr>
              <w:t xml:space="preserve">One flat rate applied across the 123, 141 and 152 km options</w:t>
            </w:r>
          </w:p>
        </w:tc>
        <w:tc>
          <w:tcPr>
            <w:tcW w:type="dxa" w:w="3160"/>
            <w:shd w:fill="F2F5F9" w:color="auto" w:val="clear"/>
            <w:tcMar>
              <w:top w:type="dxa" w:w="60"/>
              <w:left w:type="dxa" w:w="90"/>
              <w:bottom w:type="dxa" w:w="60"/>
              <w:right w:type="dxa" w:w="90"/>
            </w:tcMar>
          </w:tcPr>
          <w:p>
            <w:pPr>
              <w:spacing w:after="0" w:line="240"/>
            </w:pPr>
            <w:r>
              <w:rPr>
                <w:b w:val="false"/>
                <w:bCs w:val="false"/>
                <w:sz w:val="18"/>
                <w:szCs w:val="18"/>
              </w:rPr>
              <w:t xml:space="preserve">Advisory flag: the rate is plausible in aggregate but is not terrain-differentiated</w:t>
            </w:r>
          </w:p>
        </w:tc>
      </w:tr>
    </w:tbl>
    <w:p>
      <w:pPr>
        <w:spacing w:after="120" w:line="264"/>
      </w:pPr>
      <w:r>
        <w:rPr>
          <w:b/>
          <w:bCs/>
        </w:rPr>
        <w:t xml:space="preserve">Read the third and fourth rows together. </w:t>
      </w:r>
      <w:r>
        <w:t xml:space="preserve">Without normalisation the platform would have raised two confident, wrong flags against a figure that is defensible. That is the fastest way to lose the PM team. With normalisation it raises no cost flag, and instead raises the flag that is actually true: the estimate ignores terrain on a corridor whose Mt. Elgon foothills section is the part that drives tower cost. ESMAP's cost-driver review quantifies exactly that premium: about 15 percent in mountainous areas, up to 78 percent on high slopes, 10 percent for difficult access, 7 percent for soft-soil foundations and 35 percent for piled foundations, against a 10 percent discount for lines over 100 km.</w:t>
      </w:r>
    </w:p>
    <w:p>
      <w:pPr>
        <w:spacing w:after="140"/>
      </w:pPr>
      <w:r>
        <w:rPr>
          <w:i/>
          <w:iCs/>
          <w:color w:val="555555"/>
          <w:sz w:val="19"/>
          <w:szCs w:val="19"/>
        </w:rPr>
        <w:t xml:space="preserve">The escalation factor above is a placeholder. FR-15 requires a named index, because the answer moves with it.</w:t>
      </w:r>
    </w:p>
    <w:p>
      <w:pPr>
        <w:pStyle w:val="Heading1"/>
        <w:spacing w:after="120" w:before="280"/>
      </w:pPr>
      <w:r>
        <w:rPr>
          <w:b/>
          <w:bCs/>
          <w:color w:val="1F3A5F"/>
          <w:sz w:val="26"/>
          <w:szCs w:val="26"/>
        </w:rPr>
        <w:t xml:space="preserve">3  Source register (FR-13)</w:t>
      </w:r>
    </w:p>
    <w:p>
      <w:pPr>
        <w:spacing w:after="120" w:line="264"/>
      </w:pPr>
      <w:r>
        <w:t xml:space="preserve">The platform researches against a tiered register. Tier 1 is structured, dated and licensed. Tier 2 is credible but needs normalisation. Tier 3 is project-specific and must be treated as a single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660"/>
        <w:gridCol w:w="1900"/>
      </w:tblGrid>
      <w:tr>
        <w:trPr>
          <w:tblHeader/>
        </w:trPr>
        <w:tc>
          <w:tcPr>
            <w:tcW w:type="dxa" w:w="700"/>
            <w:shd w:fill="1F3A5F" w:color="auto" w:val="clear"/>
            <w:tcMar>
              <w:top w:type="dxa" w:w="60"/>
              <w:left w:type="dxa" w:w="90"/>
              <w:bottom w:type="dxa" w:w="60"/>
              <w:right w:type="dxa" w:w="90"/>
            </w:tcMar>
          </w:tcPr>
          <w:p>
            <w:pPr>
              <w:spacing w:after="0" w:line="240"/>
            </w:pPr>
            <w:r>
              <w:rPr>
                <w:b/>
                <w:bCs/>
                <w:color w:val="FFFFFF"/>
                <w:sz w:val="18"/>
                <w:szCs w:val="18"/>
              </w:rPr>
              <w:t xml:space="preserve">Tier</w:t>
            </w:r>
          </w:p>
        </w:tc>
        <w:tc>
          <w:tcPr>
            <w:tcW w:type="dxa" w:w="3100"/>
            <w:shd w:fill="1F3A5F" w:color="auto" w:val="clear"/>
            <w:tcMar>
              <w:top w:type="dxa" w:w="60"/>
              <w:left w:type="dxa" w:w="90"/>
              <w:bottom w:type="dxa" w:w="60"/>
              <w:right w:type="dxa" w:w="90"/>
            </w:tcMar>
          </w:tcPr>
          <w:p>
            <w:pPr>
              <w:spacing w:after="0" w:line="240"/>
            </w:pPr>
            <w:r>
              <w:rPr>
                <w:b/>
                <w:bCs/>
                <w:color w:val="FFFFFF"/>
                <w:sz w:val="18"/>
                <w:szCs w:val="18"/>
              </w:rPr>
              <w:t xml:space="preserve">Source</w:t>
            </w:r>
          </w:p>
        </w:tc>
        <w:tc>
          <w:tcPr>
            <w:tcW w:type="dxa" w:w="3660"/>
            <w:shd w:fill="1F3A5F" w:color="auto" w:val="clear"/>
            <w:tcMar>
              <w:top w:type="dxa" w:w="60"/>
              <w:left w:type="dxa" w:w="90"/>
              <w:bottom w:type="dxa" w:w="60"/>
              <w:right w:type="dxa" w:w="90"/>
            </w:tcMar>
          </w:tcPr>
          <w:p>
            <w:pPr>
              <w:spacing w:after="0" w:line="240"/>
            </w:pPr>
            <w:r>
              <w:rPr>
                <w:b/>
                <w:bCs/>
                <w:color w:val="FFFFFF"/>
                <w:sz w:val="18"/>
                <w:szCs w:val="18"/>
              </w:rPr>
              <w:t xml:space="preserve">What it gives</w:t>
            </w:r>
          </w:p>
        </w:tc>
        <w:tc>
          <w:tcPr>
            <w:tcW w:type="dxa" w:w="1900"/>
            <w:shd w:fill="1F3A5F" w:color="auto" w:val="clear"/>
            <w:tcMar>
              <w:top w:type="dxa" w:w="60"/>
              <w:left w:type="dxa" w:w="90"/>
              <w:bottom w:type="dxa" w:w="60"/>
              <w:right w:type="dxa" w:w="90"/>
            </w:tcMar>
          </w:tcPr>
          <w:p>
            <w:pPr>
              <w:spacing w:after="0" w:line="240"/>
            </w:pPr>
            <w:r>
              <w:rPr>
                <w:b/>
                <w:bCs/>
                <w:color w:val="FFFFFF"/>
                <w:sz w:val="18"/>
                <w:szCs w:val="18"/>
              </w:rPr>
              <w:t xml:space="preserve">Licence</w:t>
            </w:r>
          </w:p>
        </w:tc>
      </w:tr>
      <w:tr>
        <w:tc>
          <w:tcPr>
            <w:tcW w:type="dxa" w:w="700"/>
            <w:tcMar>
              <w:top w:type="dxa" w:w="60"/>
              <w:left w:type="dxa" w:w="90"/>
              <w:bottom w:type="dxa" w:w="60"/>
              <w:right w:type="dxa" w:w="90"/>
            </w:tcMar>
          </w:tcPr>
          <w:p>
            <w:pPr>
              <w:spacing w:after="0" w:line="240"/>
            </w:pPr>
            <w:r>
              <w:rPr>
                <w:b/>
                <w:bCs/>
                <w:sz w:val="18"/>
                <w:szCs w:val="18"/>
              </w:rPr>
              <w:t xml:space="preserve">1</w:t>
            </w:r>
          </w:p>
        </w:tc>
        <w:tc>
          <w:tcPr>
            <w:tcW w:type="dxa" w:w="3100"/>
            <w:tcMar>
              <w:top w:type="dxa" w:w="60"/>
              <w:left w:type="dxa" w:w="90"/>
              <w:bottom w:type="dxa" w:w="60"/>
              <w:right w:type="dxa" w:w="90"/>
            </w:tcMar>
          </w:tcPr>
          <w:p>
            <w:pPr>
              <w:spacing w:after="0" w:line="240"/>
            </w:pPr>
            <w:r>
              <w:rPr>
                <w:b w:val="false"/>
                <w:bCs w:val="false"/>
                <w:sz w:val="18"/>
                <w:szCs w:val="18"/>
              </w:rPr>
              <w:t xml:space="preserve">ESMAP Transmission Cost Database and technical report, April 2026</w:t>
            </w:r>
          </w:p>
        </w:tc>
        <w:tc>
          <w:tcPr>
            <w:tcW w:type="dxa" w:w="3660"/>
            <w:tcMar>
              <w:top w:type="dxa" w:w="60"/>
              <w:left w:type="dxa" w:w="90"/>
              <w:bottom w:type="dxa" w:w="60"/>
              <w:right w:type="dxa" w:w="90"/>
            </w:tcMar>
          </w:tcPr>
          <w:p>
            <w:pPr>
              <w:spacing w:after="0" w:line="240"/>
            </w:pPr>
            <w:r>
              <w:rPr>
                <w:b w:val="false"/>
                <w:bCs w:val="false"/>
                <w:sz w:val="18"/>
                <w:szCs w:val="18"/>
              </w:rPr>
              <w:t xml:space="preserve">74 World Bank projects, 2000 to 2024, USD 21bn, mined from 469. CAPEX per km by region and voltage, O&amp;M rates, discount rates, actual against appraisal cost, delay causes, and the LCOT framework.</w:t>
            </w:r>
          </w:p>
        </w:tc>
        <w:tc>
          <w:tcPr>
            <w:tcW w:type="dxa" w:w="1900"/>
            <w:tcMar>
              <w:top w:type="dxa" w:w="60"/>
              <w:left w:type="dxa" w:w="90"/>
              <w:bottom w:type="dxa" w:w="60"/>
              <w:right w:type="dxa" w:w="90"/>
            </w:tcMar>
          </w:tcPr>
          <w:p>
            <w:pPr>
              <w:spacing w:after="0" w:line="240"/>
            </w:pPr>
            <w:r>
              <w:rPr>
                <w:b w:val="false"/>
                <w:bCs w:val="false"/>
                <w:sz w:val="18"/>
                <w:szCs w:val="18"/>
              </w:rPr>
              <w:t xml:space="preserve">CC BY 3.0 IGO. Adaptation and commercial use permitted with attribution. Confirm before build.</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1</w:t>
            </w:r>
          </w:p>
        </w:tc>
        <w:tc>
          <w:tcPr>
            <w:tcW w:type="dxa" w:w="3100"/>
            <w:shd w:fill="F2F5F9" w:color="auto" w:val="clear"/>
            <w:tcMar>
              <w:top w:type="dxa" w:w="60"/>
              <w:left w:type="dxa" w:w="90"/>
              <w:bottom w:type="dxa" w:w="60"/>
              <w:right w:type="dxa" w:w="90"/>
            </w:tcMar>
          </w:tcPr>
          <w:p>
            <w:pPr>
              <w:spacing w:after="0" w:line="240"/>
            </w:pPr>
            <w:r>
              <w:rPr>
                <w:b w:val="false"/>
                <w:bCs w:val="false"/>
                <w:sz w:val="18"/>
                <w:szCs w:val="18"/>
              </w:rPr>
              <w:t xml:space="preserve">MISO Transmission Cost Estimation Guide (MTEP series)</w:t>
            </w:r>
          </w:p>
        </w:tc>
        <w:tc>
          <w:tcPr>
            <w:tcW w:type="dxa" w:w="3660"/>
            <w:shd w:fill="F2F5F9" w:color="auto" w:val="clear"/>
            <w:tcMar>
              <w:top w:type="dxa" w:w="60"/>
              <w:left w:type="dxa" w:w="90"/>
              <w:bottom w:type="dxa" w:w="60"/>
              <w:right w:type="dxa" w:w="90"/>
            </w:tcMar>
          </w:tcPr>
          <w:p>
            <w:pPr>
              <w:spacing w:after="0" w:line="240"/>
            </w:pPr>
            <w:r>
              <w:rPr>
                <w:b w:val="false"/>
                <w:bCs w:val="false"/>
                <w:sz w:val="18"/>
                <w:szCs w:val="18"/>
              </w:rPr>
              <w:t xml:space="preserve">Component unit costs: line cost by voltage, substation bay cost, shunt reactor cost per Mvar. Updated annually.</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US-based. Confirm licence and apply location adjustment.</w:t>
            </w:r>
          </w:p>
        </w:tc>
      </w:tr>
      <w:tr>
        <w:tc>
          <w:tcPr>
            <w:tcW w:type="dxa" w:w="700"/>
            <w:tcMar>
              <w:top w:type="dxa" w:w="60"/>
              <w:left w:type="dxa" w:w="90"/>
              <w:bottom w:type="dxa" w:w="60"/>
              <w:right w:type="dxa" w:w="90"/>
            </w:tcMar>
          </w:tcPr>
          <w:p>
            <w:pPr>
              <w:spacing w:after="0" w:line="240"/>
            </w:pPr>
            <w:r>
              <w:rPr>
                <w:b/>
                <w:bCs/>
                <w:sz w:val="18"/>
                <w:szCs w:val="18"/>
              </w:rPr>
              <w:t xml:space="preserve">1</w:t>
            </w:r>
          </w:p>
        </w:tc>
        <w:tc>
          <w:tcPr>
            <w:tcW w:type="dxa" w:w="3100"/>
            <w:tcMar>
              <w:top w:type="dxa" w:w="60"/>
              <w:left w:type="dxa" w:w="90"/>
              <w:bottom w:type="dxa" w:w="60"/>
              <w:right w:type="dxa" w:w="90"/>
            </w:tcMar>
          </w:tcPr>
          <w:p>
            <w:pPr>
              <w:spacing w:after="0" w:line="240"/>
            </w:pPr>
            <w:r>
              <w:rPr>
                <w:b w:val="false"/>
                <w:bCs w:val="false"/>
                <w:sz w:val="18"/>
                <w:szCs w:val="18"/>
              </w:rPr>
              <w:t xml:space="preserve">ACER Unit Investment Cost indicators</w:t>
            </w:r>
          </w:p>
        </w:tc>
        <w:tc>
          <w:tcPr>
            <w:tcW w:type="dxa" w:w="3660"/>
            <w:tcMar>
              <w:top w:type="dxa" w:w="60"/>
              <w:left w:type="dxa" w:w="90"/>
              <w:bottom w:type="dxa" w:w="60"/>
              <w:right w:type="dxa" w:w="90"/>
            </w:tcMar>
          </w:tcPr>
          <w:p>
            <w:pPr>
              <w:spacing w:after="0" w:line="240"/>
            </w:pPr>
            <w:r>
              <w:rPr>
                <w:b w:val="false"/>
                <w:bCs w:val="false"/>
                <w:sz w:val="18"/>
                <w:szCs w:val="18"/>
              </w:rPr>
              <w:t xml:space="preserve">99 European overhead-line investments, 2012 to 2022, by voltage band.</w:t>
            </w:r>
          </w:p>
        </w:tc>
        <w:tc>
          <w:tcPr>
            <w:tcW w:type="dxa" w:w="1900"/>
            <w:tcMar>
              <w:top w:type="dxa" w:w="60"/>
              <w:left w:type="dxa" w:w="90"/>
              <w:bottom w:type="dxa" w:w="60"/>
              <w:right w:type="dxa" w:w="90"/>
            </w:tcMar>
          </w:tcPr>
          <w:p>
            <w:pPr>
              <w:spacing w:after="0" w:line="240"/>
            </w:pPr>
            <w:r>
              <w:rPr>
                <w:b w:val="false"/>
                <w:bCs w:val="false"/>
                <w:sz w:val="18"/>
                <w:szCs w:val="18"/>
              </w:rPr>
              <w:t xml:space="preserve">Confirm.</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2</w:t>
            </w:r>
          </w:p>
        </w:tc>
        <w:tc>
          <w:tcPr>
            <w:tcW w:type="dxa" w:w="3100"/>
            <w:shd w:fill="F2F5F9" w:color="auto" w:val="clear"/>
            <w:tcMar>
              <w:top w:type="dxa" w:w="60"/>
              <w:left w:type="dxa" w:w="90"/>
              <w:bottom w:type="dxa" w:w="60"/>
              <w:right w:type="dxa" w:w="90"/>
            </w:tcMar>
          </w:tcPr>
          <w:p>
            <w:pPr>
              <w:spacing w:after="0" w:line="240"/>
            </w:pPr>
            <w:r>
              <w:rPr>
                <w:b w:val="false"/>
                <w:bCs w:val="false"/>
                <w:sz w:val="18"/>
                <w:szCs w:val="18"/>
              </w:rPr>
              <w:t xml:space="preserve">Fichtner (2016) cost tool</w:t>
            </w:r>
          </w:p>
        </w:tc>
        <w:tc>
          <w:tcPr>
            <w:tcW w:type="dxa" w:w="3660"/>
            <w:shd w:fill="F2F5F9" w:color="auto" w:val="clear"/>
            <w:tcMar>
              <w:top w:type="dxa" w:w="60"/>
              <w:left w:type="dxa" w:w="90"/>
              <w:bottom w:type="dxa" w:w="60"/>
              <w:right w:type="dxa" w:w="90"/>
            </w:tcMar>
          </w:tcPr>
          <w:p>
            <w:pPr>
              <w:spacing w:after="0" w:line="240"/>
            </w:pPr>
            <w:r>
              <w:rPr>
                <w:b w:val="false"/>
                <w:bCs w:val="false"/>
                <w:sz w:val="18"/>
                <w:szCs w:val="18"/>
              </w:rPr>
              <w:t xml:space="preserve">68 projects, 78 percent African. Base cost plus line configuration, line location and project location factors.</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Confirm.</w:t>
            </w:r>
          </w:p>
        </w:tc>
      </w:tr>
      <w:tr>
        <w:tc>
          <w:tcPr>
            <w:tcW w:type="dxa" w:w="700"/>
            <w:tcMar>
              <w:top w:type="dxa" w:w="60"/>
              <w:left w:type="dxa" w:w="90"/>
              <w:bottom w:type="dxa" w:w="60"/>
              <w:right w:type="dxa" w:w="90"/>
            </w:tcMar>
          </w:tcPr>
          <w:p>
            <w:pPr>
              <w:spacing w:after="0" w:line="240"/>
            </w:pPr>
            <w:r>
              <w:rPr>
                <w:b/>
                <w:bCs/>
                <w:sz w:val="18"/>
                <w:szCs w:val="18"/>
              </w:rPr>
              <w:t xml:space="preserve">2</w:t>
            </w:r>
          </w:p>
        </w:tc>
        <w:tc>
          <w:tcPr>
            <w:tcW w:type="dxa" w:w="3100"/>
            <w:tcMar>
              <w:top w:type="dxa" w:w="60"/>
              <w:left w:type="dxa" w:w="90"/>
              <w:bottom w:type="dxa" w:w="60"/>
              <w:right w:type="dxa" w:w="90"/>
            </w:tcMar>
          </w:tcPr>
          <w:p>
            <w:pPr>
              <w:spacing w:after="0" w:line="240"/>
            </w:pPr>
            <w:r>
              <w:rPr>
                <w:b w:val="false"/>
                <w:bCs w:val="false"/>
                <w:sz w:val="18"/>
                <w:szCs w:val="18"/>
              </w:rPr>
              <w:t xml:space="preserve">Pletka (2014) / Black and Veatch for WECC</w:t>
            </w:r>
          </w:p>
        </w:tc>
        <w:tc>
          <w:tcPr>
            <w:tcW w:type="dxa" w:w="3660"/>
            <w:tcMar>
              <w:top w:type="dxa" w:w="60"/>
              <w:left w:type="dxa" w:w="90"/>
              <w:bottom w:type="dxa" w:w="60"/>
              <w:right w:type="dxa" w:w="90"/>
            </w:tcMar>
          </w:tcPr>
          <w:p>
            <w:pPr>
              <w:spacing w:after="0" w:line="240"/>
            </w:pPr>
            <w:r>
              <w:rPr>
                <w:b w:val="false"/>
                <w:bCs w:val="false"/>
                <w:sz w:val="18"/>
                <w:szCs w:val="18"/>
              </w:rPr>
              <w:t xml:space="preserve">Base cost with adjustment factors for conductor, tower design and voltage class.</w:t>
            </w:r>
          </w:p>
        </w:tc>
        <w:tc>
          <w:tcPr>
            <w:tcW w:type="dxa" w:w="1900"/>
            <w:tcMar>
              <w:top w:type="dxa" w:w="60"/>
              <w:left w:type="dxa" w:w="90"/>
              <w:bottom w:type="dxa" w:w="60"/>
              <w:right w:type="dxa" w:w="90"/>
            </w:tcMar>
          </w:tcPr>
          <w:p>
            <w:pPr>
              <w:spacing w:after="0" w:line="240"/>
            </w:pPr>
            <w:r>
              <w:rPr>
                <w:b w:val="false"/>
                <w:bCs w:val="false"/>
                <w:sz w:val="18"/>
                <w:szCs w:val="18"/>
              </w:rPr>
              <w:t xml:space="preserve">Confirm.</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2</w:t>
            </w:r>
          </w:p>
        </w:tc>
        <w:tc>
          <w:tcPr>
            <w:tcW w:type="dxa" w:w="3100"/>
            <w:shd w:fill="F2F5F9" w:color="auto" w:val="clear"/>
            <w:tcMar>
              <w:top w:type="dxa" w:w="60"/>
              <w:left w:type="dxa" w:w="90"/>
              <w:bottom w:type="dxa" w:w="60"/>
              <w:right w:type="dxa" w:w="90"/>
            </w:tcMar>
          </w:tcPr>
          <w:p>
            <w:pPr>
              <w:spacing w:after="0" w:line="240"/>
            </w:pPr>
            <w:r>
              <w:rPr>
                <w:b w:val="false"/>
                <w:bCs w:val="false"/>
                <w:sz w:val="18"/>
                <w:szCs w:val="18"/>
              </w:rPr>
              <w:t xml:space="preserve">World Bank Business Ready, Logistics Performance Index, Worldwide Governance Indicators</w:t>
            </w:r>
          </w:p>
        </w:tc>
        <w:tc>
          <w:tcPr>
            <w:tcW w:type="dxa" w:w="3660"/>
            <w:shd w:fill="F2F5F9" w:color="auto" w:val="clear"/>
            <w:tcMar>
              <w:top w:type="dxa" w:w="60"/>
              <w:left w:type="dxa" w:w="90"/>
              <w:bottom w:type="dxa" w:w="60"/>
              <w:right w:type="dxa" w:w="90"/>
            </w:tcMar>
          </w:tcPr>
          <w:p>
            <w:pPr>
              <w:spacing w:after="0" w:line="240"/>
            </w:pPr>
            <w:r>
              <w:rPr>
                <w:b w:val="false"/>
                <w:bCs w:val="false"/>
                <w:sz w:val="18"/>
                <w:szCs w:val="18"/>
              </w:rPr>
              <w:t xml:space="preserve">Project-location drivers: regulatory burden, logistics, governance. These are the country-risk multipliers.</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Open.</w:t>
            </w:r>
          </w:p>
        </w:tc>
      </w:tr>
      <w:tr>
        <w:tc>
          <w:tcPr>
            <w:tcW w:type="dxa" w:w="700"/>
            <w:tcMar>
              <w:top w:type="dxa" w:w="60"/>
              <w:left w:type="dxa" w:w="90"/>
              <w:bottom w:type="dxa" w:w="60"/>
              <w:right w:type="dxa" w:w="90"/>
            </w:tcMar>
          </w:tcPr>
          <w:p>
            <w:pPr>
              <w:spacing w:after="0" w:line="240"/>
            </w:pPr>
            <w:r>
              <w:rPr>
                <w:b/>
                <w:bCs/>
                <w:sz w:val="18"/>
                <w:szCs w:val="18"/>
              </w:rPr>
              <w:t xml:space="preserve">2</w:t>
            </w:r>
          </w:p>
        </w:tc>
        <w:tc>
          <w:tcPr>
            <w:tcW w:type="dxa" w:w="3100"/>
            <w:tcMar>
              <w:top w:type="dxa" w:w="60"/>
              <w:left w:type="dxa" w:w="90"/>
              <w:bottom w:type="dxa" w:w="60"/>
              <w:right w:type="dxa" w:w="90"/>
            </w:tcMar>
          </w:tcPr>
          <w:p>
            <w:pPr>
              <w:spacing w:after="0" w:line="240"/>
            </w:pPr>
            <w:r>
              <w:rPr>
                <w:b w:val="false"/>
                <w:bCs w:val="false"/>
                <w:sz w:val="18"/>
                <w:szCs w:val="18"/>
              </w:rPr>
              <w:t xml:space="preserve">Regulator filings and utility annual reports (ERA, UETCL, and regional equivalents)</w:t>
            </w:r>
          </w:p>
        </w:tc>
        <w:tc>
          <w:tcPr>
            <w:tcW w:type="dxa" w:w="3660"/>
            <w:tcMar>
              <w:top w:type="dxa" w:w="60"/>
              <w:left w:type="dxa" w:w="90"/>
              <w:bottom w:type="dxa" w:w="60"/>
              <w:right w:type="dxa" w:w="90"/>
            </w:tcMar>
          </w:tcPr>
          <w:p>
            <w:pPr>
              <w:spacing w:after="0" w:line="240"/>
            </w:pPr>
            <w:r>
              <w:rPr>
                <w:b w:val="false"/>
                <w:bCs w:val="false"/>
                <w:sz w:val="18"/>
                <w:szCs w:val="18"/>
              </w:rPr>
              <w:t xml:space="preserve">Tariff, wheeling, RAB and actual outturn costs in-country.</w:t>
            </w:r>
          </w:p>
        </w:tc>
        <w:tc>
          <w:tcPr>
            <w:tcW w:type="dxa" w:w="1900"/>
            <w:tcMar>
              <w:top w:type="dxa" w:w="60"/>
              <w:left w:type="dxa" w:w="90"/>
              <w:bottom w:type="dxa" w:w="60"/>
              <w:right w:type="dxa" w:w="90"/>
            </w:tcMar>
          </w:tcPr>
          <w:p>
            <w:pPr>
              <w:spacing w:after="0" w:line="240"/>
            </w:pPr>
            <w:r>
              <w:rPr>
                <w:b w:val="false"/>
                <w:bCs w:val="false"/>
                <w:sz w:val="18"/>
                <w:szCs w:val="18"/>
              </w:rPr>
              <w:t xml:space="preserve">Public.</w:t>
            </w:r>
          </w:p>
        </w:tc>
      </w:tr>
      <w:tr>
        <w:tc>
          <w:tcPr>
            <w:tcW w:type="dxa" w:w="700"/>
            <w:shd w:fill="F2F5F9" w:color="auto" w:val="clear"/>
            <w:tcMar>
              <w:top w:type="dxa" w:w="60"/>
              <w:left w:type="dxa" w:w="90"/>
              <w:bottom w:type="dxa" w:w="60"/>
              <w:right w:type="dxa" w:w="90"/>
            </w:tcMar>
          </w:tcPr>
          <w:p>
            <w:pPr>
              <w:spacing w:after="0" w:line="240"/>
            </w:pPr>
            <w:r>
              <w:rPr>
                <w:b/>
                <w:bCs/>
                <w:sz w:val="18"/>
                <w:szCs w:val="18"/>
              </w:rPr>
              <w:t xml:space="preserve">2</w:t>
            </w:r>
          </w:p>
        </w:tc>
        <w:tc>
          <w:tcPr>
            <w:tcW w:type="dxa" w:w="3100"/>
            <w:shd w:fill="F2F5F9" w:color="auto" w:val="clear"/>
            <w:tcMar>
              <w:top w:type="dxa" w:w="60"/>
              <w:left w:type="dxa" w:w="90"/>
              <w:bottom w:type="dxa" w:w="60"/>
              <w:right w:type="dxa" w:w="90"/>
            </w:tcMar>
          </w:tcPr>
          <w:p>
            <w:pPr>
              <w:spacing w:after="0" w:line="240"/>
            </w:pPr>
            <w:r>
              <w:rPr>
                <w:b w:val="false"/>
                <w:bCs w:val="false"/>
                <w:sz w:val="18"/>
                <w:szCs w:val="18"/>
              </w:rPr>
              <w:t xml:space="preserve">Procurement notices and contract awards (World Bank, AfDB, national portals)</w:t>
            </w:r>
          </w:p>
        </w:tc>
        <w:tc>
          <w:tcPr>
            <w:tcW w:type="dxa" w:w="3660"/>
            <w:shd w:fill="F2F5F9" w:color="auto" w:val="clear"/>
            <w:tcMar>
              <w:top w:type="dxa" w:w="60"/>
              <w:left w:type="dxa" w:w="90"/>
              <w:bottom w:type="dxa" w:w="60"/>
              <w:right w:type="dxa" w:w="90"/>
            </w:tcMar>
          </w:tcPr>
          <w:p>
            <w:pPr>
              <w:spacing w:after="0" w:line="240"/>
            </w:pPr>
            <w:r>
              <w:rPr>
                <w:b w:val="false"/>
                <w:bCs w:val="false"/>
                <w:sz w:val="18"/>
                <w:szCs w:val="18"/>
              </w:rPr>
              <w:t xml:space="preserve">Awarded prices, which are outturn rather than estimate.</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Public.</w:t>
            </w:r>
          </w:p>
        </w:tc>
      </w:tr>
      <w:tr>
        <w:tc>
          <w:tcPr>
            <w:tcW w:type="dxa" w:w="700"/>
            <w:tcMar>
              <w:top w:type="dxa" w:w="60"/>
              <w:left w:type="dxa" w:w="90"/>
              <w:bottom w:type="dxa" w:w="60"/>
              <w:right w:type="dxa" w:w="90"/>
            </w:tcMar>
          </w:tcPr>
          <w:p>
            <w:pPr>
              <w:spacing w:after="0" w:line="240"/>
            </w:pPr>
            <w:r>
              <w:rPr>
                <w:b/>
                <w:bCs/>
                <w:sz w:val="18"/>
                <w:szCs w:val="18"/>
              </w:rPr>
              <w:t xml:space="preserve">3</w:t>
            </w:r>
          </w:p>
        </w:tc>
        <w:tc>
          <w:tcPr>
            <w:tcW w:type="dxa" w:w="3100"/>
            <w:tcMar>
              <w:top w:type="dxa" w:w="60"/>
              <w:left w:type="dxa" w:w="90"/>
              <w:bottom w:type="dxa" w:w="60"/>
              <w:right w:type="dxa" w:w="90"/>
            </w:tcMar>
          </w:tcPr>
          <w:p>
            <w:pPr>
              <w:spacing w:after="0" w:line="240"/>
            </w:pPr>
            <w:r>
              <w:rPr>
                <w:b w:val="false"/>
                <w:bCs w:val="false"/>
                <w:sz w:val="18"/>
                <w:szCs w:val="18"/>
              </w:rPr>
              <w:t xml:space="preserve">Prior PFS, FS and appraisal documents for the corridor</w:t>
            </w:r>
          </w:p>
        </w:tc>
        <w:tc>
          <w:tcPr>
            <w:tcW w:type="dxa" w:w="3660"/>
            <w:tcMar>
              <w:top w:type="dxa" w:w="60"/>
              <w:left w:type="dxa" w:w="90"/>
              <w:bottom w:type="dxa" w:w="60"/>
              <w:right w:type="dxa" w:w="90"/>
            </w:tcMar>
          </w:tcPr>
          <w:p>
            <w:pPr>
              <w:spacing w:after="0" w:line="240"/>
            </w:pPr>
            <w:r>
              <w:rPr>
                <w:b w:val="false"/>
                <w:bCs w:val="false"/>
                <w:sz w:val="18"/>
                <w:szCs w:val="18"/>
              </w:rPr>
              <w:t xml:space="preserve">Project-specific precedent.</w:t>
            </w:r>
          </w:p>
        </w:tc>
        <w:tc>
          <w:tcPr>
            <w:tcW w:type="dxa" w:w="1900"/>
            <w:tcMar>
              <w:top w:type="dxa" w:w="60"/>
              <w:left w:type="dxa" w:w="90"/>
              <w:bottom w:type="dxa" w:w="60"/>
              <w:right w:type="dxa" w:w="90"/>
            </w:tcMar>
          </w:tcPr>
          <w:p>
            <w:pPr>
              <w:spacing w:after="0" w:line="240"/>
            </w:pPr>
            <w:r>
              <w:rPr>
                <w:b w:val="false"/>
                <w:bCs w:val="false"/>
                <w:sz w:val="18"/>
                <w:szCs w:val="18"/>
              </w:rPr>
              <w:t xml:space="preserve">Project data. Developer's property per TOR Section 14.</w:t>
            </w:r>
          </w:p>
        </w:tc>
      </w:tr>
    </w:tbl>
    <w:p>
      <w:pPr>
        <w:spacing w:after="120" w:line="264"/>
      </w:pPr>
      <w:r>
        <w:rPr>
          <w:b/>
          <w:bCs/>
        </w:rPr>
        <w:t xml:space="preserve">The ESMAP entry is the single most valuable item on this list, </w:t>
      </w:r>
      <w:r>
        <w:t xml:space="preserve">and its licence is the reason. It is published under a Creative Commons licence that permits adaptation, including for commercial purposes, with attribution. That means the benchmark library can be built on it lawfully rather than assembled from scraped fragments of uncertain provenance. It is also the right shape: it reports ranges, it separates region and voltage, and it is drawn from appraisal and completion documents rather than from marketing material.</w:t>
      </w:r>
    </w:p>
    <w:p>
      <w:pPr>
        <w:pStyle w:val="Heading1"/>
        <w:spacing w:after="120" w:before="280"/>
      </w:pPr>
      <w:r>
        <w:rPr>
          <w:b/>
          <w:bCs/>
          <w:color w:val="1F3A5F"/>
          <w:sz w:val="26"/>
          <w:szCs w:val="26"/>
        </w:rPr>
        <w:t xml:space="preserve">4  Functional requirements: benchmark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160"/>
      </w:tblGrid>
      <w:tr>
        <w:trPr>
          <w:tblHeader/>
        </w:trPr>
        <w:tc>
          <w:tcPr>
            <w:tcW w:type="dxa" w:w="800"/>
            <w:shd w:fill="1F3A5F" w:color="auto" w:val="clear"/>
            <w:tcMar>
              <w:top w:type="dxa" w:w="60"/>
              <w:left w:type="dxa" w:w="90"/>
              <w:bottom w:type="dxa" w:w="60"/>
              <w:right w:type="dxa" w:w="90"/>
            </w:tcMar>
          </w:tcPr>
          <w:p>
            <w:pPr>
              <w:spacing w:after="0" w:line="240"/>
            </w:pPr>
            <w:r>
              <w:rPr>
                <w:b/>
                <w:bCs/>
                <w:color w:val="FFFFFF"/>
                <w:sz w:val="18"/>
                <w:szCs w:val="18"/>
              </w:rPr>
              <w:t xml:space="preserve">ID</w:t>
            </w:r>
          </w:p>
        </w:tc>
        <w:tc>
          <w:tcPr>
            <w:tcW w:type="dxa" w:w="6400"/>
            <w:shd w:fill="1F3A5F" w:color="auto" w:val="clear"/>
            <w:tcMar>
              <w:top w:type="dxa" w:w="60"/>
              <w:left w:type="dxa" w:w="90"/>
              <w:bottom w:type="dxa" w:w="60"/>
              <w:right w:type="dxa" w:w="90"/>
            </w:tcMar>
          </w:tcPr>
          <w:p>
            <w:pPr>
              <w:spacing w:after="0" w:line="240"/>
            </w:pPr>
            <w:r>
              <w:rPr>
                <w:b/>
                <w:bCs/>
                <w:color w:val="FFFFFF"/>
                <w:sz w:val="18"/>
                <w:szCs w:val="18"/>
              </w:rPr>
              <w:t xml:space="preserve">Requirement</w:t>
            </w:r>
          </w:p>
        </w:tc>
        <w:tc>
          <w:tcPr>
            <w:tcW w:type="dxa" w:w="2160"/>
            <w:shd w:fill="1F3A5F" w:color="auto" w:val="clear"/>
            <w:tcMar>
              <w:top w:type="dxa" w:w="60"/>
              <w:left w:type="dxa" w:w="90"/>
              <w:bottom w:type="dxa" w:w="60"/>
              <w:right w:type="dxa" w:w="90"/>
            </w:tcMar>
          </w:tcPr>
          <w:p>
            <w:pPr>
              <w:spacing w:after="0" w:line="240"/>
            </w:pPr>
            <w:r>
              <w:rPr>
                <w:b/>
                <w:bCs/>
                <w:color w:val="FFFFFF"/>
                <w:sz w:val="18"/>
                <w:szCs w:val="18"/>
              </w:rPr>
              <w:t xml:space="preserve">Priority</w:t>
            </w:r>
          </w:p>
        </w:tc>
      </w:tr>
      <w:tr>
        <w:tc>
          <w:tcPr>
            <w:tcW w:type="dxa" w:w="800"/>
            <w:tcMar>
              <w:top w:type="dxa" w:w="60"/>
              <w:left w:type="dxa" w:w="90"/>
              <w:bottom w:type="dxa" w:w="60"/>
              <w:right w:type="dxa" w:w="90"/>
            </w:tcMar>
          </w:tcPr>
          <w:p>
            <w:pPr>
              <w:spacing w:after="0" w:line="240"/>
            </w:pPr>
            <w:r>
              <w:rPr>
                <w:b/>
                <w:bCs/>
                <w:sz w:val="18"/>
                <w:szCs w:val="18"/>
              </w:rPr>
              <w:t xml:space="preserve">FR-13</w:t>
            </w:r>
          </w:p>
        </w:tc>
        <w:tc>
          <w:tcPr>
            <w:tcW w:type="dxa" w:w="6400"/>
            <w:tcMar>
              <w:top w:type="dxa" w:w="60"/>
              <w:left w:type="dxa" w:w="90"/>
              <w:bottom w:type="dxa" w:w="60"/>
              <w:right w:type="dxa" w:w="90"/>
            </w:tcMar>
          </w:tcPr>
          <w:p>
            <w:pPr>
              <w:spacing w:after="0" w:line="240"/>
            </w:pPr>
            <w:r>
              <w:rPr>
                <w:b w:val="false"/>
                <w:bCs w:val="false"/>
                <w:sz w:val="18"/>
                <w:szCs w:val="18"/>
              </w:rPr>
              <w:t xml:space="preserve">The system shall maintain a tiered source register as in Section 3, each source carrying its publisher, vintage, coverage, geography and licence, and shall re-check each source for a newer edition on a defined cycle.</w:t>
            </w:r>
          </w:p>
        </w:tc>
        <w:tc>
          <w:tcPr>
            <w:tcW w:type="dxa" w:w="2160"/>
            <w:tcMar>
              <w:top w:type="dxa" w:w="60"/>
              <w:left w:type="dxa" w:w="90"/>
              <w:bottom w:type="dxa" w:w="60"/>
              <w:right w:type="dxa" w:w="90"/>
            </w:tcMar>
          </w:tcPr>
          <w:p>
            <w:pPr>
              <w:spacing w:after="0" w:line="240"/>
            </w:pPr>
            <w:r>
              <w:rPr>
                <w:b w:val="false"/>
                <w:bCs w:val="false"/>
                <w:sz w:val="18"/>
                <w:szCs w:val="18"/>
              </w:rPr>
              <w:t xml:space="preserve">P1</w:t>
            </w:r>
          </w:p>
        </w:tc>
      </w:tr>
      <w:tr>
        <w:tc>
          <w:tcPr>
            <w:tcW w:type="dxa" w:w="800"/>
            <w:shd w:fill="F2F5F9" w:color="auto" w:val="clear"/>
            <w:tcMar>
              <w:top w:type="dxa" w:w="60"/>
              <w:left w:type="dxa" w:w="90"/>
              <w:bottom w:type="dxa" w:w="60"/>
              <w:right w:type="dxa" w:w="90"/>
            </w:tcMar>
          </w:tcPr>
          <w:p>
            <w:pPr>
              <w:spacing w:after="0" w:line="240"/>
            </w:pPr>
            <w:r>
              <w:rPr>
                <w:b/>
                <w:bCs/>
                <w:sz w:val="18"/>
                <w:szCs w:val="18"/>
              </w:rPr>
              <w:t xml:space="preserve">FR-14</w:t>
            </w:r>
          </w:p>
        </w:tc>
        <w:tc>
          <w:tcPr>
            <w:tcW w:type="dxa" w:w="6400"/>
            <w:shd w:fill="F2F5F9" w:color="auto" w:val="clear"/>
            <w:tcMar>
              <w:top w:type="dxa" w:w="60"/>
              <w:left w:type="dxa" w:w="90"/>
              <w:bottom w:type="dxa" w:w="60"/>
              <w:right w:type="dxa" w:w="90"/>
            </w:tcMar>
          </w:tcPr>
          <w:p>
            <w:pPr>
              <w:spacing w:after="0" w:line="240"/>
            </w:pPr>
            <w:r>
              <w:rPr>
                <w:b w:val="false"/>
                <w:bCs w:val="false"/>
                <w:sz w:val="18"/>
                <w:szCs w:val="18"/>
              </w:rPr>
              <w:t xml:space="preserve">The system shall extract benchmark records from public sources into structured entries, each carrying a resolvable citation to the page or table it came from. An entry without a resolvable citation shall be rejected, not stored with a lower confidence.</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P1</w:t>
            </w:r>
          </w:p>
        </w:tc>
      </w:tr>
      <w:tr>
        <w:tc>
          <w:tcPr>
            <w:tcW w:type="dxa" w:w="800"/>
            <w:tcMar>
              <w:top w:type="dxa" w:w="60"/>
              <w:left w:type="dxa" w:w="90"/>
              <w:bottom w:type="dxa" w:w="60"/>
              <w:right w:type="dxa" w:w="90"/>
            </w:tcMar>
          </w:tcPr>
          <w:p>
            <w:pPr>
              <w:spacing w:after="0" w:line="240"/>
            </w:pPr>
            <w:r>
              <w:rPr>
                <w:b/>
                <w:bCs/>
                <w:sz w:val="18"/>
                <w:szCs w:val="18"/>
              </w:rPr>
              <w:t xml:space="preserve">FR-15</w:t>
            </w:r>
          </w:p>
        </w:tc>
        <w:tc>
          <w:tcPr>
            <w:tcW w:type="dxa" w:w="6400"/>
            <w:tcMar>
              <w:top w:type="dxa" w:w="60"/>
              <w:left w:type="dxa" w:w="90"/>
              <w:bottom w:type="dxa" w:w="60"/>
              <w:right w:type="dxa" w:w="90"/>
            </w:tcMar>
          </w:tcPr>
          <w:p>
            <w:pPr>
              <w:spacing w:after="0" w:line="240"/>
            </w:pPr>
            <w:r>
              <w:rPr>
                <w:b w:val="false"/>
                <w:bCs w:val="false"/>
                <w:sz w:val="18"/>
                <w:szCs w:val="18"/>
              </w:rPr>
              <w:t xml:space="preserve">The system shall normalise every entry to a declared common basis before use: scope definition, currency, price year and named escalation index, voltage, circuit count, conductor class, terrain class, region, and whether the figure is an estimate or an outturn.</w:t>
            </w:r>
          </w:p>
        </w:tc>
        <w:tc>
          <w:tcPr>
            <w:tcW w:type="dxa" w:w="2160"/>
            <w:tcMar>
              <w:top w:type="dxa" w:w="60"/>
              <w:left w:type="dxa" w:w="90"/>
              <w:bottom w:type="dxa" w:w="60"/>
              <w:right w:type="dxa" w:w="90"/>
            </w:tcMar>
          </w:tcPr>
          <w:p>
            <w:pPr>
              <w:spacing w:after="0" w:line="240"/>
            </w:pPr>
            <w:r>
              <w:rPr>
                <w:b w:val="false"/>
                <w:bCs w:val="false"/>
                <w:sz w:val="18"/>
                <w:szCs w:val="18"/>
              </w:rPr>
              <w:t xml:space="preserve">P1</w:t>
            </w:r>
          </w:p>
        </w:tc>
      </w:tr>
      <w:tr>
        <w:tc>
          <w:tcPr>
            <w:tcW w:type="dxa" w:w="800"/>
            <w:shd w:fill="F2F5F9" w:color="auto" w:val="clear"/>
            <w:tcMar>
              <w:top w:type="dxa" w:w="60"/>
              <w:left w:type="dxa" w:w="90"/>
              <w:bottom w:type="dxa" w:w="60"/>
              <w:right w:type="dxa" w:w="90"/>
            </w:tcMar>
          </w:tcPr>
          <w:p>
            <w:pPr>
              <w:spacing w:after="0" w:line="240"/>
            </w:pPr>
            <w:r>
              <w:rPr>
                <w:b/>
                <w:bCs/>
                <w:sz w:val="18"/>
                <w:szCs w:val="18"/>
              </w:rPr>
              <w:t xml:space="preserve">FR-16</w:t>
            </w:r>
          </w:p>
        </w:tc>
        <w:tc>
          <w:tcPr>
            <w:tcW w:type="dxa" w:w="6400"/>
            <w:shd w:fill="F2F5F9" w:color="auto" w:val="clear"/>
            <w:tcMar>
              <w:top w:type="dxa" w:w="60"/>
              <w:left w:type="dxa" w:w="90"/>
              <w:bottom w:type="dxa" w:w="60"/>
              <w:right w:type="dxa" w:w="90"/>
            </w:tcMar>
          </w:tcPr>
          <w:p>
            <w:pPr>
              <w:spacing w:after="0" w:line="240"/>
            </w:pPr>
            <w:r>
              <w:rPr>
                <w:b w:val="false"/>
                <w:bCs w:val="false"/>
                <w:sz w:val="18"/>
                <w:szCs w:val="18"/>
              </w:rPr>
              <w:t xml:space="preserve">Every benchmark shall be expressed as a range with a sample count, never as a single average. ESMAP records minimum-to-maximum ratios of 2 to 3 across its sample and recommends ranges over averages for exactly this reason.</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P1</w:t>
            </w:r>
          </w:p>
        </w:tc>
      </w:tr>
      <w:tr>
        <w:tc>
          <w:tcPr>
            <w:tcW w:type="dxa" w:w="800"/>
            <w:tcMar>
              <w:top w:type="dxa" w:w="60"/>
              <w:left w:type="dxa" w:w="90"/>
              <w:bottom w:type="dxa" w:w="60"/>
              <w:right w:type="dxa" w:w="90"/>
            </w:tcMar>
          </w:tcPr>
          <w:p>
            <w:pPr>
              <w:spacing w:after="0" w:line="240"/>
            </w:pPr>
            <w:r>
              <w:rPr>
                <w:b/>
                <w:bCs/>
                <w:sz w:val="18"/>
                <w:szCs w:val="18"/>
              </w:rPr>
              <w:t xml:space="preserve">FR-17</w:t>
            </w:r>
          </w:p>
        </w:tc>
        <w:tc>
          <w:tcPr>
            <w:tcW w:type="dxa" w:w="6400"/>
            <w:tcMar>
              <w:top w:type="dxa" w:w="60"/>
              <w:left w:type="dxa" w:w="90"/>
              <w:bottom w:type="dxa" w:w="60"/>
              <w:right w:type="dxa" w:w="90"/>
            </w:tcMar>
          </w:tcPr>
          <w:p>
            <w:pPr>
              <w:spacing w:after="0" w:line="240"/>
            </w:pPr>
            <w:r>
              <w:rPr>
                <w:b w:val="false"/>
                <w:bCs w:val="false"/>
                <w:sz w:val="18"/>
                <w:szCs w:val="18"/>
              </w:rPr>
              <w:t xml:space="preserve">The system shall apply the cost-driver factors from the register to adjust a benchmark to the project's own configuration, location and terrain before comparison, and shall show the adjustment chain alongside the flag.</w:t>
            </w:r>
          </w:p>
        </w:tc>
        <w:tc>
          <w:tcPr>
            <w:tcW w:type="dxa" w:w="2160"/>
            <w:tcMar>
              <w:top w:type="dxa" w:w="60"/>
              <w:left w:type="dxa" w:w="90"/>
              <w:bottom w:type="dxa" w:w="60"/>
              <w:right w:type="dxa" w:w="90"/>
            </w:tcMar>
          </w:tcPr>
          <w:p>
            <w:pPr>
              <w:spacing w:after="0" w:line="240"/>
            </w:pPr>
            <w:r>
              <w:rPr>
                <w:b w:val="false"/>
                <w:bCs w:val="false"/>
                <w:sz w:val="18"/>
                <w:szCs w:val="18"/>
              </w:rPr>
              <w:t xml:space="preserve">P1</w:t>
            </w:r>
          </w:p>
        </w:tc>
      </w:tr>
      <w:tr>
        <w:tc>
          <w:tcPr>
            <w:tcW w:type="dxa" w:w="800"/>
            <w:shd w:fill="F2F5F9" w:color="auto" w:val="clear"/>
            <w:tcMar>
              <w:top w:type="dxa" w:w="60"/>
              <w:left w:type="dxa" w:w="90"/>
              <w:bottom w:type="dxa" w:w="60"/>
              <w:right w:type="dxa" w:w="90"/>
            </w:tcMar>
          </w:tcPr>
          <w:p>
            <w:pPr>
              <w:spacing w:after="0" w:line="240"/>
            </w:pPr>
            <w:r>
              <w:rPr>
                <w:b/>
                <w:bCs/>
                <w:sz w:val="18"/>
                <w:szCs w:val="18"/>
              </w:rPr>
              <w:t xml:space="preserve">FR-18</w:t>
            </w:r>
          </w:p>
        </w:tc>
        <w:tc>
          <w:tcPr>
            <w:tcW w:type="dxa" w:w="6400"/>
            <w:shd w:fill="F2F5F9" w:color="auto" w:val="clear"/>
            <w:tcMar>
              <w:top w:type="dxa" w:w="60"/>
              <w:left w:type="dxa" w:w="90"/>
              <w:bottom w:type="dxa" w:w="60"/>
              <w:right w:type="dxa" w:w="90"/>
            </w:tcMar>
          </w:tcPr>
          <w:p>
            <w:pPr>
              <w:spacing w:after="0" w:line="240"/>
            </w:pPr>
            <w:r>
              <w:rPr>
                <w:b w:val="false"/>
                <w:bCs w:val="false"/>
                <w:sz w:val="18"/>
                <w:szCs w:val="18"/>
              </w:rPr>
              <w:t xml:space="preserve">Where a benchmark has fewer than three independent sources after normalisation, a deviation against it shall raise an Advisory flag at most, never Material.</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P0</w:t>
            </w:r>
          </w:p>
        </w:tc>
      </w:tr>
    </w:tbl>
    <w:p>
      <w:pPr>
        <w:pStyle w:val="Heading1"/>
        <w:spacing w:after="120" w:before="280"/>
      </w:pPr>
      <w:r>
        <w:rPr>
          <w:b/>
          <w:bCs/>
          <w:color w:val="1F3A5F"/>
          <w:sz w:val="26"/>
          <w:szCs w:val="26"/>
        </w:rPr>
        <w:t xml:space="preserve">5  Functional requirements: methodology and tool replication</w:t>
      </w:r>
    </w:p>
    <w:p>
      <w:pPr>
        <w:spacing w:after="120" w:line="264"/>
      </w:pPr>
      <w:r>
        <w:t xml:space="preserve">This is what turns a reference-value check into a real second opinion, and it is the dual-track idea from the Uganda development ToR expressed as a product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160"/>
      </w:tblGrid>
      <w:tr>
        <w:trPr>
          <w:tblHeader/>
        </w:trPr>
        <w:tc>
          <w:tcPr>
            <w:tcW w:type="dxa" w:w="800"/>
            <w:shd w:fill="1F3A5F" w:color="auto" w:val="clear"/>
            <w:tcMar>
              <w:top w:type="dxa" w:w="60"/>
              <w:left w:type="dxa" w:w="90"/>
              <w:bottom w:type="dxa" w:w="60"/>
              <w:right w:type="dxa" w:w="90"/>
            </w:tcMar>
          </w:tcPr>
          <w:p>
            <w:pPr>
              <w:spacing w:after="0" w:line="240"/>
            </w:pPr>
            <w:r>
              <w:rPr>
                <w:b/>
                <w:bCs/>
                <w:color w:val="FFFFFF"/>
                <w:sz w:val="18"/>
                <w:szCs w:val="18"/>
              </w:rPr>
              <w:t xml:space="preserve">ID</w:t>
            </w:r>
          </w:p>
        </w:tc>
        <w:tc>
          <w:tcPr>
            <w:tcW w:type="dxa" w:w="6400"/>
            <w:shd w:fill="1F3A5F" w:color="auto" w:val="clear"/>
            <w:tcMar>
              <w:top w:type="dxa" w:w="60"/>
              <w:left w:type="dxa" w:w="90"/>
              <w:bottom w:type="dxa" w:w="60"/>
              <w:right w:type="dxa" w:w="90"/>
            </w:tcMar>
          </w:tcPr>
          <w:p>
            <w:pPr>
              <w:spacing w:after="0" w:line="240"/>
            </w:pPr>
            <w:r>
              <w:rPr>
                <w:b/>
                <w:bCs/>
                <w:color w:val="FFFFFF"/>
                <w:sz w:val="18"/>
                <w:szCs w:val="18"/>
              </w:rPr>
              <w:t xml:space="preserve">Requirement</w:t>
            </w:r>
          </w:p>
        </w:tc>
        <w:tc>
          <w:tcPr>
            <w:tcW w:type="dxa" w:w="2160"/>
            <w:shd w:fill="1F3A5F" w:color="auto" w:val="clear"/>
            <w:tcMar>
              <w:top w:type="dxa" w:w="60"/>
              <w:left w:type="dxa" w:w="90"/>
              <w:bottom w:type="dxa" w:w="60"/>
              <w:right w:type="dxa" w:w="90"/>
            </w:tcMar>
          </w:tcPr>
          <w:p>
            <w:pPr>
              <w:spacing w:after="0" w:line="240"/>
            </w:pPr>
            <w:r>
              <w:rPr>
                <w:b/>
                <w:bCs/>
                <w:color w:val="FFFFFF"/>
                <w:sz w:val="18"/>
                <w:szCs w:val="18"/>
              </w:rPr>
              <w:t xml:space="preserve">Priority</w:t>
            </w:r>
          </w:p>
        </w:tc>
      </w:tr>
      <w:tr>
        <w:tc>
          <w:tcPr>
            <w:tcW w:type="dxa" w:w="800"/>
            <w:tcMar>
              <w:top w:type="dxa" w:w="60"/>
              <w:left w:type="dxa" w:w="90"/>
              <w:bottom w:type="dxa" w:w="60"/>
              <w:right w:type="dxa" w:w="90"/>
            </w:tcMar>
          </w:tcPr>
          <w:p>
            <w:pPr>
              <w:spacing w:after="0" w:line="240"/>
            </w:pPr>
            <w:r>
              <w:rPr>
                <w:b/>
                <w:bCs/>
                <w:sz w:val="18"/>
                <w:szCs w:val="18"/>
              </w:rPr>
              <w:t xml:space="preserve">FR-19</w:t>
            </w:r>
          </w:p>
        </w:tc>
        <w:tc>
          <w:tcPr>
            <w:tcW w:type="dxa" w:w="6400"/>
            <w:tcMar>
              <w:top w:type="dxa" w:w="60"/>
              <w:left w:type="dxa" w:w="90"/>
              <w:bottom w:type="dxa" w:w="60"/>
              <w:right w:type="dxa" w:w="90"/>
            </w:tcMar>
          </w:tcPr>
          <w:p>
            <w:pPr>
              <w:spacing w:after="0" w:line="240"/>
            </w:pPr>
            <w:r>
              <w:rPr>
                <w:b w:val="false"/>
                <w:bCs w:val="false"/>
                <w:sz w:val="18"/>
                <w:szCs w:val="18"/>
              </w:rPr>
              <w:t xml:space="preserve">The system shall re-run the analysis behind a submitted deliverable using the same class of tool as the Consultant: sectoral end-use demand modelling (MAED class), least-cost capacity expansion (OSeMOSYS class), network studies (PSS/E or DIgSILENT PowerFactory, matching the utility's standard), and line design and spotting (PLS-CADD class).</w:t>
            </w:r>
          </w:p>
        </w:tc>
        <w:tc>
          <w:tcPr>
            <w:tcW w:type="dxa" w:w="2160"/>
            <w:tcMar>
              <w:top w:type="dxa" w:w="60"/>
              <w:left w:type="dxa" w:w="90"/>
              <w:bottom w:type="dxa" w:w="60"/>
              <w:right w:type="dxa" w:w="90"/>
            </w:tcMar>
          </w:tcPr>
          <w:p>
            <w:pPr>
              <w:spacing w:after="0" w:line="240"/>
            </w:pPr>
            <w:r>
              <w:rPr>
                <w:b w:val="false"/>
                <w:bCs w:val="false"/>
                <w:sz w:val="18"/>
                <w:szCs w:val="18"/>
              </w:rPr>
              <w:t xml:space="preserve">P2</w:t>
            </w:r>
          </w:p>
        </w:tc>
      </w:tr>
      <w:tr>
        <w:tc>
          <w:tcPr>
            <w:tcW w:type="dxa" w:w="800"/>
            <w:shd w:fill="F2F5F9" w:color="auto" w:val="clear"/>
            <w:tcMar>
              <w:top w:type="dxa" w:w="60"/>
              <w:left w:type="dxa" w:w="90"/>
              <w:bottom w:type="dxa" w:w="60"/>
              <w:right w:type="dxa" w:w="90"/>
            </w:tcMar>
          </w:tcPr>
          <w:p>
            <w:pPr>
              <w:spacing w:after="0" w:line="240"/>
            </w:pPr>
            <w:r>
              <w:rPr>
                <w:b/>
                <w:bCs/>
                <w:sz w:val="18"/>
                <w:szCs w:val="18"/>
              </w:rPr>
              <w:t xml:space="preserve">FR-20</w:t>
            </w:r>
          </w:p>
        </w:tc>
        <w:tc>
          <w:tcPr>
            <w:tcW w:type="dxa" w:w="6400"/>
            <w:shd w:fill="F2F5F9" w:color="auto" w:val="clear"/>
            <w:tcMar>
              <w:top w:type="dxa" w:w="60"/>
              <w:left w:type="dxa" w:w="90"/>
              <w:bottom w:type="dxa" w:w="60"/>
              <w:right w:type="dxa" w:w="90"/>
            </w:tcMar>
          </w:tcPr>
          <w:p>
            <w:pPr>
              <w:spacing w:after="0" w:line="240"/>
            </w:pPr>
            <w:r>
              <w:rPr>
                <w:b w:val="false"/>
                <w:bCs w:val="false"/>
                <w:sz w:val="18"/>
                <w:szCs w:val="18"/>
              </w:rPr>
              <w:t xml:space="preserve">The system shall check methodology conformance separately from result conformance: whether the required study was performed at all, against the applicable grid code and the FS Review Standard, before asking whether its answer matches.</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P1</w:t>
            </w:r>
          </w:p>
        </w:tc>
      </w:tr>
      <w:tr>
        <w:tc>
          <w:tcPr>
            <w:tcW w:type="dxa" w:w="800"/>
            <w:tcMar>
              <w:top w:type="dxa" w:w="60"/>
              <w:left w:type="dxa" w:w="90"/>
              <w:bottom w:type="dxa" w:w="60"/>
              <w:right w:type="dxa" w:w="90"/>
            </w:tcMar>
          </w:tcPr>
          <w:p>
            <w:pPr>
              <w:spacing w:after="0" w:line="240"/>
            </w:pPr>
            <w:r>
              <w:rPr>
                <w:b/>
                <w:bCs/>
                <w:sz w:val="18"/>
                <w:szCs w:val="18"/>
              </w:rPr>
              <w:t xml:space="preserve">FR-21</w:t>
            </w:r>
          </w:p>
        </w:tc>
        <w:tc>
          <w:tcPr>
            <w:tcW w:type="dxa" w:w="6400"/>
            <w:tcMar>
              <w:top w:type="dxa" w:w="60"/>
              <w:left w:type="dxa" w:w="90"/>
              <w:bottom w:type="dxa" w:w="60"/>
              <w:right w:type="dxa" w:w="90"/>
            </w:tcMar>
          </w:tcPr>
          <w:p>
            <w:pPr>
              <w:spacing w:after="0" w:line="240"/>
            </w:pPr>
            <w:r>
              <w:rPr>
                <w:b w:val="false"/>
                <w:bCs w:val="false"/>
                <w:sz w:val="18"/>
                <w:szCs w:val="18"/>
              </w:rPr>
              <w:t xml:space="preserve">Replication inputs shall be pinned and versioned so that any variance can be attributed to an input difference, a method difference or a genuine disagreement. An unattributable variance shall not be raised as a flag.</w:t>
            </w:r>
          </w:p>
        </w:tc>
        <w:tc>
          <w:tcPr>
            <w:tcW w:type="dxa" w:w="2160"/>
            <w:tcMar>
              <w:top w:type="dxa" w:w="60"/>
              <w:left w:type="dxa" w:w="90"/>
              <w:bottom w:type="dxa" w:w="60"/>
              <w:right w:type="dxa" w:w="90"/>
            </w:tcMar>
          </w:tcPr>
          <w:p>
            <w:pPr>
              <w:spacing w:after="0" w:line="240"/>
            </w:pPr>
            <w:r>
              <w:rPr>
                <w:b w:val="false"/>
                <w:bCs w:val="false"/>
                <w:sz w:val="18"/>
                <w:szCs w:val="18"/>
              </w:rPr>
              <w:t xml:space="preserve">P2</w:t>
            </w:r>
          </w:p>
        </w:tc>
      </w:tr>
      <w:tr>
        <w:tc>
          <w:tcPr>
            <w:tcW w:type="dxa" w:w="800"/>
            <w:shd w:fill="F2F5F9" w:color="auto" w:val="clear"/>
            <w:tcMar>
              <w:top w:type="dxa" w:w="60"/>
              <w:left w:type="dxa" w:w="90"/>
              <w:bottom w:type="dxa" w:w="60"/>
              <w:right w:type="dxa" w:w="90"/>
            </w:tcMar>
          </w:tcPr>
          <w:p>
            <w:pPr>
              <w:spacing w:after="0" w:line="240"/>
            </w:pPr>
            <w:r>
              <w:rPr>
                <w:b/>
                <w:bCs/>
                <w:sz w:val="18"/>
                <w:szCs w:val="18"/>
              </w:rPr>
              <w:t xml:space="preserve">FR-22</w:t>
            </w:r>
          </w:p>
        </w:tc>
        <w:tc>
          <w:tcPr>
            <w:tcW w:type="dxa" w:w="6400"/>
            <w:shd w:fill="F2F5F9" w:color="auto" w:val="clear"/>
            <w:tcMar>
              <w:top w:type="dxa" w:w="60"/>
              <w:left w:type="dxa" w:w="90"/>
              <w:bottom w:type="dxa" w:w="60"/>
              <w:right w:type="dxa" w:w="90"/>
            </w:tcMar>
          </w:tcPr>
          <w:p>
            <w:pPr>
              <w:spacing w:after="0" w:line="240"/>
            </w:pPr>
            <w:r>
              <w:rPr>
                <w:b w:val="false"/>
                <w:bCs w:val="false"/>
                <w:sz w:val="18"/>
                <w:szCs w:val="18"/>
              </w:rPr>
              <w:t xml:space="preserve">Replication output shall be a variance report readable without either track's authors present, covering cost, route, rating, compensation, schedule and readiness.</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P2</w:t>
            </w:r>
          </w:p>
        </w:tc>
      </w:tr>
    </w:tbl>
    <w:p>
      <w:pPr>
        <w:spacing w:after="120" w:line="264"/>
      </w:pPr>
      <w:r>
        <w:rPr>
          <w:b/>
          <w:bCs/>
        </w:rPr>
        <w:t xml:space="preserve">A caution worth writing into the build. </w:t>
      </w:r>
      <w:r>
        <w:t xml:space="preserve">FR-19 is the most expensive requirement in the whole PRD and the easiest to oversell. Re-running a PSS/E case needs the utility's network model, which the platform may not hold, and re-running PLS-CADD needs the survey the Consultant commissioned. Where the input is absent, the honest behaviour is to report that the check could not be run, not to substitute a public proxy and present the result as a replication. This is the same failure mode the Review Standard blocks elsewhere.</w:t>
      </w:r>
    </w:p>
    <w:p>
      <w:pPr>
        <w:pStyle w:val="Heading1"/>
        <w:spacing w:after="120" w:before="280"/>
      </w:pPr>
      <w:r>
        <w:rPr>
          <w:b/>
          <w:bCs/>
          <w:color w:val="1F3A5F"/>
          <w:sz w:val="26"/>
          <w:szCs w:val="26"/>
        </w:rPr>
        <w:t xml:space="preserve">6  Functional requirements: accuracy-range verification</w:t>
      </w:r>
    </w:p>
    <w:p>
      <w:pPr>
        <w:spacing w:after="120" w:line="264"/>
      </w:pPr>
      <w:r>
        <w:t xml:space="preserve">Accuracy needs a recognised yardstick rather than an in-house one. AACE International's cost estimate classification is the standard reference, in 18R-97 for process industries and 98R-18 for transport infrastructure, and it ties the credible accuracy range to how much of the project is actually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700"/>
        <w:gridCol w:w="1900"/>
        <w:gridCol w:w="1760"/>
      </w:tblGrid>
      <w:tr>
        <w:trPr>
          <w:tblHeader/>
        </w:trPr>
        <w:tc>
          <w:tcPr>
            <w:tcW w:type="dxa" w:w="1100"/>
            <w:shd w:fill="1F3A5F" w:color="auto" w:val="clear"/>
            <w:tcMar>
              <w:top w:type="dxa" w:w="60"/>
              <w:left w:type="dxa" w:w="90"/>
              <w:bottom w:type="dxa" w:w="60"/>
              <w:right w:type="dxa" w:w="90"/>
            </w:tcMar>
          </w:tcPr>
          <w:p>
            <w:pPr>
              <w:spacing w:after="0" w:line="240"/>
            </w:pPr>
            <w:r>
              <w:rPr>
                <w:b/>
                <w:bCs/>
                <w:color w:val="FFFFFF"/>
                <w:sz w:val="18"/>
                <w:szCs w:val="18"/>
              </w:rPr>
              <w:t xml:space="preserve">Class</w:t>
            </w:r>
          </w:p>
        </w:tc>
        <w:tc>
          <w:tcPr>
            <w:tcW w:type="dxa" w:w="2900"/>
            <w:shd w:fill="1F3A5F" w:color="auto" w:val="clear"/>
            <w:tcMar>
              <w:top w:type="dxa" w:w="60"/>
              <w:left w:type="dxa" w:w="90"/>
              <w:bottom w:type="dxa" w:w="60"/>
              <w:right w:type="dxa" w:w="90"/>
            </w:tcMar>
          </w:tcPr>
          <w:p>
            <w:pPr>
              <w:spacing w:after="0" w:line="240"/>
            </w:pPr>
            <w:r>
              <w:rPr>
                <w:b/>
                <w:bCs/>
                <w:color w:val="FFFFFF"/>
                <w:sz w:val="18"/>
                <w:szCs w:val="18"/>
              </w:rPr>
              <w:t xml:space="preserve">Usage</w:t>
            </w:r>
          </w:p>
        </w:tc>
        <w:tc>
          <w:tcPr>
            <w:tcW w:type="dxa" w:w="1700"/>
            <w:shd w:fill="1F3A5F" w:color="auto" w:val="clear"/>
            <w:tcMar>
              <w:top w:type="dxa" w:w="60"/>
              <w:left w:type="dxa" w:w="90"/>
              <w:bottom w:type="dxa" w:w="60"/>
              <w:right w:type="dxa" w:w="90"/>
            </w:tcMar>
          </w:tcPr>
          <w:p>
            <w:pPr>
              <w:spacing w:after="0" w:line="240"/>
            </w:pPr>
            <w:r>
              <w:rPr>
                <w:b/>
                <w:bCs/>
                <w:color w:val="FFFFFF"/>
                <w:sz w:val="18"/>
                <w:szCs w:val="18"/>
              </w:rPr>
              <w:t xml:space="preserve">Definition</w:t>
            </w:r>
          </w:p>
        </w:tc>
        <w:tc>
          <w:tcPr>
            <w:tcW w:type="dxa" w:w="1900"/>
            <w:shd w:fill="1F3A5F" w:color="auto" w:val="clear"/>
            <w:tcMar>
              <w:top w:type="dxa" w:w="60"/>
              <w:left w:type="dxa" w:w="90"/>
              <w:bottom w:type="dxa" w:w="60"/>
              <w:right w:type="dxa" w:w="90"/>
            </w:tcMar>
          </w:tcPr>
          <w:p>
            <w:pPr>
              <w:spacing w:after="0" w:line="240"/>
            </w:pPr>
            <w:r>
              <w:rPr>
                <w:b/>
                <w:bCs/>
                <w:color w:val="FFFFFF"/>
                <w:sz w:val="18"/>
                <w:szCs w:val="18"/>
              </w:rPr>
              <w:t xml:space="preserve">Accuracy range</w:t>
            </w:r>
          </w:p>
        </w:tc>
        <w:tc>
          <w:tcPr>
            <w:tcW w:type="dxa" w:w="1760"/>
            <w:shd w:fill="1F3A5F" w:color="auto" w:val="clear"/>
            <w:tcMar>
              <w:top w:type="dxa" w:w="60"/>
              <w:left w:type="dxa" w:w="90"/>
              <w:bottom w:type="dxa" w:w="60"/>
              <w:right w:type="dxa" w:w="90"/>
            </w:tcMar>
          </w:tcPr>
          <w:p>
            <w:pPr>
              <w:spacing w:after="0" w:line="240"/>
            </w:pPr>
            <w:r>
              <w:rPr>
                <w:b/>
                <w:bCs/>
                <w:color w:val="FFFFFF"/>
                <w:sz w:val="18"/>
                <w:szCs w:val="18"/>
              </w:rPr>
              <w:t xml:space="preserve">Stage</w:t>
            </w:r>
          </w:p>
        </w:tc>
      </w:tr>
      <w:tr>
        <w:tc>
          <w:tcPr>
            <w:tcW w:type="dxa" w:w="1100"/>
            <w:tcMar>
              <w:top w:type="dxa" w:w="60"/>
              <w:left w:type="dxa" w:w="90"/>
              <w:bottom w:type="dxa" w:w="60"/>
              <w:right w:type="dxa" w:w="90"/>
            </w:tcMar>
          </w:tcPr>
          <w:p>
            <w:pPr>
              <w:spacing w:after="0" w:line="240"/>
            </w:pPr>
            <w:r>
              <w:rPr>
                <w:b/>
                <w:bCs/>
                <w:sz w:val="18"/>
                <w:szCs w:val="18"/>
              </w:rPr>
              <w:t xml:space="preserve">Class 5</w:t>
            </w:r>
          </w:p>
        </w:tc>
        <w:tc>
          <w:tcPr>
            <w:tcW w:type="dxa" w:w="2900"/>
            <w:tcMar>
              <w:top w:type="dxa" w:w="60"/>
              <w:left w:type="dxa" w:w="90"/>
              <w:bottom w:type="dxa" w:w="60"/>
              <w:right w:type="dxa" w:w="90"/>
            </w:tcMar>
          </w:tcPr>
          <w:p>
            <w:pPr>
              <w:spacing w:after="0" w:line="240"/>
            </w:pPr>
            <w:r>
              <w:rPr>
                <w:b w:val="false"/>
                <w:bCs w:val="false"/>
                <w:sz w:val="18"/>
                <w:szCs w:val="18"/>
              </w:rPr>
              <w:t xml:space="preserve">Concept screening</w:t>
            </w:r>
          </w:p>
        </w:tc>
        <w:tc>
          <w:tcPr>
            <w:tcW w:type="dxa" w:w="1700"/>
            <w:tcMar>
              <w:top w:type="dxa" w:w="60"/>
              <w:left w:type="dxa" w:w="90"/>
              <w:bottom w:type="dxa" w:w="60"/>
              <w:right w:type="dxa" w:w="90"/>
            </w:tcMar>
          </w:tcPr>
          <w:p>
            <w:pPr>
              <w:spacing w:after="0" w:line="240"/>
            </w:pPr>
            <w:r>
              <w:rPr>
                <w:b w:val="false"/>
                <w:bCs w:val="false"/>
                <w:sz w:val="18"/>
                <w:szCs w:val="18"/>
              </w:rPr>
              <w:t xml:space="preserve">0 to 2%</w:t>
            </w:r>
          </w:p>
        </w:tc>
        <w:tc>
          <w:tcPr>
            <w:tcW w:type="dxa" w:w="1900"/>
            <w:tcMar>
              <w:top w:type="dxa" w:w="60"/>
              <w:left w:type="dxa" w:w="90"/>
              <w:bottom w:type="dxa" w:w="60"/>
              <w:right w:type="dxa" w:w="90"/>
            </w:tcMar>
          </w:tcPr>
          <w:p>
            <w:pPr>
              <w:spacing w:after="0" w:line="240"/>
            </w:pPr>
            <w:r>
              <w:rPr>
                <w:b w:val="false"/>
                <w:bCs w:val="false"/>
                <w:sz w:val="18"/>
                <w:szCs w:val="18"/>
              </w:rPr>
              <w:t xml:space="preserve">-50% to +100%</w:t>
            </w:r>
          </w:p>
        </w:tc>
        <w:tc>
          <w:tcPr>
            <w:tcW w:type="dxa" w:w="1760"/>
            <w:tcMar>
              <w:top w:type="dxa" w:w="60"/>
              <w:left w:type="dxa" w:w="90"/>
              <w:bottom w:type="dxa" w:w="60"/>
              <w:right w:type="dxa" w:w="90"/>
            </w:tcMar>
          </w:tcPr>
          <w:p>
            <w:pPr>
              <w:spacing w:after="0" w:line="240"/>
            </w:pPr>
            <w:r>
              <w:rPr>
                <w:b w:val="false"/>
                <w:bCs w:val="false"/>
                <w:sz w:val="18"/>
                <w:szCs w:val="18"/>
              </w:rPr>
              <w:t xml:space="preserve">Pre-feasibility</w:t>
            </w:r>
          </w:p>
        </w:tc>
      </w:tr>
      <w:tr>
        <w:tc>
          <w:tcPr>
            <w:tcW w:type="dxa" w:w="1100"/>
            <w:shd w:fill="F2F5F9" w:color="auto" w:val="clear"/>
            <w:tcMar>
              <w:top w:type="dxa" w:w="60"/>
              <w:left w:type="dxa" w:w="90"/>
              <w:bottom w:type="dxa" w:w="60"/>
              <w:right w:type="dxa" w:w="90"/>
            </w:tcMar>
          </w:tcPr>
          <w:p>
            <w:pPr>
              <w:spacing w:after="0" w:line="240"/>
            </w:pPr>
            <w:r>
              <w:rPr>
                <w:b/>
                <w:bCs/>
                <w:sz w:val="18"/>
                <w:szCs w:val="18"/>
              </w:rPr>
              <w:t xml:space="preserve">Class 4</w:t>
            </w:r>
          </w:p>
        </w:tc>
        <w:tc>
          <w:tcPr>
            <w:tcW w:type="dxa" w:w="2900"/>
            <w:shd w:fill="F2F5F9" w:color="auto" w:val="clear"/>
            <w:tcMar>
              <w:top w:type="dxa" w:w="60"/>
              <w:left w:type="dxa" w:w="90"/>
              <w:bottom w:type="dxa" w:w="60"/>
              <w:right w:type="dxa" w:w="90"/>
            </w:tcMar>
          </w:tcPr>
          <w:p>
            <w:pPr>
              <w:spacing w:after="0" w:line="240"/>
            </w:pPr>
            <w:r>
              <w:rPr>
                <w:b w:val="false"/>
                <w:bCs w:val="false"/>
                <w:sz w:val="18"/>
                <w:szCs w:val="18"/>
              </w:rPr>
              <w:t xml:space="preserve">Study or feasibility</w:t>
            </w:r>
          </w:p>
        </w:tc>
        <w:tc>
          <w:tcPr>
            <w:tcW w:type="dxa" w:w="1700"/>
            <w:shd w:fill="F2F5F9" w:color="auto" w:val="clear"/>
            <w:tcMar>
              <w:top w:type="dxa" w:w="60"/>
              <w:left w:type="dxa" w:w="90"/>
              <w:bottom w:type="dxa" w:w="60"/>
              <w:right w:type="dxa" w:w="90"/>
            </w:tcMar>
          </w:tcPr>
          <w:p>
            <w:pPr>
              <w:spacing w:after="0" w:line="240"/>
            </w:pPr>
            <w:r>
              <w:rPr>
                <w:b w:val="false"/>
                <w:bCs w:val="false"/>
                <w:sz w:val="18"/>
                <w:szCs w:val="18"/>
              </w:rPr>
              <w:t xml:space="preserve">1 to 15%</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-30% to +50%</w:t>
            </w:r>
          </w:p>
        </w:tc>
        <w:tc>
          <w:tcPr>
            <w:tcW w:type="dxa" w:w="1760"/>
            <w:shd w:fill="F2F5F9" w:color="auto" w:val="clear"/>
            <w:tcMar>
              <w:top w:type="dxa" w:w="60"/>
              <w:left w:type="dxa" w:w="90"/>
              <w:bottom w:type="dxa" w:w="60"/>
              <w:right w:type="dxa" w:w="90"/>
            </w:tcMar>
          </w:tcPr>
          <w:p>
            <w:pPr>
              <w:spacing w:after="0" w:line="240"/>
            </w:pPr>
            <w:r>
              <w:rPr>
                <w:b w:val="false"/>
                <w:bCs w:val="false"/>
                <w:sz w:val="18"/>
                <w:szCs w:val="18"/>
              </w:rPr>
              <w:t xml:space="preserve">Feasibility</w:t>
            </w:r>
          </w:p>
        </w:tc>
      </w:tr>
      <w:tr>
        <w:tc>
          <w:tcPr>
            <w:tcW w:type="dxa" w:w="1100"/>
            <w:tcMar>
              <w:top w:type="dxa" w:w="60"/>
              <w:left w:type="dxa" w:w="90"/>
              <w:bottom w:type="dxa" w:w="60"/>
              <w:right w:type="dxa" w:w="90"/>
            </w:tcMar>
          </w:tcPr>
          <w:p>
            <w:pPr>
              <w:spacing w:after="0" w:line="240"/>
            </w:pPr>
            <w:r>
              <w:rPr>
                <w:b/>
                <w:bCs/>
                <w:sz w:val="18"/>
                <w:szCs w:val="18"/>
              </w:rPr>
              <w:t xml:space="preserve">Class 3</w:t>
            </w:r>
          </w:p>
        </w:tc>
        <w:tc>
          <w:tcPr>
            <w:tcW w:type="dxa" w:w="2900"/>
            <w:tcMar>
              <w:top w:type="dxa" w:w="60"/>
              <w:left w:type="dxa" w:w="90"/>
              <w:bottom w:type="dxa" w:w="60"/>
              <w:right w:type="dxa" w:w="90"/>
            </w:tcMar>
          </w:tcPr>
          <w:p>
            <w:pPr>
              <w:spacing w:after="0" w:line="240"/>
            </w:pPr>
            <w:r>
              <w:rPr>
                <w:b w:val="false"/>
                <w:bCs w:val="false"/>
                <w:sz w:val="18"/>
                <w:szCs w:val="18"/>
              </w:rPr>
              <w:t xml:space="preserve">Budget authorisation</w:t>
            </w:r>
          </w:p>
        </w:tc>
        <w:tc>
          <w:tcPr>
            <w:tcW w:type="dxa" w:w="1700"/>
            <w:tcMar>
              <w:top w:type="dxa" w:w="60"/>
              <w:left w:type="dxa" w:w="90"/>
              <w:bottom w:type="dxa" w:w="60"/>
              <w:right w:type="dxa" w:w="90"/>
            </w:tcMar>
          </w:tcPr>
          <w:p>
            <w:pPr>
              <w:spacing w:after="0" w:line="240"/>
            </w:pPr>
            <w:r>
              <w:rPr>
                <w:b w:val="false"/>
                <w:bCs w:val="false"/>
                <w:sz w:val="18"/>
                <w:szCs w:val="18"/>
              </w:rPr>
              <w:t xml:space="preserve">10 to 40%</w:t>
            </w:r>
          </w:p>
        </w:tc>
        <w:tc>
          <w:tcPr>
            <w:tcW w:type="dxa" w:w="1900"/>
            <w:tcMar>
              <w:top w:type="dxa" w:w="60"/>
              <w:left w:type="dxa" w:w="90"/>
              <w:bottom w:type="dxa" w:w="60"/>
              <w:right w:type="dxa" w:w="90"/>
            </w:tcMar>
          </w:tcPr>
          <w:p>
            <w:pPr>
              <w:spacing w:after="0" w:line="240"/>
            </w:pPr>
            <w:r>
              <w:rPr>
                <w:b w:val="false"/>
                <w:bCs w:val="false"/>
                <w:sz w:val="18"/>
                <w:szCs w:val="18"/>
              </w:rPr>
              <w:t xml:space="preserve">-20% to +30%</w:t>
            </w:r>
          </w:p>
        </w:tc>
        <w:tc>
          <w:tcPr>
            <w:tcW w:type="dxa" w:w="1760"/>
            <w:tcMar>
              <w:top w:type="dxa" w:w="60"/>
              <w:left w:type="dxa" w:w="90"/>
              <w:bottom w:type="dxa" w:w="60"/>
              <w:right w:type="dxa" w:w="90"/>
            </w:tcMar>
          </w:tcPr>
          <w:p>
            <w:pPr>
              <w:spacing w:after="0" w:line="240"/>
            </w:pPr>
            <w:r>
              <w:rPr>
                <w:b w:val="false"/>
                <w:bCs w:val="false"/>
                <w:sz w:val="18"/>
                <w:szCs w:val="18"/>
              </w:rPr>
              <w:t xml:space="preserve">Post-FS</w:t>
            </w:r>
          </w:p>
        </w:tc>
      </w:tr>
      <w:tr>
        <w:tc>
          <w:tcPr>
            <w:tcW w:type="dxa" w:w="1100"/>
            <w:shd w:fill="F2F5F9" w:color="auto" w:val="clear"/>
            <w:tcMar>
              <w:top w:type="dxa" w:w="60"/>
              <w:left w:type="dxa" w:w="90"/>
              <w:bottom w:type="dxa" w:w="60"/>
              <w:right w:type="dxa" w:w="90"/>
            </w:tcMar>
          </w:tcPr>
          <w:p>
            <w:pPr>
              <w:spacing w:after="0" w:line="240"/>
            </w:pPr>
            <w:r>
              <w:rPr>
                <w:b/>
                <w:bCs/>
                <w:sz w:val="18"/>
                <w:szCs w:val="18"/>
              </w:rPr>
              <w:t xml:space="preserve">Class 2</w:t>
            </w:r>
          </w:p>
        </w:tc>
        <w:tc>
          <w:tcPr>
            <w:tcW w:type="dxa" w:w="2900"/>
            <w:shd w:fill="F2F5F9" w:color="auto" w:val="clear"/>
            <w:tcMar>
              <w:top w:type="dxa" w:w="60"/>
              <w:left w:type="dxa" w:w="90"/>
              <w:bottom w:type="dxa" w:w="60"/>
              <w:right w:type="dxa" w:w="90"/>
            </w:tcMar>
          </w:tcPr>
          <w:p>
            <w:pPr>
              <w:spacing w:after="0" w:line="240"/>
            </w:pPr>
            <w:r>
              <w:rPr>
                <w:b w:val="false"/>
                <w:bCs w:val="false"/>
                <w:sz w:val="18"/>
                <w:szCs w:val="18"/>
              </w:rPr>
              <w:t xml:space="preserve">Control or tender</w:t>
            </w:r>
          </w:p>
        </w:tc>
        <w:tc>
          <w:tcPr>
            <w:tcW w:type="dxa" w:w="1700"/>
            <w:shd w:fill="F2F5F9" w:color="auto" w:val="clear"/>
            <w:tcMar>
              <w:top w:type="dxa" w:w="60"/>
              <w:left w:type="dxa" w:w="90"/>
              <w:bottom w:type="dxa" w:w="60"/>
              <w:right w:type="dxa" w:w="90"/>
            </w:tcMar>
          </w:tcPr>
          <w:p>
            <w:pPr>
              <w:spacing w:after="0" w:line="240"/>
            </w:pPr>
            <w:r>
              <w:rPr>
                <w:b w:val="false"/>
                <w:bCs w:val="false"/>
                <w:sz w:val="18"/>
                <w:szCs w:val="18"/>
              </w:rPr>
              <w:t xml:space="preserve">30 to 75%</w:t>
            </w:r>
          </w:p>
        </w:tc>
        <w:tc>
          <w:tcPr>
            <w:tcW w:type="dxa" w:w="1900"/>
            <w:shd w:fill="F2F5F9" w:color="auto" w:val="clear"/>
            <w:tcMar>
              <w:top w:type="dxa" w:w="60"/>
              <w:left w:type="dxa" w:w="90"/>
              <w:bottom w:type="dxa" w:w="60"/>
              <w:right w:type="dxa" w:w="90"/>
            </w:tcMar>
          </w:tcPr>
          <w:p>
            <w:pPr>
              <w:spacing w:after="0" w:line="240"/>
            </w:pPr>
            <w:r>
              <w:rPr>
                <w:b w:val="false"/>
                <w:bCs w:val="false"/>
                <w:sz w:val="18"/>
                <w:szCs w:val="18"/>
              </w:rPr>
              <w:t xml:space="preserve">-15% to +20%</w:t>
            </w:r>
          </w:p>
        </w:tc>
        <w:tc>
          <w:tcPr>
            <w:tcW w:type="dxa" w:w="1760"/>
            <w:shd w:fill="F2F5F9" w:color="auto" w:val="clear"/>
            <w:tcMar>
              <w:top w:type="dxa" w:w="60"/>
              <w:left w:type="dxa" w:w="90"/>
              <w:bottom w:type="dxa" w:w="60"/>
              <w:right w:type="dxa" w:w="90"/>
            </w:tcMar>
          </w:tcPr>
          <w:p>
            <w:pPr>
              <w:spacing w:after="0" w:line="240"/>
            </w:pPr>
            <w:r>
              <w:rPr>
                <w:b w:val="false"/>
                <w:bCs w:val="false"/>
                <w:sz w:val="18"/>
                <w:szCs w:val="18"/>
              </w:rPr>
              <w:t xml:space="preserve">Tender</w:t>
            </w:r>
          </w:p>
        </w:tc>
      </w:tr>
      <w:tr>
        <w:tc>
          <w:tcPr>
            <w:tcW w:type="dxa" w:w="1100"/>
            <w:tcMar>
              <w:top w:type="dxa" w:w="60"/>
              <w:left w:type="dxa" w:w="90"/>
              <w:bottom w:type="dxa" w:w="60"/>
              <w:right w:type="dxa" w:w="90"/>
            </w:tcMar>
          </w:tcPr>
          <w:p>
            <w:pPr>
              <w:spacing w:after="0" w:line="240"/>
            </w:pPr>
            <w:r>
              <w:rPr>
                <w:b/>
                <w:bCs/>
                <w:sz w:val="18"/>
                <w:szCs w:val="18"/>
              </w:rPr>
              <w:t xml:space="preserve">Class 1</w:t>
            </w:r>
          </w:p>
        </w:tc>
        <w:tc>
          <w:tcPr>
            <w:tcW w:type="dxa" w:w="2900"/>
            <w:tcMar>
              <w:top w:type="dxa" w:w="60"/>
              <w:left w:type="dxa" w:w="90"/>
              <w:bottom w:type="dxa" w:w="60"/>
              <w:right w:type="dxa" w:w="90"/>
            </w:tcMar>
          </w:tcPr>
          <w:p>
            <w:pPr>
              <w:spacing w:after="0" w:line="240"/>
            </w:pPr>
            <w:r>
              <w:rPr>
                <w:b w:val="false"/>
                <w:bCs w:val="false"/>
                <w:sz w:val="18"/>
                <w:szCs w:val="18"/>
              </w:rPr>
              <w:t xml:space="preserve">Check estimate</w:t>
            </w:r>
          </w:p>
        </w:tc>
        <w:tc>
          <w:tcPr>
            <w:tcW w:type="dxa" w:w="1700"/>
            <w:tcMar>
              <w:top w:type="dxa" w:w="60"/>
              <w:left w:type="dxa" w:w="90"/>
              <w:bottom w:type="dxa" w:w="60"/>
              <w:right w:type="dxa" w:w="90"/>
            </w:tcMar>
          </w:tcPr>
          <w:p>
            <w:pPr>
              <w:spacing w:after="0" w:line="240"/>
            </w:pPr>
            <w:r>
              <w:rPr>
                <w:b w:val="false"/>
                <w:bCs w:val="false"/>
                <w:sz w:val="18"/>
                <w:szCs w:val="18"/>
              </w:rPr>
              <w:t xml:space="preserve">65 to 100%</w:t>
            </w:r>
          </w:p>
        </w:tc>
        <w:tc>
          <w:tcPr>
            <w:tcW w:type="dxa" w:w="1900"/>
            <w:tcMar>
              <w:top w:type="dxa" w:w="60"/>
              <w:left w:type="dxa" w:w="90"/>
              <w:bottom w:type="dxa" w:w="60"/>
              <w:right w:type="dxa" w:w="90"/>
            </w:tcMar>
          </w:tcPr>
          <w:p>
            <w:pPr>
              <w:spacing w:after="0" w:line="240"/>
            </w:pPr>
            <w:r>
              <w:rPr>
                <w:b w:val="false"/>
                <w:bCs w:val="false"/>
                <w:sz w:val="18"/>
                <w:szCs w:val="18"/>
              </w:rPr>
              <w:t xml:space="preserve">-10% to +15%</w:t>
            </w:r>
          </w:p>
        </w:tc>
        <w:tc>
          <w:tcPr>
            <w:tcW w:type="dxa" w:w="1760"/>
            <w:tcMar>
              <w:top w:type="dxa" w:w="60"/>
              <w:left w:type="dxa" w:w="90"/>
              <w:bottom w:type="dxa" w:w="60"/>
              <w:right w:type="dxa" w:w="90"/>
            </w:tcMar>
          </w:tcPr>
          <w:p>
            <w:pPr>
              <w:spacing w:after="0" w:line="240"/>
            </w:pPr>
            <w:r>
              <w:rPr>
                <w:b w:val="false"/>
                <w:bCs w:val="false"/>
                <w:sz w:val="18"/>
                <w:szCs w:val="18"/>
              </w:rPr>
              <w:t xml:space="preserve">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160"/>
      </w:tblGrid>
      <w:tr>
        <w:trPr>
          <w:tblHeader/>
        </w:trPr>
        <w:tc>
          <w:tcPr>
            <w:tcW w:type="dxa" w:w="800"/>
            <w:shd w:fill="1F3A5F" w:color="auto" w:val="clear"/>
            <w:tcMar>
              <w:top w:type="dxa" w:w="60"/>
              <w:left w:type="dxa" w:w="90"/>
              <w:bottom w:type="dxa" w:w="60"/>
              <w:right w:type="dxa" w:w="90"/>
            </w:tcMar>
          </w:tcPr>
          <w:p>
            <w:pPr>
              <w:spacing w:after="0" w:line="240"/>
            </w:pPr>
            <w:r>
              <w:rPr>
                <w:b/>
                <w:bCs/>
                <w:color w:val="FFFFFF"/>
                <w:sz w:val="18"/>
                <w:szCs w:val="18"/>
              </w:rPr>
              <w:t xml:space="preserve">ID</w:t>
            </w:r>
          </w:p>
        </w:tc>
        <w:tc>
          <w:tcPr>
            <w:tcW w:type="dxa" w:w="6400"/>
            <w:shd w:fill="1F3A5F" w:color="auto" w:val="clear"/>
            <w:tcMar>
              <w:top w:type="dxa" w:w="60"/>
              <w:left w:type="dxa" w:w="90"/>
              <w:bottom w:type="dxa" w:w="60"/>
              <w:right w:type="dxa" w:w="90"/>
            </w:tcMar>
          </w:tcPr>
          <w:p>
            <w:pPr>
              <w:spacing w:after="0" w:line="240"/>
            </w:pPr>
            <w:r>
              <w:rPr>
                <w:b/>
                <w:bCs/>
                <w:color w:val="FFFFFF"/>
                <w:sz w:val="18"/>
                <w:szCs w:val="18"/>
              </w:rPr>
              <w:t xml:space="preserve">Requirement</w:t>
            </w:r>
          </w:p>
        </w:tc>
        <w:tc>
          <w:tcPr>
            <w:tcW w:type="dxa" w:w="2160"/>
            <w:shd w:fill="1F3A5F" w:color="auto" w:val="clear"/>
            <w:tcMar>
              <w:top w:type="dxa" w:w="60"/>
              <w:left w:type="dxa" w:w="90"/>
              <w:bottom w:type="dxa" w:w="60"/>
              <w:right w:type="dxa" w:w="90"/>
            </w:tcMar>
          </w:tcPr>
          <w:p>
            <w:pPr>
              <w:spacing w:after="0" w:line="240"/>
            </w:pPr>
            <w:r>
              <w:rPr>
                <w:b/>
                <w:bCs/>
                <w:color w:val="FFFFFF"/>
                <w:sz w:val="18"/>
                <w:szCs w:val="18"/>
              </w:rPr>
              <w:t xml:space="preserve">Priority</w:t>
            </w:r>
          </w:p>
        </w:tc>
      </w:tr>
      <w:tr>
        <w:tc>
          <w:tcPr>
            <w:tcW w:type="dxa" w:w="800"/>
            <w:tcMar>
              <w:top w:type="dxa" w:w="60"/>
              <w:left w:type="dxa" w:w="90"/>
              <w:bottom w:type="dxa" w:w="60"/>
              <w:right w:type="dxa" w:w="90"/>
            </w:tcMar>
          </w:tcPr>
          <w:p>
            <w:pPr>
              <w:spacing w:after="0" w:line="240"/>
            </w:pPr>
            <w:r>
              <w:rPr>
                <w:b/>
                <w:bCs/>
                <w:sz w:val="18"/>
                <w:szCs w:val="18"/>
              </w:rPr>
              <w:t xml:space="preserve">FR-23</w:t>
            </w:r>
          </w:p>
        </w:tc>
        <w:tc>
          <w:tcPr>
            <w:tcW w:type="dxa" w:w="6400"/>
            <w:tcMar>
              <w:top w:type="dxa" w:w="60"/>
              <w:left w:type="dxa" w:w="90"/>
              <w:bottom w:type="dxa" w:w="60"/>
              <w:right w:type="dxa" w:w="90"/>
            </w:tcMar>
          </w:tcPr>
          <w:p>
            <w:pPr>
              <w:spacing w:after="0" w:line="240"/>
            </w:pPr>
            <w:r>
              <w:rPr>
                <w:b w:val="false"/>
                <w:bCs w:val="false"/>
                <w:sz w:val="18"/>
                <w:szCs w:val="18"/>
              </w:rPr>
              <w:t xml:space="preserve">Each cost deliverable shall declare its estimate class. The system shall check the declared class against the deliverable maturity actually evidenced, and flag a class claimed but not supported.</w:t>
            </w:r>
          </w:p>
        </w:tc>
        <w:tc>
          <w:tcPr>
            <w:tcW w:type="dxa" w:w="2160"/>
            <w:tcMar>
              <w:top w:type="dxa" w:w="60"/>
              <w:left w:type="dxa" w:w="90"/>
              <w:bottom w:type="dxa" w:w="60"/>
              <w:right w:type="dxa" w:w="90"/>
            </w:tcMar>
          </w:tcPr>
          <w:p>
            <w:pPr>
              <w:spacing w:after="0" w:line="240"/>
            </w:pPr>
            <w:r>
              <w:rPr>
                <w:b w:val="false"/>
                <w:bCs w:val="false"/>
                <w:sz w:val="18"/>
                <w:szCs w:val="18"/>
              </w:rPr>
              <w:t xml:space="preserve">P1</w:t>
            </w:r>
          </w:p>
        </w:tc>
      </w:tr>
      <w:tr>
        <w:tc>
          <w:tcPr>
            <w:tcW w:type="dxa" w:w="800"/>
            <w:shd w:fill="F2F5F9" w:color="auto" w:val="clear"/>
            <w:tcMar>
              <w:top w:type="dxa" w:w="60"/>
              <w:left w:type="dxa" w:w="90"/>
              <w:bottom w:type="dxa" w:w="60"/>
              <w:right w:type="dxa" w:w="90"/>
            </w:tcMar>
          </w:tcPr>
          <w:p>
            <w:pPr>
              <w:spacing w:after="0" w:line="240"/>
            </w:pPr>
            <w:r>
              <w:rPr>
                <w:b/>
                <w:bCs/>
                <w:sz w:val="18"/>
                <w:szCs w:val="18"/>
              </w:rPr>
              <w:t xml:space="preserve">FR-24</w:t>
            </w:r>
          </w:p>
        </w:tc>
        <w:tc>
          <w:tcPr>
            <w:tcW w:type="dxa" w:w="6400"/>
            <w:shd w:fill="F2F5F9" w:color="auto" w:val="clear"/>
            <w:tcMar>
              <w:top w:type="dxa" w:w="60"/>
              <w:left w:type="dxa" w:w="90"/>
              <w:bottom w:type="dxa" w:w="60"/>
              <w:right w:type="dxa" w:w="90"/>
            </w:tcMar>
          </w:tcPr>
          <w:p>
            <w:pPr>
              <w:spacing w:after="0" w:line="240"/>
            </w:pPr>
            <w:r>
              <w:rPr>
                <w:b w:val="false"/>
                <w:bCs w:val="false"/>
                <w:sz w:val="18"/>
                <w:szCs w:val="18"/>
              </w:rPr>
              <w:t xml:space="preserve">The system shall check that a stated accuracy range was derived from project risk analysis rather than copied from the classification table, and shall flag a symmetric band as unlikely to be risk-derived.</w:t>
            </w:r>
          </w:p>
        </w:tc>
        <w:tc>
          <w:tcPr>
            <w:tcW w:type="dxa" w:w="2160"/>
            <w:shd w:fill="F2F5F9" w:color="auto" w:val="clear"/>
            <w:tcMar>
              <w:top w:type="dxa" w:w="60"/>
              <w:left w:type="dxa" w:w="90"/>
              <w:bottom w:type="dxa" w:w="60"/>
              <w:right w:type="dxa" w:w="90"/>
            </w:tcMar>
          </w:tcPr>
          <w:p>
            <w:pPr>
              <w:spacing w:after="0" w:line="240"/>
            </w:pPr>
            <w:r>
              <w:rPr>
                <w:b w:val="false"/>
                <w:bCs w:val="false"/>
                <w:sz w:val="18"/>
                <w:szCs w:val="18"/>
              </w:rPr>
              <w:t xml:space="preserve">P1</w:t>
            </w:r>
          </w:p>
        </w:tc>
      </w:tr>
    </w:tbl>
    <w:p>
      <w:pPr>
        <w:pStyle w:val="Heading2"/>
        <w:spacing w:after="90" w:before="200"/>
      </w:pPr>
      <w:r>
        <w:rPr>
          <w:b/>
          <w:bCs/>
          <w:color w:val="1F3A5F"/>
          <w:sz w:val="22"/>
          <w:szCs w:val="22"/>
        </w:rPr>
        <w:t xml:space="preserve">6.1  Why FR-24 is not pedantry</w:t>
      </w:r>
    </w:p>
    <w:p>
      <w:pPr>
        <w:spacing w:after="120" w:line="264"/>
      </w:pPr>
      <w:r>
        <w:t xml:space="preserve">AACE is explicit that the accuracy range should be established by risk analysis of the specific project and should never be pre-determined, and that roughly 80 percent of projects should fall inside the range if contingency has been handled properly. A range is therefore a claim about risk, not a label.</w:t>
      </w:r>
    </w:p>
    <w:p>
      <w:pPr>
        <w:spacing w:after="120" w:line="264"/>
      </w:pPr>
      <w:r>
        <w:rPr>
          <w:b/>
          <w:bCs/>
        </w:rPr>
        <w:t xml:space="preserve">The check catches this on our own work, which is the fairest test of it. </w:t>
      </w:r>
      <w:r>
        <w:t xml:space="preserve">The Ghanzi-Gobabis pre-feasibility reports a capital cost of USD 432 million at plus or minus 35 percent. No AACE class has a symmetric band. Class 4, the feasibility class, runs from minus 30 to plus 50 percent, skewed positive because that is how project cost risk actually behaves. A symmetric plus or minus 35 percent is a reasonable-sounding number that does not match any class shape, which is the signature of a range asserted rather than derived. ESMAP's own sample supports the skew: close to 70 percent of the 74 projects were delayed, mainly on procurement or land, though about half still closed under their appraisal estimate.</w:t>
      </w:r>
    </w:p>
    <w:p>
      <w:pPr>
        <w:spacing w:after="120" w:line="264"/>
      </w:pPr>
      <w:r>
        <w:t xml:space="preserve">The requirement that follows is simple. A consultant submitting an FS cost estimate declares a class, evidences the definition level behind it, and derives the range from risk analysis. The platform checks all three and flags the gap. This is a check the PM team can defend to a lender in one sentence.</w:t>
      </w:r>
    </w:p>
    <w:p>
      <w:pPr>
        <w:pStyle w:val="Heading1"/>
        <w:spacing w:after="120" w:before="280"/>
      </w:pPr>
      <w:r>
        <w:rPr>
          <w:b/>
          <w:bCs/>
          <w:color w:val="1F3A5F"/>
          <w:sz w:val="26"/>
          <w:szCs w:val="26"/>
        </w:rPr>
        <w:t xml:space="preserve">7  What gets verified, by output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200"/>
        <w:gridCol w:w="1760"/>
      </w:tblGrid>
      <w:tr>
        <w:trPr>
          <w:tblHeader/>
        </w:trPr>
        <w:tc>
          <w:tcPr>
            <w:tcW w:type="dxa" w:w="2000"/>
            <w:shd w:fill="1F3A5F" w:color="auto" w:val="clear"/>
            <w:tcMar>
              <w:top w:type="dxa" w:w="60"/>
              <w:left w:type="dxa" w:w="90"/>
              <w:bottom w:type="dxa" w:w="60"/>
              <w:right w:type="dxa" w:w="90"/>
            </w:tcMar>
          </w:tcPr>
          <w:p>
            <w:pPr>
              <w:spacing w:after="0" w:line="240"/>
            </w:pPr>
            <w:r>
              <w:rPr>
                <w:b/>
                <w:bCs/>
                <w:color w:val="FFFFFF"/>
                <w:sz w:val="18"/>
                <w:szCs w:val="18"/>
              </w:rPr>
              <w:t xml:space="preserve">Output</w:t>
            </w:r>
          </w:p>
        </w:tc>
        <w:tc>
          <w:tcPr>
            <w:tcW w:type="dxa" w:w="3400"/>
            <w:shd w:fill="1F3A5F" w:color="auto" w:val="clear"/>
            <w:tcMar>
              <w:top w:type="dxa" w:w="60"/>
              <w:left w:type="dxa" w:w="90"/>
              <w:bottom w:type="dxa" w:w="60"/>
              <w:right w:type="dxa" w:w="90"/>
            </w:tcMar>
          </w:tcPr>
          <w:p>
            <w:pPr>
              <w:spacing w:after="0" w:line="240"/>
            </w:pPr>
            <w:r>
              <w:rPr>
                <w:b/>
                <w:bCs/>
                <w:color w:val="FFFFFF"/>
                <w:sz w:val="18"/>
                <w:szCs w:val="18"/>
              </w:rPr>
              <w:t xml:space="preserve">Benchmark source</w:t>
            </w:r>
          </w:p>
        </w:tc>
        <w:tc>
          <w:tcPr>
            <w:tcW w:type="dxa" w:w="2200"/>
            <w:shd w:fill="1F3A5F" w:color="auto" w:val="clear"/>
            <w:tcMar>
              <w:top w:type="dxa" w:w="60"/>
              <w:left w:type="dxa" w:w="90"/>
              <w:bottom w:type="dxa" w:w="60"/>
              <w:right w:type="dxa" w:w="90"/>
            </w:tcMar>
          </w:tcPr>
          <w:p>
            <w:pPr>
              <w:spacing w:after="0" w:line="240"/>
            </w:pPr>
            <w:r>
              <w:rPr>
                <w:b/>
                <w:bCs/>
                <w:color w:val="FFFFFF"/>
                <w:sz w:val="18"/>
                <w:szCs w:val="18"/>
              </w:rPr>
              <w:t xml:space="preserve">Replication</w:t>
            </w:r>
          </w:p>
        </w:tc>
        <w:tc>
          <w:tcPr>
            <w:tcW w:type="dxa" w:w="1760"/>
            <w:shd w:fill="1F3A5F" w:color="auto" w:val="clear"/>
            <w:tcMar>
              <w:top w:type="dxa" w:w="60"/>
              <w:left w:type="dxa" w:w="90"/>
              <w:bottom w:type="dxa" w:w="60"/>
              <w:right w:type="dxa" w:w="90"/>
            </w:tcMar>
          </w:tcPr>
          <w:p>
            <w:pPr>
              <w:spacing w:after="0" w:line="240"/>
            </w:pPr>
            <w:r>
              <w:rPr>
                <w:b/>
                <w:bCs/>
                <w:color w:val="FFFFFF"/>
                <w:sz w:val="18"/>
                <w:szCs w:val="18"/>
              </w:rPr>
              <w:t xml:space="preserve">In-range test</w:t>
            </w:r>
          </w:p>
        </w:tc>
      </w:tr>
      <w:tr>
        <w:tc>
          <w:tcPr>
            <w:tcW w:type="dxa" w:w="2000"/>
            <w:tcMar>
              <w:top w:type="dxa" w:w="60"/>
              <w:left w:type="dxa" w:w="90"/>
              <w:bottom w:type="dxa" w:w="60"/>
              <w:right w:type="dxa" w:w="90"/>
            </w:tcMar>
          </w:tcPr>
          <w:p>
            <w:pPr>
              <w:spacing w:after="0" w:line="240"/>
            </w:pPr>
            <w:r>
              <w:rPr>
                <w:b/>
                <w:bCs/>
                <w:sz w:val="18"/>
                <w:szCs w:val="18"/>
              </w:rPr>
              <w:t xml:space="preserve">CAPEX per km</w:t>
            </w:r>
          </w:p>
        </w:tc>
        <w:tc>
          <w:tcPr>
            <w:tcW w:type="dxa" w:w="3400"/>
            <w:tcMar>
              <w:top w:type="dxa" w:w="60"/>
              <w:left w:type="dxa" w:w="90"/>
              <w:bottom w:type="dxa" w:w="60"/>
              <w:right w:type="dxa" w:w="90"/>
            </w:tcMar>
          </w:tcPr>
          <w:p>
            <w:pPr>
              <w:spacing w:after="0" w:line="240"/>
            </w:pPr>
            <w:r>
              <w:rPr>
                <w:b w:val="false"/>
                <w:bCs w:val="false"/>
                <w:sz w:val="18"/>
                <w:szCs w:val="18"/>
              </w:rPr>
              <w:t xml:space="preserve">ESMAP by region and voltage, normalised, plus driver factors</w:t>
            </w:r>
          </w:p>
        </w:tc>
        <w:tc>
          <w:tcPr>
            <w:tcW w:type="dxa" w:w="2200"/>
            <w:tcMar>
              <w:top w:type="dxa" w:w="60"/>
              <w:left w:type="dxa" w:w="90"/>
              <w:bottom w:type="dxa" w:w="60"/>
              <w:right w:type="dxa" w:w="90"/>
            </w:tcMar>
          </w:tcPr>
          <w:p>
            <w:pPr>
              <w:spacing w:after="0" w:line="240"/>
            </w:pPr>
            <w:r>
              <w:rPr>
                <w:b w:val="false"/>
                <w:bCs w:val="false"/>
                <w:sz w:val="18"/>
                <w:szCs w:val="18"/>
              </w:rPr>
              <w:t xml:space="preserve">Component build-up from surveyed quantities</w:t>
            </w:r>
          </w:p>
        </w:tc>
        <w:tc>
          <w:tcPr>
            <w:tcW w:type="dxa" w:w="1760"/>
            <w:tcMar>
              <w:top w:type="dxa" w:w="60"/>
              <w:left w:type="dxa" w:w="90"/>
              <w:bottom w:type="dxa" w:w="60"/>
              <w:right w:type="dxa" w:w="90"/>
            </w:tcMar>
          </w:tcPr>
          <w:p>
            <w:pPr>
              <w:spacing w:after="0" w:line="240"/>
            </w:pPr>
            <w:r>
              <w:rPr>
                <w:b w:val="false"/>
                <w:bCs w:val="false"/>
                <w:sz w:val="18"/>
                <w:szCs w:val="18"/>
              </w:rPr>
              <w:t xml:space="preserve">AACE class band</w:t>
            </w:r>
          </w:p>
        </w:tc>
      </w:tr>
      <w:tr>
        <w:tc>
          <w:tcPr>
            <w:tcW w:type="dxa" w:w="2000"/>
            <w:shd w:fill="F2F5F9" w:color="auto" w:val="clear"/>
            <w:tcMar>
              <w:top w:type="dxa" w:w="60"/>
              <w:left w:type="dxa" w:w="90"/>
              <w:bottom w:type="dxa" w:w="60"/>
              <w:right w:type="dxa" w:w="90"/>
            </w:tcMar>
          </w:tcPr>
          <w:p>
            <w:pPr>
              <w:spacing w:after="0" w:line="240"/>
            </w:pPr>
            <w:r>
              <w:rPr>
                <w:b/>
                <w:bCs/>
                <w:sz w:val="18"/>
                <w:szCs w:val="18"/>
              </w:rPr>
              <w:t xml:space="preserve">Substation and bay</w:t>
            </w:r>
          </w:p>
        </w:tc>
        <w:tc>
          <w:tcPr>
            <w:tcW w:type="dxa" w:w="3400"/>
            <w:shd w:fill="F2F5F9" w:color="auto" w:val="clear"/>
            <w:tcMar>
              <w:top w:type="dxa" w:w="60"/>
              <w:left w:type="dxa" w:w="90"/>
              <w:bottom w:type="dxa" w:w="60"/>
              <w:right w:type="dxa" w:w="90"/>
            </w:tcMar>
          </w:tcPr>
          <w:p>
            <w:pPr>
              <w:spacing w:after="0" w:line="240"/>
            </w:pPr>
            <w:r>
              <w:rPr>
                <w:b w:val="false"/>
                <w:bCs w:val="false"/>
                <w:sz w:val="18"/>
                <w:szCs w:val="18"/>
              </w:rPr>
              <w:t xml:space="preserve">MISO component guide, location-adjusted</w:t>
            </w:r>
          </w:p>
        </w:tc>
        <w:tc>
          <w:tcPr>
            <w:tcW w:type="dxa" w:w="2200"/>
            <w:shd w:fill="F2F5F9" w:color="auto" w:val="clear"/>
            <w:tcMar>
              <w:top w:type="dxa" w:w="60"/>
              <w:left w:type="dxa" w:w="90"/>
              <w:bottom w:type="dxa" w:w="60"/>
              <w:right w:type="dxa" w:w="90"/>
            </w:tcMar>
          </w:tcPr>
          <w:p>
            <w:pPr>
              <w:spacing w:after="0" w:line="240"/>
            </w:pPr>
            <w:r>
              <w:rPr>
                <w:b w:val="false"/>
                <w:bCs w:val="false"/>
                <w:sz w:val="18"/>
                <w:szCs w:val="18"/>
              </w:rPr>
              <w:t xml:space="preserve">Bay count from single-line diagram</w:t>
            </w:r>
          </w:p>
        </w:tc>
        <w:tc>
          <w:tcPr>
            <w:tcW w:type="dxa" w:w="1760"/>
            <w:shd w:fill="F2F5F9" w:color="auto" w:val="clear"/>
            <w:tcMar>
              <w:top w:type="dxa" w:w="60"/>
              <w:left w:type="dxa" w:w="90"/>
              <w:bottom w:type="dxa" w:w="60"/>
              <w:right w:type="dxa" w:w="90"/>
            </w:tcMar>
          </w:tcPr>
          <w:p>
            <w:pPr>
              <w:spacing w:after="0" w:line="240"/>
            </w:pPr>
            <w:r>
              <w:rPr>
                <w:b w:val="false"/>
                <w:bCs w:val="false"/>
                <w:sz w:val="18"/>
                <w:szCs w:val="18"/>
              </w:rPr>
              <w:t xml:space="preserve">AACE class band</w:t>
            </w:r>
          </w:p>
        </w:tc>
      </w:tr>
      <w:tr>
        <w:tc>
          <w:tcPr>
            <w:tcW w:type="dxa" w:w="2000"/>
            <w:tcMar>
              <w:top w:type="dxa" w:w="60"/>
              <w:left w:type="dxa" w:w="90"/>
              <w:bottom w:type="dxa" w:w="60"/>
              <w:right w:type="dxa" w:w="90"/>
            </w:tcMar>
          </w:tcPr>
          <w:p>
            <w:pPr>
              <w:spacing w:after="0" w:line="240"/>
            </w:pPr>
            <w:r>
              <w:rPr>
                <w:b/>
                <w:bCs/>
                <w:sz w:val="18"/>
                <w:szCs w:val="18"/>
              </w:rPr>
              <w:t xml:space="preserve">Reactive compensation</w:t>
            </w:r>
          </w:p>
        </w:tc>
        <w:tc>
          <w:tcPr>
            <w:tcW w:type="dxa" w:w="3400"/>
            <w:tcMar>
              <w:top w:type="dxa" w:w="60"/>
              <w:left w:type="dxa" w:w="90"/>
              <w:bottom w:type="dxa" w:w="60"/>
              <w:right w:type="dxa" w:w="90"/>
            </w:tcMar>
          </w:tcPr>
          <w:p>
            <w:pPr>
              <w:spacing w:after="0" w:line="240"/>
            </w:pPr>
            <w:r>
              <w:rPr>
                <w:b w:val="false"/>
                <w:bCs w:val="false"/>
                <w:sz w:val="18"/>
                <w:szCs w:val="18"/>
              </w:rPr>
              <w:t xml:space="preserve">MISO cost per Mvar</w:t>
            </w:r>
          </w:p>
        </w:tc>
        <w:tc>
          <w:tcPr>
            <w:tcW w:type="dxa" w:w="2200"/>
            <w:tcMar>
              <w:top w:type="dxa" w:w="60"/>
              <w:left w:type="dxa" w:w="90"/>
              <w:bottom w:type="dxa" w:w="60"/>
              <w:right w:type="dxa" w:w="90"/>
            </w:tcMar>
          </w:tcPr>
          <w:p>
            <w:pPr>
              <w:spacing w:after="0" w:line="240"/>
            </w:pPr>
            <w:r>
              <w:rPr>
                <w:b w:val="false"/>
                <w:bCs w:val="false"/>
                <w:sz w:val="18"/>
                <w:szCs w:val="18"/>
              </w:rPr>
              <w:t xml:space="preserve">Network study result</w:t>
            </w:r>
          </w:p>
        </w:tc>
        <w:tc>
          <w:tcPr>
            <w:tcW w:type="dxa" w:w="1760"/>
            <w:tcMar>
              <w:top w:type="dxa" w:w="60"/>
              <w:left w:type="dxa" w:w="90"/>
              <w:bottom w:type="dxa" w:w="60"/>
              <w:right w:type="dxa" w:w="90"/>
            </w:tcMar>
          </w:tcPr>
          <w:p>
            <w:pPr>
              <w:spacing w:after="0" w:line="240"/>
            </w:pPr>
            <w:r>
              <w:rPr>
                <w:b w:val="false"/>
                <w:bCs w:val="false"/>
                <w:sz w:val="18"/>
                <w:szCs w:val="18"/>
              </w:rPr>
              <w:t xml:space="preserve">Against computed Mvar need</w:t>
            </w:r>
          </w:p>
        </w:tc>
      </w:tr>
      <w:tr>
        <w:tc>
          <w:tcPr>
            <w:tcW w:type="dxa" w:w="2000"/>
            <w:shd w:fill="F2F5F9" w:color="auto" w:val="clear"/>
            <w:tcMar>
              <w:top w:type="dxa" w:w="60"/>
              <w:left w:type="dxa" w:w="90"/>
              <w:bottom w:type="dxa" w:w="60"/>
              <w:right w:type="dxa" w:w="90"/>
            </w:tcMar>
          </w:tcPr>
          <w:p>
            <w:pPr>
              <w:spacing w:after="0" w:line="240"/>
            </w:pPr>
            <w:r>
              <w:rPr>
                <w:b/>
                <w:bCs/>
                <w:sz w:val="18"/>
                <w:szCs w:val="18"/>
              </w:rPr>
              <w:t xml:space="preserve">O&amp;M rate</w:t>
            </w:r>
          </w:p>
        </w:tc>
        <w:tc>
          <w:tcPr>
            <w:tcW w:type="dxa" w:w="3400"/>
            <w:shd w:fill="F2F5F9" w:color="auto" w:val="clear"/>
            <w:tcMar>
              <w:top w:type="dxa" w:w="60"/>
              <w:left w:type="dxa" w:w="90"/>
              <w:bottom w:type="dxa" w:w="60"/>
              <w:right w:type="dxa" w:w="90"/>
            </w:tcMar>
          </w:tcPr>
          <w:p>
            <w:pPr>
              <w:spacing w:after="0" w:line="240"/>
            </w:pPr>
            <w:r>
              <w:rPr>
                <w:b w:val="false"/>
                <w:bCs w:val="false"/>
                <w:sz w:val="18"/>
                <w:szCs w:val="18"/>
              </w:rPr>
              <w:t xml:space="preserve">ESMAP: 2 to 3% of capex in the sample, against 5 to 10% in the wider literature</w:t>
            </w:r>
          </w:p>
        </w:tc>
        <w:tc>
          <w:tcPr>
            <w:tcW w:type="dxa" w:w="2200"/>
            <w:shd w:fill="F2F5F9" w:color="auto" w:val="clear"/>
            <w:tcMar>
              <w:top w:type="dxa" w:w="60"/>
              <w:left w:type="dxa" w:w="90"/>
              <w:bottom w:type="dxa" w:w="60"/>
              <w:right w:type="dxa" w:w="90"/>
            </w:tcMar>
          </w:tcPr>
          <w:p>
            <w:pPr>
              <w:spacing w:after="0" w:line="240"/>
            </w:pPr>
            <w:r>
              <w:rPr>
                <w:b w:val="false"/>
                <w:bCs w:val="false"/>
                <w:sz w:val="18"/>
                <w:szCs w:val="18"/>
              </w:rPr>
              <w:t xml:space="preserve">Not replicated</w:t>
            </w:r>
          </w:p>
        </w:tc>
        <w:tc>
          <w:tcPr>
            <w:tcW w:type="dxa" w:w="1760"/>
            <w:shd w:fill="F2F5F9" w:color="auto" w:val="clear"/>
            <w:tcMar>
              <w:top w:type="dxa" w:w="60"/>
              <w:left w:type="dxa" w:w="90"/>
              <w:bottom w:type="dxa" w:w="60"/>
              <w:right w:type="dxa" w:w="90"/>
            </w:tcMar>
          </w:tcPr>
          <w:p>
            <w:pPr>
              <w:spacing w:after="0" w:line="240"/>
            </w:pPr>
            <w:r>
              <w:rPr>
                <w:b w:val="false"/>
                <w:bCs w:val="false"/>
                <w:sz w:val="18"/>
                <w:szCs w:val="18"/>
              </w:rPr>
              <w:t xml:space="preserve">Range test</w:t>
            </w:r>
          </w:p>
        </w:tc>
      </w:tr>
      <w:tr>
        <w:tc>
          <w:tcPr>
            <w:tcW w:type="dxa" w:w="2000"/>
            <w:tcMar>
              <w:top w:type="dxa" w:w="60"/>
              <w:left w:type="dxa" w:w="90"/>
              <w:bottom w:type="dxa" w:w="60"/>
              <w:right w:type="dxa" w:w="90"/>
            </w:tcMar>
          </w:tcPr>
          <w:p>
            <w:pPr>
              <w:spacing w:after="0" w:line="240"/>
            </w:pPr>
            <w:r>
              <w:rPr>
                <w:b/>
                <w:bCs/>
                <w:sz w:val="18"/>
                <w:szCs w:val="18"/>
              </w:rPr>
              <w:t xml:space="preserve">Discount rate / WACC</w:t>
            </w:r>
          </w:p>
        </w:tc>
        <w:tc>
          <w:tcPr>
            <w:tcW w:type="dxa" w:w="3400"/>
            <w:tcMar>
              <w:top w:type="dxa" w:w="60"/>
              <w:left w:type="dxa" w:w="90"/>
              <w:bottom w:type="dxa" w:w="60"/>
              <w:right w:type="dxa" w:w="90"/>
            </w:tcMar>
          </w:tcPr>
          <w:p>
            <w:pPr>
              <w:spacing w:after="0" w:line="240"/>
            </w:pPr>
            <w:r>
              <w:rPr>
                <w:b w:val="false"/>
                <w:bCs w:val="false"/>
                <w:sz w:val="18"/>
                <w:szCs w:val="18"/>
              </w:rPr>
              <w:t xml:space="preserve">ESMAP: clusters 6 to 12% with concessional finance</w:t>
            </w:r>
          </w:p>
        </w:tc>
        <w:tc>
          <w:tcPr>
            <w:tcW w:type="dxa" w:w="2200"/>
            <w:tcMar>
              <w:top w:type="dxa" w:w="60"/>
              <w:left w:type="dxa" w:w="90"/>
              <w:bottom w:type="dxa" w:w="60"/>
              <w:right w:type="dxa" w:w="90"/>
            </w:tcMar>
          </w:tcPr>
          <w:p>
            <w:pPr>
              <w:spacing w:after="0" w:line="240"/>
            </w:pPr>
            <w:r>
              <w:rPr>
                <w:b w:val="false"/>
                <w:bCs w:val="false"/>
                <w:sz w:val="18"/>
                <w:szCs w:val="18"/>
              </w:rPr>
              <w:t xml:space="preserve">Financial model</w:t>
            </w:r>
          </w:p>
        </w:tc>
        <w:tc>
          <w:tcPr>
            <w:tcW w:type="dxa" w:w="1760"/>
            <w:tcMar>
              <w:top w:type="dxa" w:w="60"/>
              <w:left w:type="dxa" w:w="90"/>
              <w:bottom w:type="dxa" w:w="60"/>
              <w:right w:type="dxa" w:w="90"/>
            </w:tcMar>
          </w:tcPr>
          <w:p>
            <w:pPr>
              <w:spacing w:after="0" w:line="240"/>
            </w:pPr>
            <w:r>
              <w:rPr>
                <w:b w:val="false"/>
                <w:bCs w:val="false"/>
                <w:sz w:val="18"/>
                <w:szCs w:val="18"/>
              </w:rPr>
              <w:t xml:space="preserve">Range test</w:t>
            </w:r>
          </w:p>
        </w:tc>
      </w:tr>
      <w:tr>
        <w:tc>
          <w:tcPr>
            <w:tcW w:type="dxa" w:w="2000"/>
            <w:shd w:fill="F2F5F9" w:color="auto" w:val="clear"/>
            <w:tcMar>
              <w:top w:type="dxa" w:w="60"/>
              <w:left w:type="dxa" w:w="90"/>
              <w:bottom w:type="dxa" w:w="60"/>
              <w:right w:type="dxa" w:w="90"/>
            </w:tcMar>
          </w:tcPr>
          <w:p>
            <w:pPr>
              <w:spacing w:after="0" w:line="240"/>
            </w:pPr>
            <w:r>
              <w:rPr>
                <w:b/>
                <w:bCs/>
                <w:sz w:val="18"/>
                <w:szCs w:val="18"/>
              </w:rPr>
              <w:t xml:space="preserve">Wheeling / tariff</w:t>
            </w:r>
          </w:p>
        </w:tc>
        <w:tc>
          <w:tcPr>
            <w:tcW w:type="dxa" w:w="3400"/>
            <w:shd w:fill="F2F5F9" w:color="auto" w:val="clear"/>
            <w:tcMar>
              <w:top w:type="dxa" w:w="60"/>
              <w:left w:type="dxa" w:w="90"/>
              <w:bottom w:type="dxa" w:w="60"/>
              <w:right w:type="dxa" w:w="90"/>
            </w:tcMar>
          </w:tcPr>
          <w:p>
            <w:pPr>
              <w:spacing w:after="0" w:line="240"/>
            </w:pPr>
            <w:r>
              <w:rPr>
                <w:b w:val="false"/>
                <w:bCs w:val="false"/>
                <w:sz w:val="18"/>
                <w:szCs w:val="18"/>
              </w:rPr>
              <w:t xml:space="preserve">ESMAP LCOT framework as a reference where regulated tariffs are absent or unreliable</w:t>
            </w:r>
          </w:p>
        </w:tc>
        <w:tc>
          <w:tcPr>
            <w:tcW w:type="dxa" w:w="2200"/>
            <w:shd w:fill="F2F5F9" w:color="auto" w:val="clear"/>
            <w:tcMar>
              <w:top w:type="dxa" w:w="60"/>
              <w:left w:type="dxa" w:w="90"/>
              <w:bottom w:type="dxa" w:w="60"/>
              <w:right w:type="dxa" w:w="90"/>
            </w:tcMar>
          </w:tcPr>
          <w:p>
            <w:pPr>
              <w:spacing w:after="0" w:line="240"/>
            </w:pPr>
            <w:r>
              <w:rPr>
                <w:b w:val="false"/>
                <w:bCs w:val="false"/>
                <w:sz w:val="18"/>
                <w:szCs w:val="18"/>
              </w:rPr>
              <w:t xml:space="preserve">LCOT computation</w:t>
            </w:r>
          </w:p>
        </w:tc>
        <w:tc>
          <w:tcPr>
            <w:tcW w:type="dxa" w:w="1760"/>
            <w:shd w:fill="F2F5F9" w:color="auto" w:val="clear"/>
            <w:tcMar>
              <w:top w:type="dxa" w:w="60"/>
              <w:left w:type="dxa" w:w="90"/>
              <w:bottom w:type="dxa" w:w="60"/>
              <w:right w:type="dxa" w:w="90"/>
            </w:tcMar>
          </w:tcPr>
          <w:p>
            <w:pPr>
              <w:spacing w:after="0" w:line="240"/>
            </w:pPr>
            <w:r>
              <w:rPr>
                <w:b w:val="false"/>
                <w:bCs w:val="false"/>
                <w:sz w:val="18"/>
                <w:szCs w:val="18"/>
              </w:rPr>
              <w:t xml:space="preserve">Range test</w:t>
            </w:r>
          </w:p>
        </w:tc>
      </w:tr>
      <w:tr>
        <w:tc>
          <w:tcPr>
            <w:tcW w:type="dxa" w:w="2000"/>
            <w:tcMar>
              <w:top w:type="dxa" w:w="60"/>
              <w:left w:type="dxa" w:w="90"/>
              <w:bottom w:type="dxa" w:w="60"/>
              <w:right w:type="dxa" w:w="90"/>
            </w:tcMar>
          </w:tcPr>
          <w:p>
            <w:pPr>
              <w:spacing w:after="0" w:line="240"/>
            </w:pPr>
            <w:r>
              <w:rPr>
                <w:b/>
                <w:bCs/>
                <w:sz w:val="18"/>
                <w:szCs w:val="18"/>
              </w:rPr>
              <w:t xml:space="preserve">Demand forecast</w:t>
            </w:r>
          </w:p>
        </w:tc>
        <w:tc>
          <w:tcPr>
            <w:tcW w:type="dxa" w:w="3400"/>
            <w:tcMar>
              <w:top w:type="dxa" w:w="60"/>
              <w:left w:type="dxa" w:w="90"/>
              <w:bottom w:type="dxa" w:w="60"/>
              <w:right w:type="dxa" w:w="90"/>
            </w:tcMar>
          </w:tcPr>
          <w:p>
            <w:pPr>
              <w:spacing w:after="0" w:line="240"/>
            </w:pPr>
            <w:r>
              <w:rPr>
                <w:b w:val="false"/>
                <w:bCs w:val="false"/>
                <w:sz w:val="18"/>
                <w:szCs w:val="18"/>
              </w:rPr>
              <w:t xml:space="preserve">National plans, utility outturn, regional plans</w:t>
            </w:r>
          </w:p>
        </w:tc>
        <w:tc>
          <w:tcPr>
            <w:tcW w:type="dxa" w:w="2200"/>
            <w:tcMar>
              <w:top w:type="dxa" w:w="60"/>
              <w:left w:type="dxa" w:w="90"/>
              <w:bottom w:type="dxa" w:w="60"/>
              <w:right w:type="dxa" w:w="90"/>
            </w:tcMar>
          </w:tcPr>
          <w:p>
            <w:pPr>
              <w:spacing w:after="0" w:line="240"/>
            </w:pPr>
            <w:r>
              <w:rPr>
                <w:b w:val="false"/>
                <w:bCs w:val="false"/>
                <w:sz w:val="18"/>
                <w:szCs w:val="18"/>
              </w:rPr>
              <w:t xml:space="preserve">MAED-class re-run</w:t>
            </w:r>
          </w:p>
        </w:tc>
        <w:tc>
          <w:tcPr>
            <w:tcW w:type="dxa" w:w="1760"/>
            <w:tcMar>
              <w:top w:type="dxa" w:w="60"/>
              <w:left w:type="dxa" w:w="90"/>
              <w:bottom w:type="dxa" w:w="60"/>
              <w:right w:type="dxa" w:w="90"/>
            </w:tcMar>
          </w:tcPr>
          <w:p>
            <w:pPr>
              <w:spacing w:after="0" w:line="240"/>
            </w:pPr>
            <w:r>
              <w:rPr>
                <w:b w:val="false"/>
                <w:bCs w:val="false"/>
                <w:sz w:val="18"/>
                <w:szCs w:val="18"/>
              </w:rPr>
              <w:t xml:space="preserve">Scenario envelope</w:t>
            </w:r>
          </w:p>
        </w:tc>
      </w:tr>
      <w:tr>
        <w:tc>
          <w:tcPr>
            <w:tcW w:type="dxa" w:w="2000"/>
            <w:shd w:fill="F2F5F9" w:color="auto" w:val="clear"/>
            <w:tcMar>
              <w:top w:type="dxa" w:w="60"/>
              <w:left w:type="dxa" w:w="90"/>
              <w:bottom w:type="dxa" w:w="60"/>
              <w:right w:type="dxa" w:w="90"/>
            </w:tcMar>
          </w:tcPr>
          <w:p>
            <w:pPr>
              <w:spacing w:after="0" w:line="240"/>
            </w:pPr>
            <w:r>
              <w:rPr>
                <w:b/>
                <w:bCs/>
                <w:sz w:val="18"/>
                <w:szCs w:val="18"/>
              </w:rPr>
              <w:t xml:space="preserve">Load flow and N-1</w:t>
            </w:r>
          </w:p>
        </w:tc>
        <w:tc>
          <w:tcPr>
            <w:tcW w:type="dxa" w:w="3400"/>
            <w:shd w:fill="F2F5F9" w:color="auto" w:val="clear"/>
            <w:tcMar>
              <w:top w:type="dxa" w:w="60"/>
              <w:left w:type="dxa" w:w="90"/>
              <w:bottom w:type="dxa" w:w="60"/>
              <w:right w:type="dxa" w:w="90"/>
            </w:tcMar>
          </w:tcPr>
          <w:p>
            <w:pPr>
              <w:spacing w:after="0" w:line="240"/>
            </w:pPr>
            <w:r>
              <w:rPr>
                <w:b w:val="false"/>
                <w:bCs w:val="false"/>
                <w:sz w:val="18"/>
                <w:szCs w:val="18"/>
              </w:rPr>
              <w:t xml:space="preserve">Grid code limits</w:t>
            </w:r>
          </w:p>
        </w:tc>
        <w:tc>
          <w:tcPr>
            <w:tcW w:type="dxa" w:w="2200"/>
            <w:shd w:fill="F2F5F9" w:color="auto" w:val="clear"/>
            <w:tcMar>
              <w:top w:type="dxa" w:w="60"/>
              <w:left w:type="dxa" w:w="90"/>
              <w:bottom w:type="dxa" w:w="60"/>
              <w:right w:type="dxa" w:w="90"/>
            </w:tcMar>
          </w:tcPr>
          <w:p>
            <w:pPr>
              <w:spacing w:after="0" w:line="240"/>
            </w:pPr>
            <w:r>
              <w:rPr>
                <w:b w:val="false"/>
                <w:bCs w:val="false"/>
                <w:sz w:val="18"/>
                <w:szCs w:val="18"/>
              </w:rPr>
              <w:t xml:space="preserve">PSS/E or PowerFactory re-run</w:t>
            </w:r>
          </w:p>
        </w:tc>
        <w:tc>
          <w:tcPr>
            <w:tcW w:type="dxa" w:w="1760"/>
            <w:shd w:fill="F2F5F9" w:color="auto" w:val="clear"/>
            <w:tcMar>
              <w:top w:type="dxa" w:w="60"/>
              <w:left w:type="dxa" w:w="90"/>
              <w:bottom w:type="dxa" w:w="60"/>
              <w:right w:type="dxa" w:w="90"/>
            </w:tcMar>
          </w:tcPr>
          <w:p>
            <w:pPr>
              <w:spacing w:after="0" w:line="240"/>
            </w:pPr>
            <w:r>
              <w:rPr>
                <w:b w:val="false"/>
                <w:bCs w:val="false"/>
                <w:sz w:val="18"/>
                <w:szCs w:val="18"/>
              </w:rPr>
              <w:t xml:space="preserve">Pass or fail against code</w:t>
            </w:r>
          </w:p>
        </w:tc>
      </w:tr>
      <w:tr>
        <w:tc>
          <w:tcPr>
            <w:tcW w:type="dxa" w:w="2000"/>
            <w:tcMar>
              <w:top w:type="dxa" w:w="60"/>
              <w:left w:type="dxa" w:w="90"/>
              <w:bottom w:type="dxa" w:w="60"/>
              <w:right w:type="dxa" w:w="90"/>
            </w:tcMar>
          </w:tcPr>
          <w:p>
            <w:pPr>
              <w:spacing w:after="0" w:line="240"/>
            </w:pPr>
            <w:r>
              <w:rPr>
                <w:b/>
                <w:bCs/>
                <w:sz w:val="18"/>
                <w:szCs w:val="18"/>
              </w:rPr>
              <w:t xml:space="preserve">Schedule</w:t>
            </w:r>
          </w:p>
        </w:tc>
        <w:tc>
          <w:tcPr>
            <w:tcW w:type="dxa" w:w="3400"/>
            <w:tcMar>
              <w:top w:type="dxa" w:w="60"/>
              <w:left w:type="dxa" w:w="90"/>
              <w:bottom w:type="dxa" w:w="60"/>
              <w:right w:type="dxa" w:w="90"/>
            </w:tcMar>
          </w:tcPr>
          <w:p>
            <w:pPr>
              <w:spacing w:after="0" w:line="240"/>
            </w:pPr>
            <w:r>
              <w:rPr>
                <w:b w:val="false"/>
                <w:bCs w:val="false"/>
                <w:sz w:val="18"/>
                <w:szCs w:val="18"/>
              </w:rPr>
              <w:t xml:space="preserve">ESMAP: about 70% of projects delayed, mainly procurement or land</w:t>
            </w:r>
          </w:p>
        </w:tc>
        <w:tc>
          <w:tcPr>
            <w:tcW w:type="dxa" w:w="2200"/>
            <w:tcMar>
              <w:top w:type="dxa" w:w="60"/>
              <w:left w:type="dxa" w:w="90"/>
              <w:bottom w:type="dxa" w:w="60"/>
              <w:right w:type="dxa" w:w="90"/>
            </w:tcMar>
          </w:tcPr>
          <w:p>
            <w:pPr>
              <w:spacing w:after="0" w:line="240"/>
            </w:pPr>
            <w:r>
              <w:rPr>
                <w:b w:val="false"/>
                <w:bCs w:val="false"/>
                <w:sz w:val="18"/>
                <w:szCs w:val="18"/>
              </w:rPr>
              <w:t xml:space="preserve">Not replicated</w:t>
            </w:r>
          </w:p>
        </w:tc>
        <w:tc>
          <w:tcPr>
            <w:tcW w:type="dxa" w:w="1760"/>
            <w:tcMar>
              <w:top w:type="dxa" w:w="60"/>
              <w:left w:type="dxa" w:w="90"/>
              <w:bottom w:type="dxa" w:w="60"/>
              <w:right w:type="dxa" w:w="90"/>
            </w:tcMar>
          </w:tcPr>
          <w:p>
            <w:pPr>
              <w:spacing w:after="0" w:line="240"/>
            </w:pPr>
            <w:r>
              <w:rPr>
                <w:b w:val="false"/>
                <w:bCs w:val="false"/>
                <w:sz w:val="18"/>
                <w:szCs w:val="18"/>
              </w:rPr>
              <w:t xml:space="preserve">Optimism-bias test</w:t>
            </w:r>
          </w:p>
        </w:tc>
      </w:tr>
      <w:tr>
        <w:tc>
          <w:tcPr>
            <w:tcW w:type="dxa" w:w="2000"/>
            <w:shd w:fill="F2F5F9" w:color="auto" w:val="clear"/>
            <w:tcMar>
              <w:top w:type="dxa" w:w="60"/>
              <w:left w:type="dxa" w:w="90"/>
              <w:bottom w:type="dxa" w:w="60"/>
              <w:right w:type="dxa" w:w="90"/>
            </w:tcMar>
          </w:tcPr>
          <w:p>
            <w:pPr>
              <w:spacing w:after="0" w:line="240"/>
            </w:pPr>
            <w:r>
              <w:rPr>
                <w:b/>
                <w:bCs/>
                <w:sz w:val="18"/>
                <w:szCs w:val="18"/>
              </w:rPr>
              <w:t xml:space="preserve">Contingency</w:t>
            </w:r>
          </w:p>
        </w:tc>
        <w:tc>
          <w:tcPr>
            <w:tcW w:type="dxa" w:w="3400"/>
            <w:shd w:fill="F2F5F9" w:color="auto" w:val="clear"/>
            <w:tcMar>
              <w:top w:type="dxa" w:w="60"/>
              <w:left w:type="dxa" w:w="90"/>
              <w:bottom w:type="dxa" w:w="60"/>
              <w:right w:type="dxa" w:w="90"/>
            </w:tcMar>
          </w:tcPr>
          <w:p>
            <w:pPr>
              <w:spacing w:after="0" w:line="240"/>
            </w:pPr>
            <w:r>
              <w:rPr>
                <w:b w:val="false"/>
                <w:bCs w:val="false"/>
                <w:sz w:val="18"/>
                <w:szCs w:val="18"/>
              </w:rPr>
              <w:t xml:space="preserve">AACE and ESMAP outturn against appraisal</w:t>
            </w:r>
          </w:p>
        </w:tc>
        <w:tc>
          <w:tcPr>
            <w:tcW w:type="dxa" w:w="2200"/>
            <w:shd w:fill="F2F5F9" w:color="auto" w:val="clear"/>
            <w:tcMar>
              <w:top w:type="dxa" w:w="60"/>
              <w:left w:type="dxa" w:w="90"/>
              <w:bottom w:type="dxa" w:w="60"/>
              <w:right w:type="dxa" w:w="90"/>
            </w:tcMar>
          </w:tcPr>
          <w:p>
            <w:pPr>
              <w:spacing w:after="0" w:line="240"/>
            </w:pPr>
            <w:r>
              <w:rPr>
                <w:b w:val="false"/>
                <w:bCs w:val="false"/>
                <w:sz w:val="18"/>
                <w:szCs w:val="18"/>
              </w:rPr>
              <w:t xml:space="preserve">Risk analysis</w:t>
            </w:r>
          </w:p>
        </w:tc>
        <w:tc>
          <w:tcPr>
            <w:tcW w:type="dxa" w:w="1760"/>
            <w:shd w:fill="F2F5F9" w:color="auto" w:val="clear"/>
            <w:tcMar>
              <w:top w:type="dxa" w:w="60"/>
              <w:left w:type="dxa" w:w="90"/>
              <w:bottom w:type="dxa" w:w="60"/>
              <w:right w:type="dxa" w:w="90"/>
            </w:tcMar>
          </w:tcPr>
          <w:p>
            <w:pPr>
              <w:spacing w:after="0" w:line="240"/>
            </w:pPr>
            <w:r>
              <w:rPr>
                <w:b w:val="false"/>
                <w:bCs w:val="false"/>
                <w:sz w:val="18"/>
                <w:szCs w:val="18"/>
              </w:rPr>
              <w:t xml:space="preserve">Class-consistent</w:t>
            </w:r>
          </w:p>
        </w:tc>
      </w:tr>
    </w:tbl>
    <w:p>
      <w:pPr>
        <w:spacing w:after="140"/>
      </w:pPr>
      <w:r>
        <w:rPr>
          <w:i/>
          <w:iCs/>
          <w:color w:val="555555"/>
          <w:sz w:val="19"/>
          <w:szCs w:val="19"/>
        </w:rPr>
        <w:t xml:space="preserve">The LCOT row is worth attention beyond this project. ESMAP positions LCOT as a reference for wheeling charges where an official tariff is missing or inconsistent, which is precisely the position on cross-border links and a live question for the Uganda IPT tariff work.</w:t>
      </w:r>
    </w:p>
    <w:p>
      <w:pPr>
        <w:pStyle w:val="Heading1"/>
        <w:spacing w:after="120" w:before="280"/>
      </w:pPr>
      <w:r>
        <w:rPr>
          <w:b/>
          <w:bCs/>
          <w:color w:val="1F3A5F"/>
          <w:sz w:val="26"/>
          <w:szCs w:val="26"/>
        </w:rPr>
        <w:t xml:space="preserve">8  Demo implications</w:t>
      </w:r>
    </w:p>
    <w:p>
      <w:pPr>
        <w:spacing w:after="120" w:line="264"/>
      </w:pPr>
      <w:r>
        <w:t xml:space="preserve">The demo scope in the Platform PRD asks for one real benchmark flag with the source shown. This addendum changes what the strongest demo is.</w:t>
      </w:r>
    </w:p>
    <w:p>
      <w:pPr>
        <w:pStyle w:val="ListParagraph"/>
        <w:numPr>
          <w:ilvl w:val="0"/>
          <w:numId w:val="2"/>
        </w:numPr>
        <w:spacing w:after="80" w:line="264"/>
      </w:pPr>
      <w:r>
        <w:t xml:space="preserve">The arithmetic flag from the FS Review Standard stays the opener. It is real, verifiable and immediate.</w:t>
      </w:r>
    </w:p>
    <w:p>
      <w:pPr>
        <w:pStyle w:val="ListParagraph"/>
        <w:numPr>
          <w:ilvl w:val="0"/>
          <w:numId w:val="2"/>
        </w:numPr>
        <w:spacing w:after="80" w:line="264"/>
      </w:pPr>
      <w:r>
        <w:t xml:space="preserve">The stronger second beat is the normalisation sequence in Section 2: show the naive check raising two confident false flags, then show normalisation clearing the figure and raising the terrain flag instead. That demonstrates judgement, which is what a PM audience is actually buying.</w:t>
      </w:r>
    </w:p>
    <w:p>
      <w:pPr>
        <w:pStyle w:val="ListParagraph"/>
        <w:numPr>
          <w:ilvl w:val="0"/>
          <w:numId w:val="2"/>
        </w:numPr>
        <w:spacing w:after="80" w:line="264"/>
      </w:pPr>
      <w:r>
        <w:t xml:space="preserve">The accuracy-class check in Section 6.1 is the third beat, and it is more persuasive run against our own pre-feasibility than against a consultant's work.</w:t>
      </w:r>
    </w:p>
    <w:p>
      <w:pPr>
        <w:spacing w:after="120" w:line="264"/>
      </w:pPr>
      <w:r>
        <w:t xml:space="preserve">This also gives an honest answer to the current-state question flagged in the Budget Justification note. The platform does not have to claim a trained model. It can show a real public dataset, a real normalisation chain and a real check, all of which exist today.</w:t>
      </w:r>
    </w:p>
    <w:p>
      <w:pPr>
        <w:pStyle w:val="Heading1"/>
        <w:spacing w:after="120" w:before="280"/>
      </w:pPr>
      <w:r>
        <w:rPr>
          <w:b/>
          <w:bCs/>
          <w:color w:val="1F3A5F"/>
          <w:sz w:val="26"/>
          <w:szCs w:val="26"/>
        </w:rP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rPr>
          <w:tblHeader/>
        </w:trPr>
        <w:tc>
          <w:tcPr>
            <w:tcW w:type="dxa" w:w="3400"/>
            <w:shd w:fill="1F3A5F" w:color="auto" w:val="clear"/>
            <w:tcMar>
              <w:top w:type="dxa" w:w="60"/>
              <w:left w:type="dxa" w:w="90"/>
              <w:bottom w:type="dxa" w:w="60"/>
              <w:right w:type="dxa" w:w="90"/>
            </w:tcMar>
          </w:tcPr>
          <w:p>
            <w:pPr>
              <w:spacing w:after="0" w:line="240"/>
            </w:pPr>
            <w:r>
              <w:rPr>
                <w:b/>
                <w:bCs/>
                <w:color w:val="FFFFFF"/>
                <w:sz w:val="18"/>
                <w:szCs w:val="18"/>
              </w:rPr>
              <w:t xml:space="preserve">Risk</w:t>
            </w:r>
          </w:p>
        </w:tc>
        <w:tc>
          <w:tcPr>
            <w:tcW w:type="dxa" w:w="3600"/>
            <w:shd w:fill="1F3A5F" w:color="auto" w:val="clear"/>
            <w:tcMar>
              <w:top w:type="dxa" w:w="60"/>
              <w:left w:type="dxa" w:w="90"/>
              <w:bottom w:type="dxa" w:w="60"/>
              <w:right w:type="dxa" w:w="90"/>
            </w:tcMar>
          </w:tcPr>
          <w:p>
            <w:pPr>
              <w:spacing w:after="0" w:line="240"/>
            </w:pPr>
            <w:r>
              <w:rPr>
                <w:b/>
                <w:bCs/>
                <w:color w:val="FFFFFF"/>
                <w:sz w:val="18"/>
                <w:szCs w:val="18"/>
              </w:rPr>
              <w:t xml:space="preserve">Why it matters here</w:t>
            </w:r>
          </w:p>
        </w:tc>
        <w:tc>
          <w:tcPr>
            <w:tcW w:type="dxa" w:w="2360"/>
            <w:shd w:fill="1F3A5F" w:color="auto" w:val="clear"/>
            <w:tcMar>
              <w:top w:type="dxa" w:w="60"/>
              <w:left w:type="dxa" w:w="90"/>
              <w:bottom w:type="dxa" w:w="60"/>
              <w:right w:type="dxa" w:w="90"/>
            </w:tcMar>
          </w:tcPr>
          <w:p>
            <w:pPr>
              <w:spacing w:after="0" w:line="240"/>
            </w:pPr>
            <w:r>
              <w:rPr>
                <w:b/>
                <w:bCs/>
                <w:color w:val="FFFFFF"/>
                <w:sz w:val="18"/>
                <w:szCs w:val="18"/>
              </w:rPr>
              <w:t xml:space="preserve">Mitigation</w:t>
            </w:r>
          </w:p>
        </w:tc>
      </w:tr>
      <w:tr>
        <w:tc>
          <w:tcPr>
            <w:tcW w:type="dxa" w:w="3400"/>
            <w:tcMar>
              <w:top w:type="dxa" w:w="60"/>
              <w:left w:type="dxa" w:w="90"/>
              <w:bottom w:type="dxa" w:w="60"/>
              <w:right w:type="dxa" w:w="90"/>
            </w:tcMar>
          </w:tcPr>
          <w:p>
            <w:pPr>
              <w:spacing w:after="0" w:line="240"/>
            </w:pPr>
            <w:r>
              <w:rPr>
                <w:b/>
                <w:bCs/>
                <w:sz w:val="18"/>
                <w:szCs w:val="18"/>
              </w:rPr>
              <w:t xml:space="preserve">False precision</w:t>
            </w:r>
          </w:p>
        </w:tc>
        <w:tc>
          <w:tcPr>
            <w:tcW w:type="dxa" w:w="3600"/>
            <w:tcMar>
              <w:top w:type="dxa" w:w="60"/>
              <w:left w:type="dxa" w:w="90"/>
              <w:bottom w:type="dxa" w:w="60"/>
              <w:right w:type="dxa" w:w="90"/>
            </w:tcMar>
          </w:tcPr>
          <w:p>
            <w:pPr>
              <w:spacing w:after="0" w:line="240"/>
            </w:pPr>
            <w:r>
              <w:rPr>
                <w:b w:val="false"/>
                <w:bCs w:val="false"/>
                <w:sz w:val="18"/>
                <w:szCs w:val="18"/>
              </w:rPr>
              <w:t xml:space="preserve">A normalised benchmark carries an implied confidence its sources do not support.</w:t>
            </w:r>
          </w:p>
        </w:tc>
        <w:tc>
          <w:tcPr>
            <w:tcW w:type="dxa" w:w="2360"/>
            <w:tcMar>
              <w:top w:type="dxa" w:w="60"/>
              <w:left w:type="dxa" w:w="90"/>
              <w:bottom w:type="dxa" w:w="60"/>
              <w:right w:type="dxa" w:w="90"/>
            </w:tcMar>
          </w:tcPr>
          <w:p>
            <w:pPr>
              <w:spacing w:after="0" w:line="240"/>
            </w:pPr>
            <w:r>
              <w:rPr>
                <w:b w:val="false"/>
                <w:bCs w:val="false"/>
                <w:sz w:val="18"/>
                <w:szCs w:val="18"/>
              </w:rPr>
              <w:t xml:space="preserve">FR-16 ranges with sample counts. FR-18 confidence floor.</w:t>
            </w:r>
          </w:p>
        </w:tc>
      </w:tr>
      <w:tr>
        <w:tc>
          <w:tcPr>
            <w:tcW w:type="dxa" w:w="3400"/>
            <w:shd w:fill="F2F5F9" w:color="auto" w:val="clear"/>
            <w:tcMar>
              <w:top w:type="dxa" w:w="60"/>
              <w:left w:type="dxa" w:w="90"/>
              <w:bottom w:type="dxa" w:w="60"/>
              <w:right w:type="dxa" w:w="90"/>
            </w:tcMar>
          </w:tcPr>
          <w:p>
            <w:pPr>
              <w:spacing w:after="0" w:line="240"/>
            </w:pPr>
            <w:r>
              <w:rPr>
                <w:b/>
                <w:bCs/>
                <w:sz w:val="18"/>
                <w:szCs w:val="18"/>
              </w:rPr>
              <w:t xml:space="preserve">Scope mismatch</w:t>
            </w:r>
          </w:p>
        </w:tc>
        <w:tc>
          <w:tcPr>
            <w:tcW w:type="dxa" w:w="3600"/>
            <w:shd w:fill="F2F5F9" w:color="auto" w:val="clear"/>
            <w:tcMar>
              <w:top w:type="dxa" w:w="60"/>
              <w:left w:type="dxa" w:w="90"/>
              <w:bottom w:type="dxa" w:w="60"/>
              <w:right w:type="dxa" w:w="90"/>
            </w:tcMar>
          </w:tcPr>
          <w:p>
            <w:pPr>
              <w:spacing w:after="0" w:line="240"/>
            </w:pPr>
            <w:r>
              <w:rPr>
                <w:b w:val="false"/>
                <w:bCs w:val="false"/>
                <w:sz w:val="18"/>
                <w:szCs w:val="18"/>
              </w:rPr>
              <w:t xml:space="preserve">Per-km figures include different things. ESMAP finds no standard cost categories across the literature.</w:t>
            </w:r>
          </w:p>
        </w:tc>
        <w:tc>
          <w:tcPr>
            <w:tcW w:type="dxa" w:w="2360"/>
            <w:shd w:fill="F2F5F9" w:color="auto" w:val="clear"/>
            <w:tcMar>
              <w:top w:type="dxa" w:w="60"/>
              <w:left w:type="dxa" w:w="90"/>
              <w:bottom w:type="dxa" w:w="60"/>
              <w:right w:type="dxa" w:w="90"/>
            </w:tcMar>
          </w:tcPr>
          <w:p>
            <w:pPr>
              <w:spacing w:after="0" w:line="240"/>
            </w:pPr>
            <w:r>
              <w:rPr>
                <w:b w:val="false"/>
                <w:bCs w:val="false"/>
                <w:sz w:val="18"/>
                <w:szCs w:val="18"/>
              </w:rPr>
              <w:t xml:space="preserve">FR-15 declared scope definition per entry.</w:t>
            </w:r>
          </w:p>
        </w:tc>
      </w:tr>
      <w:tr>
        <w:tc>
          <w:tcPr>
            <w:tcW w:type="dxa" w:w="3400"/>
            <w:tcMar>
              <w:top w:type="dxa" w:w="60"/>
              <w:left w:type="dxa" w:w="90"/>
              <w:bottom w:type="dxa" w:w="60"/>
              <w:right w:type="dxa" w:w="90"/>
            </w:tcMar>
          </w:tcPr>
          <w:p>
            <w:pPr>
              <w:spacing w:after="0" w:line="240"/>
            </w:pPr>
            <w:r>
              <w:rPr>
                <w:b/>
                <w:bCs/>
                <w:sz w:val="18"/>
                <w:szCs w:val="18"/>
              </w:rPr>
              <w:t xml:space="preserve">Fabricated or drifting citations</w:t>
            </w:r>
          </w:p>
        </w:tc>
        <w:tc>
          <w:tcPr>
            <w:tcW w:type="dxa" w:w="3600"/>
            <w:tcMar>
              <w:top w:type="dxa" w:w="60"/>
              <w:left w:type="dxa" w:w="90"/>
              <w:bottom w:type="dxa" w:w="60"/>
              <w:right w:type="dxa" w:w="90"/>
            </w:tcMar>
          </w:tcPr>
          <w:p>
            <w:pPr>
              <w:spacing w:after="0" w:line="240"/>
            </w:pPr>
            <w:r>
              <w:rPr>
                <w:b w:val="false"/>
                <w:bCs w:val="false"/>
                <w:sz w:val="18"/>
                <w:szCs w:val="18"/>
              </w:rPr>
              <w:t xml:space="preserve">A research agent that invents a plausible source is worse than no library, and would end the platform's credibility with a lender in one meeting.</w:t>
            </w:r>
          </w:p>
        </w:tc>
        <w:tc>
          <w:tcPr>
            <w:tcW w:type="dxa" w:w="2360"/>
            <w:tcMar>
              <w:top w:type="dxa" w:w="60"/>
              <w:left w:type="dxa" w:w="90"/>
              <w:bottom w:type="dxa" w:w="60"/>
              <w:right w:type="dxa" w:w="90"/>
            </w:tcMar>
          </w:tcPr>
          <w:p>
            <w:pPr>
              <w:spacing w:after="0" w:line="240"/>
            </w:pPr>
            <w:r>
              <w:rPr>
                <w:b w:val="false"/>
                <w:bCs w:val="false"/>
                <w:sz w:val="18"/>
                <w:szCs w:val="18"/>
              </w:rPr>
              <w:t xml:space="preserve">FR-14 rejects any entry without a resolvable citation. Spot-audit before launch.</w:t>
            </w:r>
          </w:p>
        </w:tc>
      </w:tr>
      <w:tr>
        <w:tc>
          <w:tcPr>
            <w:tcW w:type="dxa" w:w="3400"/>
            <w:shd w:fill="F2F5F9" w:color="auto" w:val="clear"/>
            <w:tcMar>
              <w:top w:type="dxa" w:w="60"/>
              <w:left w:type="dxa" w:w="90"/>
              <w:bottom w:type="dxa" w:w="60"/>
              <w:right w:type="dxa" w:w="90"/>
            </w:tcMar>
          </w:tcPr>
          <w:p>
            <w:pPr>
              <w:spacing w:after="0" w:line="240"/>
            </w:pPr>
            <w:r>
              <w:rPr>
                <w:b/>
                <w:bCs/>
                <w:sz w:val="18"/>
                <w:szCs w:val="18"/>
              </w:rPr>
              <w:t xml:space="preserve">Replication oversold</w:t>
            </w:r>
          </w:p>
        </w:tc>
        <w:tc>
          <w:tcPr>
            <w:tcW w:type="dxa" w:w="3600"/>
            <w:shd w:fill="F2F5F9" w:color="auto" w:val="clear"/>
            <w:tcMar>
              <w:top w:type="dxa" w:w="60"/>
              <w:left w:type="dxa" w:w="90"/>
              <w:bottom w:type="dxa" w:w="60"/>
              <w:right w:type="dxa" w:w="90"/>
            </w:tcMar>
          </w:tcPr>
          <w:p>
            <w:pPr>
              <w:spacing w:after="0" w:line="240"/>
            </w:pPr>
            <w:r>
              <w:rPr>
                <w:b w:val="false"/>
                <w:bCs w:val="false"/>
                <w:sz w:val="18"/>
                <w:szCs w:val="18"/>
              </w:rPr>
              <w:t xml:space="preserve">A public-proxy run presented as a replication of the Consultant's model.</w:t>
            </w:r>
          </w:p>
        </w:tc>
        <w:tc>
          <w:tcPr>
            <w:tcW w:type="dxa" w:w="2360"/>
            <w:shd w:fill="F2F5F9" w:color="auto" w:val="clear"/>
            <w:tcMar>
              <w:top w:type="dxa" w:w="60"/>
              <w:left w:type="dxa" w:w="90"/>
              <w:bottom w:type="dxa" w:w="60"/>
              <w:right w:type="dxa" w:w="90"/>
            </w:tcMar>
          </w:tcPr>
          <w:p>
            <w:pPr>
              <w:spacing w:after="0" w:line="240"/>
            </w:pPr>
            <w:r>
              <w:rPr>
                <w:b w:val="false"/>
                <w:bCs w:val="false"/>
                <w:sz w:val="18"/>
                <w:szCs w:val="18"/>
              </w:rPr>
              <w:t xml:space="preserve">FR-19 and the caution in Section 5. Report the gap instead.</w:t>
            </w:r>
          </w:p>
        </w:tc>
      </w:tr>
      <w:tr>
        <w:tc>
          <w:tcPr>
            <w:tcW w:type="dxa" w:w="3400"/>
            <w:tcMar>
              <w:top w:type="dxa" w:w="60"/>
              <w:left w:type="dxa" w:w="90"/>
              <w:bottom w:type="dxa" w:w="60"/>
              <w:right w:type="dxa" w:w="90"/>
            </w:tcMar>
          </w:tcPr>
          <w:p>
            <w:pPr>
              <w:spacing w:after="0" w:line="240"/>
            </w:pPr>
            <w:r>
              <w:rPr>
                <w:b/>
                <w:bCs/>
                <w:sz w:val="18"/>
                <w:szCs w:val="18"/>
              </w:rPr>
              <w:t xml:space="preserve">Stale rates</w:t>
            </w:r>
          </w:p>
        </w:tc>
        <w:tc>
          <w:tcPr>
            <w:tcW w:type="dxa" w:w="3600"/>
            <w:tcMar>
              <w:top w:type="dxa" w:w="60"/>
              <w:left w:type="dxa" w:w="90"/>
              <w:bottom w:type="dxa" w:w="60"/>
              <w:right w:type="dxa" w:w="90"/>
            </w:tcMar>
          </w:tcPr>
          <w:p>
            <w:pPr>
              <w:spacing w:after="0" w:line="240"/>
            </w:pPr>
            <w:r>
              <w:rPr>
                <w:b w:val="false"/>
                <w:bCs w:val="false"/>
                <w:sz w:val="18"/>
                <w:szCs w:val="18"/>
              </w:rPr>
              <w:t xml:space="preserve">2020 rates checked against 2026 submissions.</w:t>
            </w:r>
          </w:p>
        </w:tc>
        <w:tc>
          <w:tcPr>
            <w:tcW w:type="dxa" w:w="2360"/>
            <w:tcMar>
              <w:top w:type="dxa" w:w="60"/>
              <w:left w:type="dxa" w:w="90"/>
              <w:bottom w:type="dxa" w:w="60"/>
              <w:right w:type="dxa" w:w="90"/>
            </w:tcMar>
          </w:tcPr>
          <w:p>
            <w:pPr>
              <w:spacing w:after="0" w:line="240"/>
            </w:pPr>
            <w:r>
              <w:rPr>
                <w:b w:val="false"/>
                <w:bCs w:val="false"/>
                <w:sz w:val="18"/>
                <w:szCs w:val="18"/>
              </w:rPr>
              <w:t xml:space="preserve">FR-15 named escalation index.</w:t>
            </w:r>
          </w:p>
        </w:tc>
      </w:tr>
      <w:tr>
        <w:tc>
          <w:tcPr>
            <w:tcW w:type="dxa" w:w="3400"/>
            <w:shd w:fill="F2F5F9" w:color="auto" w:val="clear"/>
            <w:tcMar>
              <w:top w:type="dxa" w:w="60"/>
              <w:left w:type="dxa" w:w="90"/>
              <w:bottom w:type="dxa" w:w="60"/>
              <w:right w:type="dxa" w:w="90"/>
            </w:tcMar>
          </w:tcPr>
          <w:p>
            <w:pPr>
              <w:spacing w:after="0" w:line="240"/>
            </w:pPr>
            <w:r>
              <w:rPr>
                <w:b/>
                <w:bCs/>
                <w:sz w:val="18"/>
                <w:szCs w:val="18"/>
              </w:rPr>
              <w:t xml:space="preserve">Benchmark used as a decision</w:t>
            </w:r>
          </w:p>
        </w:tc>
        <w:tc>
          <w:tcPr>
            <w:tcW w:type="dxa" w:w="3600"/>
            <w:shd w:fill="F2F5F9" w:color="auto" w:val="clear"/>
            <w:tcMar>
              <w:top w:type="dxa" w:w="60"/>
              <w:left w:type="dxa" w:w="90"/>
              <w:bottom w:type="dxa" w:w="60"/>
              <w:right w:type="dxa" w:w="90"/>
            </w:tcMar>
          </w:tcPr>
          <w:p>
            <w:pPr>
              <w:spacing w:after="0" w:line="240"/>
            </w:pPr>
            <w:r>
              <w:rPr>
                <w:b w:val="false"/>
                <w:bCs w:val="false"/>
                <w:sz w:val="18"/>
                <w:szCs w:val="18"/>
              </w:rPr>
              <w:t xml:space="preserve">A flag treated as a finding.</w:t>
            </w:r>
          </w:p>
        </w:tc>
        <w:tc>
          <w:tcPr>
            <w:tcW w:type="dxa" w:w="2360"/>
            <w:shd w:fill="F2F5F9" w:color="auto" w:val="clear"/>
            <w:tcMar>
              <w:top w:type="dxa" w:w="60"/>
              <w:left w:type="dxa" w:w="90"/>
              <w:bottom w:type="dxa" w:w="60"/>
              <w:right w:type="dxa" w:w="90"/>
            </w:tcMar>
          </w:tcPr>
          <w:p>
            <w:pPr>
              <w:spacing w:after="0" w:line="240"/>
            </w:pPr>
            <w:r>
              <w:rPr>
                <w:b w:val="false"/>
                <w:bCs w:val="false"/>
                <w:sz w:val="18"/>
                <w:szCs w:val="18"/>
              </w:rPr>
              <w:t xml:space="preserve">Unchanged boundaries. FR-5 stands.</w:t>
            </w:r>
          </w:p>
        </w:tc>
      </w:tr>
    </w:tbl>
    <w:p>
      <w:pPr>
        <w:pStyle w:val="Heading1"/>
        <w:spacing w:after="120" w:before="280"/>
      </w:pPr>
      <w:r>
        <w:rPr>
          <w:b/>
          <w:bCs/>
          <w:color w:val="1F3A5F"/>
          <w:sz w:val="26"/>
          <w:szCs w:val="26"/>
        </w:rPr>
        <w:t xml:space="preserve">10  Disclosure</w:t>
      </w:r>
    </w:p>
    <w:p>
      <w:pPr>
        <w:spacing w:after="120" w:line="264"/>
      </w:pPr>
      <w:r>
        <w:t xml:space="preserve">The split from the FS Review Standard carries over. The source register in Section 3 is drawn from public documents, so its existence is not sensitive, but the normalised library, the driver factors as configured, and the confidence fields are AfCEN's asset and stay internal. The accumulation of consultant-published figures into the library remains FR-11 and remains internal.</w:t>
      </w:r>
    </w:p>
    <w:p>
      <w:pPr>
        <w:spacing w:after="120" w:line="264"/>
      </w:pPr>
      <w:r>
        <w:rPr>
          <w:b/>
          <w:bCs/>
        </w:rPr>
        <w:t xml:space="preserve">One point to settle deliberately. </w:t>
      </w:r>
      <w:r>
        <w:t xml:space="preserve">A capability that researches public benchmarks is easy to describe externally and reflects well on the Developer: it says the PM team checks submissions against the best available public evidence. That is a materially easier story to tell a sponsor than a learning loop is, and it may be the right thing to lead with in the JDA discussions.</w:t>
      </w:r>
    </w:p>
    <w:p>
      <w:pPr>
        <w:pStyle w:val="Heading1"/>
        <w:spacing w:after="120" w:before="280"/>
      </w:pPr>
      <w:r>
        <w:rPr>
          <w:b/>
          <w:bCs/>
          <w:color w:val="1F3A5F"/>
          <w:sz w:val="26"/>
          <w:szCs w:val="26"/>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3460"/>
      </w:tblGrid>
      <w:tr>
        <w:trPr>
          <w:tblHeader/>
        </w:trPr>
        <w:tc>
          <w:tcPr>
            <w:tcW w:type="dxa" w:w="500"/>
            <w:shd w:fill="1F3A5F" w:color="auto" w:val="clear"/>
            <w:tcMar>
              <w:top w:type="dxa" w:w="60"/>
              <w:left w:type="dxa" w:w="90"/>
              <w:bottom w:type="dxa" w:w="60"/>
              <w:right w:type="dxa" w:w="90"/>
            </w:tcMar>
          </w:tcPr>
          <w:p>
            <w:pPr>
              <w:spacing w:after="0" w:line="240"/>
            </w:pPr>
            <w:r>
              <w:rPr>
                <w:b/>
                <w:bCs/>
                <w:color w:val="FFFFFF"/>
                <w:sz w:val="18"/>
                <w:szCs w:val="18"/>
              </w:rPr>
              <w:t xml:space="preserve">#</w:t>
            </w:r>
          </w:p>
        </w:tc>
        <w:tc>
          <w:tcPr>
            <w:tcW w:type="dxa" w:w="5400"/>
            <w:shd w:fill="1F3A5F" w:color="auto" w:val="clear"/>
            <w:tcMar>
              <w:top w:type="dxa" w:w="60"/>
              <w:left w:type="dxa" w:w="90"/>
              <w:bottom w:type="dxa" w:w="60"/>
              <w:right w:type="dxa" w:w="90"/>
            </w:tcMar>
          </w:tcPr>
          <w:p>
            <w:pPr>
              <w:spacing w:after="0" w:line="240"/>
            </w:pPr>
            <w:r>
              <w:rPr>
                <w:b/>
                <w:bCs/>
                <w:color w:val="FFFFFF"/>
                <w:sz w:val="18"/>
                <w:szCs w:val="18"/>
              </w:rPr>
              <w:t xml:space="preserve">Question</w:t>
            </w:r>
          </w:p>
        </w:tc>
        <w:tc>
          <w:tcPr>
            <w:tcW w:type="dxa" w:w="3460"/>
            <w:shd w:fill="1F3A5F" w:color="auto" w:val="clear"/>
            <w:tcMar>
              <w:top w:type="dxa" w:w="60"/>
              <w:left w:type="dxa" w:w="90"/>
              <w:bottom w:type="dxa" w:w="60"/>
              <w:right w:type="dxa" w:w="90"/>
            </w:tcMar>
          </w:tcPr>
          <w:p>
            <w:pPr>
              <w:spacing w:after="0" w:line="240"/>
            </w:pPr>
            <w:r>
              <w:rPr>
                <w:b/>
                <w:bCs/>
                <w:color w:val="FFFFFF"/>
                <w:sz w:val="18"/>
                <w:szCs w:val="18"/>
              </w:rPr>
              <w:t xml:space="preserve">Recommendation</w:t>
            </w:r>
          </w:p>
        </w:tc>
      </w:tr>
      <w:tr>
        <w:tc>
          <w:tcPr>
            <w:tcW w:type="dxa" w:w="500"/>
            <w:tcMar>
              <w:top w:type="dxa" w:w="60"/>
              <w:left w:type="dxa" w:w="90"/>
              <w:bottom w:type="dxa" w:w="60"/>
              <w:right w:type="dxa" w:w="90"/>
            </w:tcMar>
          </w:tcPr>
          <w:p>
            <w:pPr>
              <w:spacing w:after="0" w:line="240"/>
            </w:pPr>
            <w:r>
              <w:rPr>
                <w:b/>
                <w:bCs/>
                <w:sz w:val="18"/>
                <w:szCs w:val="18"/>
              </w:rPr>
              <w:t xml:space="preserve">1</w:t>
            </w:r>
          </w:p>
        </w:tc>
        <w:tc>
          <w:tcPr>
            <w:tcW w:type="dxa" w:w="5400"/>
            <w:tcMar>
              <w:top w:type="dxa" w:w="60"/>
              <w:left w:type="dxa" w:w="90"/>
              <w:bottom w:type="dxa" w:w="60"/>
              <w:right w:type="dxa" w:w="90"/>
            </w:tcMar>
          </w:tcPr>
          <w:p>
            <w:pPr>
              <w:spacing w:after="0" w:line="240"/>
            </w:pPr>
            <w:r>
              <w:rPr>
                <w:b w:val="false"/>
                <w:bCs w:val="false"/>
                <w:sz w:val="18"/>
                <w:szCs w:val="18"/>
              </w:rPr>
              <w:t xml:space="preserve">Which escalation index applies to transmission capex in East Africa?</w:t>
            </w:r>
          </w:p>
        </w:tc>
        <w:tc>
          <w:tcPr>
            <w:tcW w:type="dxa" w:w="3460"/>
            <w:tcMar>
              <w:top w:type="dxa" w:w="60"/>
              <w:left w:type="dxa" w:w="90"/>
              <w:bottom w:type="dxa" w:w="60"/>
              <w:right w:type="dxa" w:w="90"/>
            </w:tcMar>
          </w:tcPr>
          <w:p>
            <w:pPr>
              <w:spacing w:after="0" w:line="240"/>
            </w:pPr>
            <w:r>
              <w:rPr>
                <w:b w:val="false"/>
                <w:bCs w:val="false"/>
                <w:sz w:val="18"/>
                <w:szCs w:val="18"/>
              </w:rPr>
              <w:t xml:space="preserve">Needs an owner. Nothing in the library is usable at a Material threshold until it is set.</w:t>
            </w:r>
          </w:p>
        </w:tc>
      </w:tr>
      <w:tr>
        <w:tc>
          <w:tcPr>
            <w:tcW w:type="dxa" w:w="500"/>
            <w:shd w:fill="F2F5F9" w:color="auto" w:val="clear"/>
            <w:tcMar>
              <w:top w:type="dxa" w:w="60"/>
              <w:left w:type="dxa" w:w="90"/>
              <w:bottom w:type="dxa" w:w="60"/>
              <w:right w:type="dxa" w:w="90"/>
            </w:tcMar>
          </w:tcPr>
          <w:p>
            <w:pPr>
              <w:spacing w:after="0" w:line="240"/>
            </w:pPr>
            <w:r>
              <w:rPr>
                <w:b/>
                <w:bCs/>
                <w:sz w:val="18"/>
                <w:szCs w:val="18"/>
              </w:rPr>
              <w:t xml:space="preserve">2</w:t>
            </w:r>
          </w:p>
        </w:tc>
        <w:tc>
          <w:tcPr>
            <w:tcW w:type="dxa" w:w="5400"/>
            <w:shd w:fill="F2F5F9" w:color="auto" w:val="clear"/>
            <w:tcMar>
              <w:top w:type="dxa" w:w="60"/>
              <w:left w:type="dxa" w:w="90"/>
              <w:bottom w:type="dxa" w:w="60"/>
              <w:right w:type="dxa" w:w="90"/>
            </w:tcMar>
          </w:tcPr>
          <w:p>
            <w:pPr>
              <w:spacing w:after="0" w:line="240"/>
            </w:pPr>
            <w:r>
              <w:rPr>
                <w:b w:val="false"/>
                <w:bCs w:val="false"/>
                <w:sz w:val="18"/>
                <w:szCs w:val="18"/>
              </w:rPr>
              <w:t xml:space="preserve">Is the ESMAP database available as data, or only as the report?</w:t>
            </w:r>
          </w:p>
        </w:tc>
        <w:tc>
          <w:tcPr>
            <w:tcW w:type="dxa" w:w="3460"/>
            <w:shd w:fill="F2F5F9" w:color="auto" w:val="clear"/>
            <w:tcMar>
              <w:top w:type="dxa" w:w="60"/>
              <w:left w:type="dxa" w:w="90"/>
              <w:bottom w:type="dxa" w:w="60"/>
              <w:right w:type="dxa" w:w="90"/>
            </w:tcMar>
          </w:tcPr>
          <w:p>
            <w:pPr>
              <w:spacing w:after="0" w:line="240"/>
            </w:pPr>
            <w:r>
              <w:rPr>
                <w:b w:val="false"/>
                <w:bCs w:val="false"/>
                <w:sz w:val="18"/>
                <w:szCs w:val="18"/>
              </w:rPr>
              <w:t xml:space="preserve">Ask ESMAP directly. The report says the database is Excel-based, and the licence permits adaptation.</w:t>
            </w:r>
          </w:p>
        </w:tc>
      </w:tr>
      <w:tr>
        <w:tc>
          <w:tcPr>
            <w:tcW w:type="dxa" w:w="500"/>
            <w:tcMar>
              <w:top w:type="dxa" w:w="60"/>
              <w:left w:type="dxa" w:w="90"/>
              <w:bottom w:type="dxa" w:w="60"/>
              <w:right w:type="dxa" w:w="90"/>
            </w:tcMar>
          </w:tcPr>
          <w:p>
            <w:pPr>
              <w:spacing w:after="0" w:line="240"/>
            </w:pPr>
            <w:r>
              <w:rPr>
                <w:b/>
                <w:bCs/>
                <w:sz w:val="18"/>
                <w:szCs w:val="18"/>
              </w:rPr>
              <w:t xml:space="preserve">3</w:t>
            </w:r>
          </w:p>
        </w:tc>
        <w:tc>
          <w:tcPr>
            <w:tcW w:type="dxa" w:w="5400"/>
            <w:tcMar>
              <w:top w:type="dxa" w:w="60"/>
              <w:left w:type="dxa" w:w="90"/>
              <w:bottom w:type="dxa" w:w="60"/>
              <w:right w:type="dxa" w:w="90"/>
            </w:tcMar>
          </w:tcPr>
          <w:p>
            <w:pPr>
              <w:spacing w:after="0" w:line="240"/>
            </w:pPr>
            <w:r>
              <w:rPr>
                <w:b w:val="false"/>
                <w:bCs w:val="false"/>
                <w:sz w:val="18"/>
                <w:szCs w:val="18"/>
              </w:rPr>
              <w:t xml:space="preserve">Does the platform hold the utility network case needed for FR-19?</w:t>
            </w:r>
          </w:p>
        </w:tc>
        <w:tc>
          <w:tcPr>
            <w:tcW w:type="dxa" w:w="3460"/>
            <w:tcMar>
              <w:top w:type="dxa" w:w="60"/>
              <w:left w:type="dxa" w:w="90"/>
              <w:bottom w:type="dxa" w:w="60"/>
              <w:right w:type="dxa" w:w="90"/>
            </w:tcMar>
          </w:tcPr>
          <w:p>
            <w:pPr>
              <w:spacing w:after="0" w:line="240"/>
            </w:pPr>
            <w:r>
              <w:rPr>
                <w:b w:val="false"/>
                <w:bCs w:val="false"/>
                <w:sz w:val="18"/>
                <w:szCs w:val="18"/>
              </w:rPr>
              <w:t xml:space="preserve">Likely not at launch. Scope FR-19 to Phase C and say so.</w:t>
            </w:r>
          </w:p>
        </w:tc>
      </w:tr>
      <w:tr>
        <w:tc>
          <w:tcPr>
            <w:tcW w:type="dxa" w:w="500"/>
            <w:shd w:fill="F2F5F9" w:color="auto" w:val="clear"/>
            <w:tcMar>
              <w:top w:type="dxa" w:w="60"/>
              <w:left w:type="dxa" w:w="90"/>
              <w:bottom w:type="dxa" w:w="60"/>
              <w:right w:type="dxa" w:w="90"/>
            </w:tcMar>
          </w:tcPr>
          <w:p>
            <w:pPr>
              <w:spacing w:after="0" w:line="240"/>
            </w:pPr>
            <w:r>
              <w:rPr>
                <w:b/>
                <w:bCs/>
                <w:sz w:val="18"/>
                <w:szCs w:val="18"/>
              </w:rPr>
              <w:t xml:space="preserve">4</w:t>
            </w:r>
          </w:p>
        </w:tc>
        <w:tc>
          <w:tcPr>
            <w:tcW w:type="dxa" w:w="5400"/>
            <w:shd w:fill="F2F5F9" w:color="auto" w:val="clear"/>
            <w:tcMar>
              <w:top w:type="dxa" w:w="60"/>
              <w:left w:type="dxa" w:w="90"/>
              <w:bottom w:type="dxa" w:w="60"/>
              <w:right w:type="dxa" w:w="90"/>
            </w:tcMar>
          </w:tcPr>
          <w:p>
            <w:pPr>
              <w:spacing w:after="0" w:line="240"/>
            </w:pPr>
            <w:r>
              <w:rPr>
                <w:b w:val="false"/>
                <w:bCs w:val="false"/>
                <w:sz w:val="18"/>
                <w:szCs w:val="18"/>
              </w:rPr>
              <w:t xml:space="preserve">Who owns the normalisation schema in FR-15?</w:t>
            </w:r>
          </w:p>
        </w:tc>
        <w:tc>
          <w:tcPr>
            <w:tcW w:type="dxa" w:w="3460"/>
            <w:shd w:fill="F2F5F9" w:color="auto" w:val="clear"/>
            <w:tcMar>
              <w:top w:type="dxa" w:w="60"/>
              <w:left w:type="dxa" w:w="90"/>
              <w:bottom w:type="dxa" w:w="60"/>
              <w:right w:type="dxa" w:w="90"/>
            </w:tcMar>
          </w:tcPr>
          <w:p>
            <w:pPr>
              <w:spacing w:after="0" w:line="240"/>
            </w:pPr>
            <w:r>
              <w:rPr>
                <w:b w:val="false"/>
                <w:bCs w:val="false"/>
                <w:sz w:val="18"/>
                <w:szCs w:val="18"/>
              </w:rPr>
              <w:t xml:space="preserve">It is the core IP of this capability. Treat it as such in the IP split with the Developer.</w:t>
            </w:r>
          </w:p>
        </w:tc>
      </w:tr>
      <w:tr>
        <w:tc>
          <w:tcPr>
            <w:tcW w:type="dxa" w:w="500"/>
            <w:tcMar>
              <w:top w:type="dxa" w:w="60"/>
              <w:left w:type="dxa" w:w="90"/>
              <w:bottom w:type="dxa" w:w="60"/>
              <w:right w:type="dxa" w:w="90"/>
            </w:tcMar>
          </w:tcPr>
          <w:p>
            <w:pPr>
              <w:spacing w:after="0" w:line="240"/>
            </w:pPr>
            <w:r>
              <w:rPr>
                <w:b/>
                <w:bCs/>
                <w:sz w:val="18"/>
                <w:szCs w:val="18"/>
              </w:rPr>
              <w:t xml:space="preserve">5</w:t>
            </w:r>
          </w:p>
        </w:tc>
        <w:tc>
          <w:tcPr>
            <w:tcW w:type="dxa" w:w="5400"/>
            <w:tcMar>
              <w:top w:type="dxa" w:w="60"/>
              <w:left w:type="dxa" w:w="90"/>
              <w:bottom w:type="dxa" w:w="60"/>
              <w:right w:type="dxa" w:w="90"/>
            </w:tcMar>
          </w:tcPr>
          <w:p>
            <w:pPr>
              <w:spacing w:after="0" w:line="240"/>
            </w:pPr>
            <w:r>
              <w:rPr>
                <w:b w:val="false"/>
                <w:bCs w:val="false"/>
                <w:sz w:val="18"/>
                <w:szCs w:val="18"/>
              </w:rPr>
              <w:t xml:space="preserve">Does the Consultant declare an AACE class in its deliverables today?</w:t>
            </w:r>
          </w:p>
        </w:tc>
        <w:tc>
          <w:tcPr>
            <w:tcW w:type="dxa" w:w="3460"/>
            <w:tcMar>
              <w:top w:type="dxa" w:w="60"/>
              <w:left w:type="dxa" w:w="90"/>
              <w:bottom w:type="dxa" w:w="60"/>
              <w:right w:type="dxa" w:w="90"/>
            </w:tcMar>
          </w:tcPr>
          <w:p>
            <w:pPr>
              <w:spacing w:after="0" w:line="240"/>
            </w:pPr>
            <w:r>
              <w:rPr>
                <w:b w:val="false"/>
                <w:bCs w:val="false"/>
                <w:sz w:val="18"/>
                <w:szCs w:val="18"/>
              </w:rPr>
              <w:t xml:space="preserve">If the TOR does not require it, FR-23 has nothing to check. Consider it for the PM Strategy document.</w:t>
            </w:r>
          </w:p>
        </w:tc>
      </w:tr>
      <w:tr>
        <w:tc>
          <w:tcPr>
            <w:tcW w:type="dxa" w:w="500"/>
            <w:shd w:fill="F2F5F9" w:color="auto" w:val="clear"/>
            <w:tcMar>
              <w:top w:type="dxa" w:w="60"/>
              <w:left w:type="dxa" w:w="90"/>
              <w:bottom w:type="dxa" w:w="60"/>
              <w:right w:type="dxa" w:w="90"/>
            </w:tcMar>
          </w:tcPr>
          <w:p>
            <w:pPr>
              <w:spacing w:after="0" w:line="240"/>
            </w:pPr>
            <w:r>
              <w:rPr>
                <w:b/>
                <w:bCs/>
                <w:sz w:val="18"/>
                <w:szCs w:val="18"/>
              </w:rPr>
              <w:t xml:space="preserve">6</w:t>
            </w:r>
          </w:p>
        </w:tc>
        <w:tc>
          <w:tcPr>
            <w:tcW w:type="dxa" w:w="5400"/>
            <w:shd w:fill="F2F5F9" w:color="auto" w:val="clear"/>
            <w:tcMar>
              <w:top w:type="dxa" w:w="60"/>
              <w:left w:type="dxa" w:w="90"/>
              <w:bottom w:type="dxa" w:w="60"/>
              <w:right w:type="dxa" w:w="90"/>
            </w:tcMar>
          </w:tcPr>
          <w:p>
            <w:pPr>
              <w:spacing w:after="0" w:line="240"/>
            </w:pPr>
            <w:r>
              <w:rPr>
                <w:b w:val="false"/>
                <w:bCs w:val="false"/>
                <w:sz w:val="18"/>
                <w:szCs w:val="18"/>
              </w:rPr>
              <w:t xml:space="preserve">MISO and ACER licence terms for commercial reuse.</w:t>
            </w:r>
          </w:p>
        </w:tc>
        <w:tc>
          <w:tcPr>
            <w:tcW w:type="dxa" w:w="3460"/>
            <w:shd w:fill="F2F5F9" w:color="auto" w:val="clear"/>
            <w:tcMar>
              <w:top w:type="dxa" w:w="60"/>
              <w:left w:type="dxa" w:w="90"/>
              <w:bottom w:type="dxa" w:w="60"/>
              <w:right w:type="dxa" w:w="90"/>
            </w:tcMar>
          </w:tcPr>
          <w:p>
            <w:pPr>
              <w:spacing w:after="0" w:line="240"/>
            </w:pPr>
            <w:r>
              <w:rPr>
                <w:b w:val="false"/>
                <w:bCs w:val="false"/>
                <w:sz w:val="18"/>
                <w:szCs w:val="18"/>
              </w:rPr>
              <w:t xml:space="preserve">Confirm before the library ships.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2026-07-15T13:02:13.262Z</dcterms:created>
  <dcterms:modified xsi:type="dcterms:W3CDTF">2026-07-15T13:02:13.279Z</dcterms:modified>
</cp:coreProperties>
</file>

<file path=docProps/custom.xml><?xml version="1.0" encoding="utf-8"?>
<Properties xmlns="http://schemas.openxmlformats.org/officeDocument/2006/custom-properties" xmlns:vt="http://schemas.openxmlformats.org/officeDocument/2006/docPropsVTypes"/>
</file>