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AfCEN CDE Platform - Product Requirements Document</w:t>
      </w:r>
    </w:p>
    <w:p>
      <w:pPr>
        <w:spacing w:after="140"/>
      </w:pPr>
      <w:r>
        <w:rPr>
          <w:i/>
          <w:iCs/>
          <w:color w:val="595959"/>
          <w:sz w:val="20"/>
          <w:szCs w:val="20"/>
        </w:rPr>
        <w:t xml:space="preserve">Internal document - not for circulation to bidders or the Developer's partners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Mar>
              <w:top w:type="dxa" w:w="100"/>
              <w:left w:type="dxa" w:w="100"/>
              <w:bottom w:type="dxa" w:w="100"/>
              <w:right w:type="dxa" w:w="100"/>
            </w:tcMar>
            <w:vAlign w:val="center"/>
          </w:tcPr>
          <w:p>
            <w:r>
              <w:rPr>
                <w:b/>
                <w:bCs/>
                <w:sz w:val="20"/>
                <w:szCs w:val="20"/>
              </w:rPr>
              <w:t xml:space="preserve">Product</w:t>
            </w:r>
          </w:p>
        </w:tc>
        <w:tc>
          <w:tcPr>
            <w:tcMar>
              <w:top w:type="dxa" w:w="100"/>
              <w:left w:type="dxa" w:w="100"/>
              <w:bottom w:type="dxa" w:w="100"/>
              <w:right w:type="dxa" w:w="100"/>
            </w:tcMar>
            <w:vAlign w:val="center"/>
          </w:tcPr>
          <w:p>
            <w:r>
              <w:rPr>
                <w:b w:val="false"/>
                <w:bCs w:val="false"/>
                <w:sz w:val="20"/>
                <w:szCs w:val="20"/>
              </w:rPr>
              <w:t xml:space="preserve">AfCEN Common Data Environment (CDE) platform</w:t>
            </w:r>
          </w:p>
        </w:tc>
      </w:tr>
      <w:tr>
        <w:tc>
          <w:tcPr>
            <w:tcMar>
              <w:top w:type="dxa" w:w="100"/>
              <w:left w:type="dxa" w:w="100"/>
              <w:bottom w:type="dxa" w:w="100"/>
              <w:right w:type="dxa" w:w="100"/>
            </w:tcMar>
            <w:vAlign w:val="center"/>
          </w:tcPr>
          <w:p>
            <w:r>
              <w:rPr>
                <w:b/>
                <w:bCs/>
                <w:sz w:val="20"/>
                <w:szCs w:val="20"/>
              </w:rPr>
              <w:t xml:space="preserve">Owner</w:t>
            </w:r>
          </w:p>
        </w:tc>
        <w:tc>
          <w:tcPr>
            <w:tcMar>
              <w:top w:type="dxa" w:w="100"/>
              <w:left w:type="dxa" w:w="100"/>
              <w:bottom w:type="dxa" w:w="100"/>
              <w:right w:type="dxa" w:w="100"/>
            </w:tcMar>
            <w:vAlign w:val="center"/>
          </w:tcPr>
          <w:p>
            <w:r>
              <w:rPr>
                <w:b w:val="false"/>
                <w:bCs w:val="false"/>
                <w:sz w:val="20"/>
                <w:szCs w:val="20"/>
              </w:rPr>
              <w:t xml:space="preserve">Dennis Nderitu, AfCEN</w:t>
            </w:r>
          </w:p>
        </w:tc>
      </w:tr>
      <w:tr>
        <w:tc>
          <w:tcPr>
            <w:tcMar>
              <w:top w:type="dxa" w:w="100"/>
              <w:left w:type="dxa" w:w="100"/>
              <w:bottom w:type="dxa" w:w="100"/>
              <w:right w:type="dxa" w:w="100"/>
            </w:tcMar>
            <w:vAlign w:val="center"/>
          </w:tcPr>
          <w:p>
            <w:r>
              <w:rPr>
                <w:b/>
                <w:bCs/>
                <w:sz w:val="20"/>
                <w:szCs w:val="20"/>
              </w:rPr>
              <w:t xml:space="preserve">Status</w:t>
            </w:r>
          </w:p>
        </w:tc>
        <w:tc>
          <w:tcPr>
            <w:tcMar>
              <w:top w:type="dxa" w:w="100"/>
              <w:left w:type="dxa" w:w="100"/>
              <w:bottom w:type="dxa" w:w="100"/>
              <w:right w:type="dxa" w:w="100"/>
            </w:tcMar>
            <w:vAlign w:val="center"/>
          </w:tcPr>
          <w:p>
            <w:r>
              <w:rPr>
                <w:b w:val="false"/>
                <w:bCs w:val="false"/>
                <w:sz w:val="20"/>
                <w:szCs w:val="20"/>
              </w:rPr>
              <w:t xml:space="preserve">Draft - for internal build use only, not for circulation to bidders or Developer partners</w:t>
            </w:r>
          </w:p>
        </w:tc>
      </w:tr>
      <w:tr>
        <w:tc>
          <w:tcPr>
            <w:tcMar>
              <w:top w:type="dxa" w:w="100"/>
              <w:left w:type="dxa" w:w="100"/>
              <w:bottom w:type="dxa" w:w="100"/>
              <w:right w:type="dxa" w:w="100"/>
            </w:tcMar>
            <w:vAlign w:val="center"/>
          </w:tcPr>
          <w:p>
            <w:r>
              <w:rPr>
                <w:b/>
                <w:bCs/>
                <w:sz w:val="20"/>
                <w:szCs w:val="20"/>
              </w:rPr>
              <w:t xml:space="preserve">Pilot project</w:t>
            </w:r>
          </w:p>
        </w:tc>
        <w:tc>
          <w:tcPr>
            <w:tcMar>
              <w:top w:type="dxa" w:w="100"/>
              <w:left w:type="dxa" w:w="100"/>
              <w:bottom w:type="dxa" w:w="100"/>
              <w:right w:type="dxa" w:w="100"/>
            </w:tcMar>
            <w:vAlign w:val="center"/>
          </w:tcPr>
          <w:p>
            <w:r>
              <w:rPr>
                <w:b w:val="false"/>
                <w:bCs w:val="false"/>
                <w:sz w:val="20"/>
                <w:szCs w:val="20"/>
              </w:rPr>
              <w:t xml:space="preserve">Bulambuli-Moroto IPT Project (RFP-TFS-IPT-BM-002/2026)</w:t>
            </w:r>
          </w:p>
        </w:tc>
      </w:tr>
      <w:tr>
        <w:tc>
          <w:tcPr>
            <w:tcMar>
              <w:top w:type="dxa" w:w="100"/>
              <w:left w:type="dxa" w:w="100"/>
              <w:bottom w:type="dxa" w:w="100"/>
              <w:right w:type="dxa" w:w="100"/>
            </w:tcMar>
            <w:vAlign w:val="center"/>
          </w:tcPr>
          <w:p>
            <w:r>
              <w:rPr>
                <w:b/>
                <w:bCs/>
                <w:sz w:val="20"/>
                <w:szCs w:val="20"/>
              </w:rPr>
              <w:t xml:space="preserve">Basis</w:t>
            </w:r>
          </w:p>
        </w:tc>
        <w:tc>
          <w:tcPr>
            <w:tcMar>
              <w:top w:type="dxa" w:w="100"/>
              <w:left w:type="dxa" w:w="100"/>
              <w:bottom w:type="dxa" w:w="100"/>
              <w:right w:type="dxa" w:w="100"/>
            </w:tcMar>
            <w:vAlign w:val="center"/>
          </w:tcPr>
          <w:p>
            <w:r>
              <w:rPr>
                <w:b w:val="false"/>
                <w:bCs w:val="false"/>
                <w:sz w:val="20"/>
                <w:szCs w:val="20"/>
              </w:rPr>
              <w:t xml:space="preserve">15 July 2026 call - Dennis Nderitu, Herbert Wakaabu, Arnold M, Daniel Richard, Prim Nalukwago</w:t>
            </w:r>
          </w:p>
        </w:tc>
      </w:tr>
    </w:tbl>
    <w:p>
      <w:pPr>
        <w:pStyle w:val="Heading2"/>
        <w:spacing w:after="100" w:before="280"/>
      </w:pPr>
      <w:r>
        <w:rPr>
          <w:b/>
          <w:bCs/>
        </w:rPr>
        <w:t xml:space="preserve">1. Overview</w:t>
      </w:r>
    </w:p>
    <w:p>
      <w:pPr>
        <w:spacing w:after="140"/>
      </w:pPr>
      <w:r>
        <w:rPr>
          <w:sz w:val="22"/>
          <w:szCs w:val="22"/>
        </w:rPr>
        <w:t xml:space="preserve">The AfCEN Common Data Environment (CDE) is a platform that hosts, tracks and does a first-pass review of consultant deliverables on behalf of the Developer, aligned with ISO 19650 information-management principles. It has two purposes running in parallel:</w:t>
      </w:r>
    </w:p>
    <w:p>
      <w:pPr>
        <w:pStyle w:val="ListParagraph"/>
        <w:numPr>
          <w:ilvl w:val="0"/>
          <w:numId w:val="1"/>
        </w:numPr>
        <w:spacing w:after="80"/>
      </w:pPr>
      <w:r>
        <w:rPr>
          <w:sz w:val="22"/>
          <w:szCs w:val="22"/>
        </w:rPr>
        <w:t xml:space="preserve">Operational: give the Kwanza PM team a faster, more consistent way to receive, track and review consultant deliverables on the Bulambuli-Moroto project - one platform instead of a document tool, a data room and a validation tool bought separately.</w:t>
      </w:r>
    </w:p>
    <w:p>
      <w:pPr>
        <w:pStyle w:val="ListParagraph"/>
        <w:numPr>
          <w:ilvl w:val="0"/>
          <w:numId w:val="1"/>
        </w:numPr>
        <w:spacing w:after="80"/>
      </w:pPr>
      <w:r>
        <w:rPr>
          <w:sz w:val="22"/>
          <w:szCs w:val="22"/>
        </w:rPr>
        <w:t xml:space="preserve">Strategic: build a reusable asset - an accumulating library of cost benchmarks, assumptions and review logic drawn from projects across the region - that AfCEN and Kwanza can carry into future IPT projects.</w:t>
      </w:r>
    </w:p>
    <w:p>
      <w:pPr>
        <w:pStyle w:val="Heading2"/>
        <w:spacing w:after="100" w:before="280"/>
      </w:pPr>
      <w:r>
        <w:rPr>
          <w:b/>
          <w:bCs/>
        </w:rPr>
        <w:t xml:space="preserve">2. Problem statement</w:t>
      </w:r>
    </w:p>
    <w:p>
      <w:pPr>
        <w:spacing w:after="140"/>
      </w:pPr>
      <w:r>
        <w:rPr>
          <w:sz w:val="22"/>
          <w:szCs w:val="22"/>
        </w:rPr>
        <w:t xml:space="preserve">Feasibility studies for transmission projects are currently run project by project, with each consultant's data, review comments and version history scattered across email threads and static folders. This makes each project bespoke: nothing learned on one assignment carries forward to speed up the next. It also means the PM team's first-pass review of every submission - checking numbers, assumptions and formats against industry and regional norms - is done manually, from scratch, every time.</w:t>
      </w:r>
    </w:p>
    <w:p>
      <w:pPr>
        <w:pStyle w:val="Heading2"/>
        <w:spacing w:after="100" w:before="280"/>
      </w:pPr>
      <w:r>
        <w:rPr>
          <w:b/>
          <w:bCs/>
        </w:rPr>
        <w:t xml:space="preserve">3. Goals and success metrics</w:t>
      </w:r>
    </w:p>
    <w:p>
      <w:pPr>
        <w:pStyle w:val="ListParagraph"/>
        <w:numPr>
          <w:ilvl w:val="0"/>
          <w:numId w:val="1"/>
        </w:numPr>
        <w:spacing w:after="80"/>
      </w:pPr>
      <w:r>
        <w:rPr>
          <w:sz w:val="22"/>
          <w:szCs w:val="22"/>
        </w:rPr>
        <w:t xml:space="preserve">Reduce first-pass review turnaround on each deliverable (D1-D11) from a fully manual baseline to hours-to-days.</w:t>
      </w:r>
    </w:p>
    <w:p>
      <w:pPr>
        <w:pStyle w:val="ListParagraph"/>
        <w:numPr>
          <w:ilvl w:val="0"/>
          <w:numId w:val="1"/>
        </w:numPr>
        <w:spacing w:after="80"/>
      </w:pPr>
      <w:r>
        <w:rPr>
          <w:sz w:val="22"/>
          <w:szCs w:val="22"/>
        </w:rPr>
        <w:t xml:space="preserve">Produce a benchmark-flag rate the PM team finds useful, not noisy - tracked as flags accepted versus flags dismissed.</w:t>
      </w:r>
    </w:p>
    <w:p>
      <w:pPr>
        <w:pStyle w:val="ListParagraph"/>
        <w:numPr>
          <w:ilvl w:val="0"/>
          <w:numId w:val="1"/>
        </w:numPr>
        <w:spacing w:after="80"/>
      </w:pPr>
      <w:r>
        <w:rPr>
          <w:sz w:val="22"/>
          <w:szCs w:val="22"/>
        </w:rPr>
        <w:t xml:space="preserve">Carry a measurable share of the benchmark library into the next IPT project without rebuilding it from scratch.</w:t>
      </w:r>
    </w:p>
    <w:p>
      <w:pPr>
        <w:pStyle w:val="ListParagraph"/>
        <w:numPr>
          <w:ilvl w:val="0"/>
          <w:numId w:val="1"/>
        </w:numPr>
        <w:spacing w:after="80"/>
      </w:pPr>
      <w:r>
        <w:rPr>
          <w:sz w:val="22"/>
          <w:szCs w:val="22"/>
        </w:rPr>
        <w:t xml:space="preserve">Zero incidents of the platform being perceived - internally or externally - as replacing the PM team's or the Consultant's judgement.</w:t>
      </w:r>
    </w:p>
    <w:p>
      <w:pPr>
        <w:pStyle w:val="Heading2"/>
        <w:spacing w:after="100" w:before="280"/>
      </w:pPr>
      <w:r>
        <w:rPr>
          <w:b/>
          <w:bCs/>
        </w:rPr>
        <w:t xml:space="preserve">4. Personas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c>
          <w:tcPr>
            <w:shd w:fill="1F3864" w:val="clear"/>
            <w:tcMar>
              <w:top w:type="dxa" w:w="100"/>
              <w:left w:type="dxa" w:w="100"/>
              <w:bottom w:type="dxa" w:w="100"/>
              <w:right w:type="dxa" w:w="100"/>
            </w:tcMar>
            <w:vAlign w:val="center"/>
          </w:tcPr>
          <w:p>
            <w:r>
              <w:rPr>
                <w:b/>
                <w:bCs/>
                <w:color w:val="FFFFFF"/>
                <w:sz w:val="20"/>
                <w:szCs w:val="20"/>
              </w:rPr>
              <w:t xml:space="preserve">Persona</w:t>
            </w:r>
          </w:p>
        </w:tc>
        <w:tc>
          <w:tcPr>
            <w:shd w:fill="1F3864" w:val="clear"/>
            <w:tcMar>
              <w:top w:type="dxa" w:w="100"/>
              <w:left w:type="dxa" w:w="100"/>
              <w:bottom w:type="dxa" w:w="100"/>
              <w:right w:type="dxa" w:w="100"/>
            </w:tcMar>
            <w:vAlign w:val="center"/>
          </w:tcPr>
          <w:p>
            <w:r>
              <w:rPr>
                <w:b/>
                <w:bCs/>
                <w:color w:val="FFFFFF"/>
                <w:sz w:val="20"/>
                <w:szCs w:val="20"/>
              </w:rPr>
              <w:t xml:space="preserve">Goal</w:t>
            </w:r>
          </w:p>
        </w:tc>
        <w:tc>
          <w:tcPr>
            <w:shd w:fill="1F3864" w:val="clear"/>
            <w:tcMar>
              <w:top w:type="dxa" w:w="100"/>
              <w:left w:type="dxa" w:w="100"/>
              <w:bottom w:type="dxa" w:w="100"/>
              <w:right w:type="dxa" w:w="100"/>
            </w:tcMar>
            <w:vAlign w:val="center"/>
          </w:tcPr>
          <w:p>
            <w:r>
              <w:rPr>
                <w:b/>
                <w:bCs/>
                <w:color w:val="FFFFFF"/>
                <w:sz w:val="20"/>
                <w:szCs w:val="20"/>
              </w:rPr>
              <w:t xml:space="preserve">Constraint</w:t>
            </w:r>
          </w:p>
        </w:tc>
      </w:tr>
      <w:tr>
        <w:tc>
          <w:tcPr>
            <w:tcMar>
              <w:top w:type="dxa" w:w="100"/>
              <w:left w:type="dxa" w:w="100"/>
              <w:bottom w:type="dxa" w:w="100"/>
              <w:right w:type="dxa" w:w="100"/>
            </w:tcMar>
            <w:vAlign w:val="center"/>
          </w:tcPr>
          <w:p>
            <w:r>
              <w:rPr>
                <w:b/>
                <w:bCs/>
                <w:sz w:val="20"/>
                <w:szCs w:val="20"/>
              </w:rPr>
              <w:t xml:space="preserve">Consultant</w:t>
            </w:r>
          </w:p>
        </w:tc>
        <w:tc>
          <w:tcPr>
            <w:tcMar>
              <w:top w:type="dxa" w:w="100"/>
              <w:left w:type="dxa" w:w="100"/>
              <w:bottom w:type="dxa" w:w="100"/>
              <w:right w:type="dxa" w:w="100"/>
            </w:tcMar>
            <w:vAlign w:val="center"/>
          </w:tcPr>
          <w:p>
            <w:r>
              <w:rPr>
                <w:b w:val="false"/>
                <w:bCs w:val="false"/>
                <w:sz w:val="20"/>
                <w:szCs w:val="20"/>
              </w:rPr>
              <w:t xml:space="preserve">Deliver a bankable feasibility study on time, using familiar tools (PowerFactory, PLS-CADD, GIS), with minimal disruption to how they already work.</w:t>
            </w:r>
          </w:p>
        </w:tc>
        <w:tc>
          <w:tcPr>
            <w:tcMar>
              <w:top w:type="dxa" w:w="100"/>
              <w:left w:type="dxa" w:w="100"/>
              <w:bottom w:type="dxa" w:w="100"/>
              <w:right w:type="dxa" w:w="100"/>
            </w:tcMar>
            <w:vAlign w:val="center"/>
          </w:tcPr>
          <w:p>
            <w:r>
              <w:rPr>
                <w:b w:val="false"/>
                <w:bCs w:val="false"/>
                <w:sz w:val="20"/>
                <w:szCs w:val="20"/>
              </w:rPr>
              <w:t xml:space="preserve">Cannot mark anything as Published; cannot bypass sign-off requirements; remains the sole signatory of their own work.</w:t>
            </w:r>
          </w:p>
        </w:tc>
      </w:tr>
      <w:tr>
        <w:tc>
          <w:tcPr>
            <w:tcMar>
              <w:top w:type="dxa" w:w="100"/>
              <w:left w:type="dxa" w:w="100"/>
              <w:bottom w:type="dxa" w:w="100"/>
              <w:right w:type="dxa" w:w="100"/>
            </w:tcMar>
            <w:vAlign w:val="center"/>
          </w:tcPr>
          <w:p>
            <w:r>
              <w:rPr>
                <w:b/>
                <w:bCs/>
                <w:sz w:val="20"/>
                <w:szCs w:val="20"/>
              </w:rPr>
              <w:t xml:space="preserve">AfCEN platform administrator</w:t>
            </w:r>
          </w:p>
        </w:tc>
        <w:tc>
          <w:tcPr>
            <w:tcMar>
              <w:top w:type="dxa" w:w="100"/>
              <w:left w:type="dxa" w:w="100"/>
              <w:bottom w:type="dxa" w:w="100"/>
              <w:right w:type="dxa" w:w="100"/>
            </w:tcMar>
            <w:vAlign w:val="center"/>
          </w:tcPr>
          <w:p>
            <w:r>
              <w:rPr>
                <w:b w:val="false"/>
                <w:bCs w:val="false"/>
                <w:sz w:val="20"/>
                <w:szCs w:val="20"/>
              </w:rPr>
              <w:t xml:space="preserve">Keep the CDE current, run first-pass checks, maintain the benchmark library, surface flags early.</w:t>
            </w:r>
          </w:p>
        </w:tc>
        <w:tc>
          <w:tcPr>
            <w:tcMar>
              <w:top w:type="dxa" w:w="100"/>
              <w:left w:type="dxa" w:w="100"/>
              <w:bottom w:type="dxa" w:w="100"/>
              <w:right w:type="dxa" w:w="100"/>
            </w:tcMar>
            <w:vAlign w:val="center"/>
          </w:tcPr>
          <w:p>
            <w:r>
              <w:rPr>
                <w:b w:val="false"/>
                <w:bCs w:val="false"/>
                <w:sz w:val="20"/>
                <w:szCs w:val="20"/>
              </w:rPr>
              <w:t xml:space="preserve">Cannot approve deliverables, correct the consultant's numbers, or move items to Published.</w:t>
            </w:r>
          </w:p>
        </w:tc>
      </w:tr>
      <w:tr>
        <w:tc>
          <w:tcPr>
            <w:tcMar>
              <w:top w:type="dxa" w:w="100"/>
              <w:left w:type="dxa" w:w="100"/>
              <w:bottom w:type="dxa" w:w="100"/>
              <w:right w:type="dxa" w:w="100"/>
            </w:tcMar>
            <w:vAlign w:val="center"/>
          </w:tcPr>
          <w:p>
            <w:r>
              <w:rPr>
                <w:b/>
                <w:bCs/>
                <w:sz w:val="20"/>
                <w:szCs w:val="20"/>
              </w:rPr>
              <w:t xml:space="preserve">Kwanza PM team</w:t>
            </w:r>
          </w:p>
        </w:tc>
        <w:tc>
          <w:tcPr>
            <w:tcMar>
              <w:top w:type="dxa" w:w="100"/>
              <w:left w:type="dxa" w:w="100"/>
              <w:bottom w:type="dxa" w:w="100"/>
              <w:right w:type="dxa" w:w="100"/>
            </w:tcMar>
            <w:vAlign w:val="center"/>
          </w:tcPr>
          <w:p>
            <w:r>
              <w:rPr>
                <w:b w:val="false"/>
                <w:bCs w:val="false"/>
                <w:sz w:val="20"/>
                <w:szCs w:val="20"/>
              </w:rPr>
              <w:t xml:space="preserve">Review consultant outputs faster and with better context; make every approval decision; hit the compressed timeline.</w:t>
            </w:r>
          </w:p>
        </w:tc>
        <w:tc>
          <w:tcPr>
            <w:tcMar>
              <w:top w:type="dxa" w:w="100"/>
              <w:left w:type="dxa" w:w="100"/>
              <w:bottom w:type="dxa" w:w="100"/>
              <w:right w:type="dxa" w:w="100"/>
            </w:tcMar>
            <w:vAlign w:val="center"/>
          </w:tcPr>
          <w:p>
            <w:r>
              <w:rPr>
                <w:b w:val="false"/>
                <w:bCs w:val="false"/>
                <w:sz w:val="20"/>
                <w:szCs w:val="20"/>
              </w:rPr>
              <w:t xml:space="preserve">Is the sole approval authority - the product must never appear to bypass or duplicate this role.</w:t>
            </w:r>
          </w:p>
        </w:tc>
      </w:tr>
      <w:tr>
        <w:tc>
          <w:tcPr>
            <w:tcMar>
              <w:top w:type="dxa" w:w="100"/>
              <w:left w:type="dxa" w:w="100"/>
              <w:bottom w:type="dxa" w:w="100"/>
              <w:right w:type="dxa" w:w="100"/>
            </w:tcMar>
            <w:vAlign w:val="center"/>
          </w:tcPr>
          <w:p>
            <w:r>
              <w:rPr>
                <w:b/>
                <w:bCs/>
                <w:sz w:val="20"/>
                <w:szCs w:val="20"/>
              </w:rPr>
              <w:t xml:space="preserve">Developer / sponsors (Meridiam, PIDG)</w:t>
            </w:r>
          </w:p>
        </w:tc>
        <w:tc>
          <w:tcPr>
            <w:tcMar>
              <w:top w:type="dxa" w:w="100"/>
              <w:left w:type="dxa" w:w="100"/>
              <w:bottom w:type="dxa" w:w="100"/>
              <w:right w:type="dxa" w:w="100"/>
            </w:tcMar>
            <w:vAlign w:val="center"/>
          </w:tcPr>
          <w:p>
            <w:r>
              <w:rPr>
                <w:b w:val="false"/>
                <w:bCs w:val="false"/>
                <w:sz w:val="20"/>
                <w:szCs w:val="20"/>
              </w:rPr>
              <w:t xml:space="preserve">See a transparent, well-documented version history for lender due diligence.</w:t>
            </w:r>
          </w:p>
        </w:tc>
        <w:tc>
          <w:tcPr>
            <w:tcMar>
              <w:top w:type="dxa" w:w="100"/>
              <w:left w:type="dxa" w:w="100"/>
              <w:bottom w:type="dxa" w:w="100"/>
              <w:right w:type="dxa" w:w="100"/>
            </w:tcMar>
            <w:vAlign w:val="center"/>
          </w:tcPr>
          <w:p>
            <w:r>
              <w:rPr>
                <w:b w:val="false"/>
                <w:bCs w:val="false"/>
                <w:sz w:val="20"/>
                <w:szCs w:val="20"/>
              </w:rPr>
              <w:t xml:space="preserve">Read-only access to Published-state material only - no visibility into WIP or Shared drafts.</w:t>
            </w:r>
          </w:p>
        </w:tc>
      </w:tr>
    </w:tbl>
    <w:p>
      <w:pPr>
        <w:spacing w:after="160"/>
      </w:pPr>
      <w:r>
        <w:rPr>
          <w:i/>
          <w:iCs/>
          <w:color w:val="595959"/>
          <w:sz w:val="20"/>
          <w:szCs w:val="20"/>
        </w:rPr>
        <w:t xml:space="preserve">The core boundary that applies across every persona: AfCEN's checks are advisory only. The Consultant remains the sole signatory of its own deliverables under TOR Section 8.3, and the PM team remains the sole approval authority.</w:t>
      </w:r>
    </w:p>
    <w:p>
      <w:pPr>
        <w:pStyle w:val="Heading2"/>
        <w:spacing w:after="100" w:before="280"/>
      </w:pPr>
      <w:r>
        <w:rPr>
          <w:b/>
          <w:bCs/>
        </w:rPr>
        <w:t xml:space="preserve">5. Functional requirements</w:t>
      </w:r>
    </w:p>
    <w:p>
      <w:pPr>
        <w:spacing w:after="140"/>
      </w:pPr>
      <w:r>
        <w:rPr>
          <w:sz w:val="22"/>
          <w:szCs w:val="22"/>
        </w:rPr>
        <w:t xml:space="preserve">Priority key: P0 = required for the Saturday demo and for launch. P1 = required before Consultant mobilisation. P2 = required for the platform to be reusable beyond this project.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900"/>
        <w:gridCol w:w="3300"/>
      </w:tblGrid>
      <w:tr>
        <w:tc>
          <w:tcPr>
            <w:shd w:fill="1F3864" w:val="clear"/>
            <w:tcMar>
              <w:top w:type="dxa" w:w="100"/>
              <w:left w:type="dxa" w:w="100"/>
              <w:bottom w:type="dxa" w:w="100"/>
              <w:right w:type="dxa" w:w="100"/>
            </w:tcMar>
            <w:vAlign w:val="center"/>
          </w:tcPr>
          <w:p>
            <w:r>
              <w:rPr>
                <w:b/>
                <w:bCs/>
                <w:color w:val="FFFFFF"/>
                <w:sz w:val="20"/>
                <w:szCs w:val="20"/>
              </w:rPr>
              <w:t xml:space="preserve">ID</w:t>
            </w:r>
          </w:p>
        </w:tc>
        <w:tc>
          <w:tcPr>
            <w:shd w:fill="1F3864" w:val="clear"/>
            <w:tcMar>
              <w:top w:type="dxa" w:w="100"/>
              <w:left w:type="dxa" w:w="100"/>
              <w:bottom w:type="dxa" w:w="100"/>
              <w:right w:type="dxa" w:w="100"/>
            </w:tcMar>
            <w:vAlign w:val="center"/>
          </w:tcPr>
          <w:p>
            <w:r>
              <w:rPr>
                <w:b/>
                <w:bCs/>
                <w:color w:val="FFFFFF"/>
                <w:sz w:val="20"/>
                <w:szCs w:val="20"/>
              </w:rPr>
              <w:t xml:space="preserve">Requirement</w:t>
            </w:r>
          </w:p>
        </w:tc>
        <w:tc>
          <w:tcPr>
            <w:shd w:fill="1F3864" w:val="clear"/>
            <w:tcMar>
              <w:top w:type="dxa" w:w="100"/>
              <w:left w:type="dxa" w:w="100"/>
              <w:bottom w:type="dxa" w:w="100"/>
              <w:right w:type="dxa" w:w="100"/>
            </w:tcMar>
            <w:vAlign w:val="center"/>
          </w:tcPr>
          <w:p>
            <w:r>
              <w:rPr>
                <w:b/>
                <w:bCs/>
                <w:color w:val="FFFFFF"/>
                <w:sz w:val="20"/>
                <w:szCs w:val="20"/>
              </w:rPr>
              <w:t xml:space="preserve">Priority</w:t>
            </w:r>
          </w:p>
        </w:tc>
        <w:tc>
          <w:tcPr>
            <w:shd w:fill="1F3864" w:val="clear"/>
            <w:tcMar>
              <w:top w:type="dxa" w:w="100"/>
              <w:left w:type="dxa" w:w="100"/>
              <w:bottom w:type="dxa" w:w="100"/>
              <w:right w:type="dxa" w:w="100"/>
            </w:tcMar>
            <w:vAlign w:val="center"/>
          </w:tcPr>
          <w:p>
            <w:r>
              <w:rPr>
                <w:b/>
                <w:bCs/>
                <w:color w:val="FFFFFF"/>
                <w:sz w:val="20"/>
                <w:szCs w:val="20"/>
              </w:rPr>
              <w:t xml:space="preserve">Maps to</w:t>
            </w:r>
          </w:p>
        </w:tc>
      </w:tr>
      <w:tr>
        <w:tc>
          <w:tcPr>
            <w:tcMar>
              <w:top w:type="dxa" w:w="100"/>
              <w:left w:type="dxa" w:w="100"/>
              <w:bottom w:type="dxa" w:w="100"/>
              <w:right w:type="dxa" w:w="100"/>
            </w:tcMar>
            <w:vAlign w:val="center"/>
          </w:tcPr>
          <w:p>
            <w:r>
              <w:rPr>
                <w:b/>
                <w:bCs/>
                <w:sz w:val="20"/>
                <w:szCs w:val="20"/>
              </w:rPr>
              <w:t xml:space="preserve">FR-1</w:t>
            </w:r>
          </w:p>
        </w:tc>
        <w:tc>
          <w:tcPr>
            <w:tcMar>
              <w:top w:type="dxa" w:w="100"/>
              <w:left w:type="dxa" w:w="100"/>
              <w:bottom w:type="dxa" w:w="100"/>
              <w:right w:type="dxa" w:w="100"/>
            </w:tcMar>
            <w:vAlign w:val="center"/>
          </w:tcPr>
          <w:p>
            <w:r>
              <w:rPr>
                <w:b w:val="false"/>
                <w:bCs w:val="false"/>
                <w:sz w:val="20"/>
                <w:szCs w:val="20"/>
              </w:rPr>
              <w:t xml:space="preserve">The system shall support three information states per deliverable - Work in Progress, Shared, Published - with full version history and an audit trail of who submitted, reviewed and approved each change.</w:t>
            </w:r>
          </w:p>
        </w:tc>
        <w:tc>
          <w:tcPr>
            <w:shd w:fill="FCE4E4" w:val="clear"/>
            <w:tcMar>
              <w:top w:type="dxa" w:w="100"/>
              <w:left w:type="dxa" w:w="100"/>
              <w:bottom w:type="dxa" w:w="100"/>
              <w:right w:type="dxa" w:w="100"/>
            </w:tcMar>
            <w:vAlign w:val="center"/>
          </w:tcPr>
          <w:p>
            <w:r>
              <w:rPr>
                <w:b/>
                <w:bCs/>
                <w:sz w:val="20"/>
                <w:szCs w:val="20"/>
              </w:rPr>
              <w:t xml:space="preserve">P0</w:t>
            </w:r>
          </w:p>
        </w:tc>
        <w:tc>
          <w:tcPr>
            <w:tcMar>
              <w:top w:type="dxa" w:w="100"/>
              <w:left w:type="dxa" w:w="100"/>
              <w:bottom w:type="dxa" w:w="100"/>
              <w:right w:type="dxa" w:w="100"/>
            </w:tcMar>
            <w:vAlign w:val="center"/>
          </w:tcPr>
          <w:p>
            <w:r>
              <w:rPr>
                <w:b w:val="false"/>
                <w:bCs w:val="false"/>
                <w:sz w:val="20"/>
                <w:szCs w:val="20"/>
              </w:rPr>
              <w:t xml:space="preserve">ISO 19650; TOR Section 7</w:t>
            </w:r>
          </w:p>
        </w:tc>
      </w:tr>
      <w:tr>
        <w:tc>
          <w:tcPr>
            <w:tcMar>
              <w:top w:type="dxa" w:w="100"/>
              <w:left w:type="dxa" w:w="100"/>
              <w:bottom w:type="dxa" w:w="100"/>
              <w:right w:type="dxa" w:w="100"/>
            </w:tcMar>
            <w:vAlign w:val="center"/>
          </w:tcPr>
          <w:p>
            <w:r>
              <w:rPr>
                <w:b/>
                <w:bCs/>
                <w:sz w:val="20"/>
                <w:szCs w:val="20"/>
              </w:rPr>
              <w:t xml:space="preserve">FR-2</w:t>
            </w:r>
          </w:p>
        </w:tc>
        <w:tc>
          <w:tcPr>
            <w:tcMar>
              <w:top w:type="dxa" w:w="100"/>
              <w:left w:type="dxa" w:w="100"/>
              <w:bottom w:type="dxa" w:w="100"/>
              <w:right w:type="dxa" w:w="100"/>
            </w:tcMar>
            <w:vAlign w:val="center"/>
          </w:tcPr>
          <w:p>
            <w:r>
              <w:rPr>
                <w:b w:val="false"/>
                <w:bCs w:val="false"/>
                <w:sz w:val="20"/>
                <w:szCs w:val="20"/>
              </w:rPr>
              <w:t xml:space="preserve">The system shall enforce role-based access control matching the persona table above, configurable per project.</w:t>
            </w:r>
          </w:p>
        </w:tc>
        <w:tc>
          <w:tcPr>
            <w:shd w:fill="FCE4E4" w:val="clear"/>
            <w:tcMar>
              <w:top w:type="dxa" w:w="100"/>
              <w:left w:type="dxa" w:w="100"/>
              <w:bottom w:type="dxa" w:w="100"/>
              <w:right w:type="dxa" w:w="100"/>
            </w:tcMar>
            <w:vAlign w:val="center"/>
          </w:tcPr>
          <w:p>
            <w:r>
              <w:rPr>
                <w:b/>
                <w:bCs/>
                <w:sz w:val="20"/>
                <w:szCs w:val="20"/>
              </w:rPr>
              <w:t xml:space="preserve">P0</w:t>
            </w:r>
          </w:p>
        </w:tc>
        <w:tc>
          <w:tcPr>
            <w:tcMar>
              <w:top w:type="dxa" w:w="100"/>
              <w:left w:type="dxa" w:w="100"/>
              <w:bottom w:type="dxa" w:w="100"/>
              <w:right w:type="dxa" w:w="100"/>
            </w:tcMar>
            <w:vAlign w:val="center"/>
          </w:tcPr>
          <w:p>
            <w:r>
              <w:rPr>
                <w:b w:val="false"/>
                <w:bCs w:val="false"/>
                <w:sz w:val="20"/>
                <w:szCs w:val="20"/>
              </w:rPr>
              <w:t xml:space="preserve">TOR Section 9</w:t>
            </w:r>
          </w:p>
        </w:tc>
      </w:tr>
      <w:tr>
        <w:tc>
          <w:tcPr>
            <w:tcMar>
              <w:top w:type="dxa" w:w="100"/>
              <w:left w:type="dxa" w:w="100"/>
              <w:bottom w:type="dxa" w:w="100"/>
              <w:right w:type="dxa" w:w="100"/>
            </w:tcMar>
            <w:vAlign w:val="center"/>
          </w:tcPr>
          <w:p>
            <w:r>
              <w:rPr>
                <w:b/>
                <w:bCs/>
                <w:sz w:val="20"/>
                <w:szCs w:val="20"/>
              </w:rPr>
              <w:t xml:space="preserve">FR-3</w:t>
            </w:r>
          </w:p>
        </w:tc>
        <w:tc>
          <w:tcPr>
            <w:tcMar>
              <w:top w:type="dxa" w:w="100"/>
              <w:left w:type="dxa" w:w="100"/>
              <w:bottom w:type="dxa" w:w="100"/>
              <w:right w:type="dxa" w:w="100"/>
            </w:tcMar>
            <w:vAlign w:val="center"/>
          </w:tcPr>
          <w:p>
            <w:r>
              <w:rPr>
                <w:b w:val="false"/>
                <w:bCs w:val="false"/>
                <w:sz w:val="20"/>
                <w:szCs w:val="20"/>
              </w:rPr>
              <w:t xml:space="preserve">The system shall host a benchmark library of capex figures, cost assumptions and prior project data, each entry tagged with source project, date and region.</w:t>
            </w:r>
          </w:p>
        </w:tc>
        <w:tc>
          <w:tcPr>
            <w:shd w:fill="FCE4E4" w:val="clear"/>
            <w:tcMar>
              <w:top w:type="dxa" w:w="100"/>
              <w:left w:type="dxa" w:w="100"/>
              <w:bottom w:type="dxa" w:w="100"/>
              <w:right w:type="dxa" w:w="100"/>
            </w:tcMar>
            <w:vAlign w:val="center"/>
          </w:tcPr>
          <w:p>
            <w:r>
              <w:rPr>
                <w:b/>
                <w:bCs/>
                <w:sz w:val="20"/>
                <w:szCs w:val="20"/>
              </w:rPr>
              <w:t xml:space="preserve">P0</w:t>
            </w:r>
          </w:p>
        </w:tc>
        <w:tc>
          <w:tcPr>
            <w:tcMar>
              <w:top w:type="dxa" w:w="100"/>
              <w:left w:type="dxa" w:w="100"/>
              <w:bottom w:type="dxa" w:w="100"/>
              <w:right w:type="dxa" w:w="100"/>
            </w:tcMar>
            <w:vAlign w:val="center"/>
          </w:tcPr>
          <w:p>
            <w:r>
              <w:rPr>
                <w:b w:val="false"/>
                <w:bCs w:val="false"/>
                <w:sz w:val="20"/>
                <w:szCs w:val="20"/>
              </w:rPr>
              <w:t xml:space="preserve">New - AfCEN's proprietary layer</w:t>
            </w:r>
          </w:p>
        </w:tc>
      </w:tr>
      <w:tr>
        <w:tc>
          <w:tcPr>
            <w:tcMar>
              <w:top w:type="dxa" w:w="100"/>
              <w:left w:type="dxa" w:w="100"/>
              <w:bottom w:type="dxa" w:w="100"/>
              <w:right w:type="dxa" w:w="100"/>
            </w:tcMar>
            <w:vAlign w:val="center"/>
          </w:tcPr>
          <w:p>
            <w:r>
              <w:rPr>
                <w:b/>
                <w:bCs/>
                <w:sz w:val="20"/>
                <w:szCs w:val="20"/>
              </w:rPr>
              <w:t xml:space="preserve">FR-4</w:t>
            </w:r>
          </w:p>
        </w:tc>
        <w:tc>
          <w:tcPr>
            <w:tcMar>
              <w:top w:type="dxa" w:w="100"/>
              <w:left w:type="dxa" w:w="100"/>
              <w:bottom w:type="dxa" w:w="100"/>
              <w:right w:type="dxa" w:w="100"/>
            </w:tcMar>
            <w:vAlign w:val="center"/>
          </w:tcPr>
          <w:p>
            <w:r>
              <w:rPr>
                <w:b w:val="false"/>
                <w:bCs w:val="false"/>
                <w:sz w:val="20"/>
                <w:szCs w:val="20"/>
              </w:rPr>
              <w:t xml:space="preserve">On submission to Shared, the system shall check the consultant's figures against the benchmark library and flag entries that deviate beyond a configurable threshold, with the reference source shown alongside each flag.</w:t>
            </w:r>
          </w:p>
        </w:tc>
        <w:tc>
          <w:tcPr>
            <w:shd w:fill="FCE4E4" w:val="clear"/>
            <w:tcMar>
              <w:top w:type="dxa" w:w="100"/>
              <w:left w:type="dxa" w:w="100"/>
              <w:bottom w:type="dxa" w:w="100"/>
              <w:right w:type="dxa" w:w="100"/>
            </w:tcMar>
            <w:vAlign w:val="center"/>
          </w:tcPr>
          <w:p>
            <w:r>
              <w:rPr>
                <w:b/>
                <w:bCs/>
                <w:sz w:val="20"/>
                <w:szCs w:val="20"/>
              </w:rPr>
              <w:t xml:space="preserve">P0</w:t>
            </w:r>
          </w:p>
        </w:tc>
        <w:tc>
          <w:tcPr>
            <w:tcMar>
              <w:top w:type="dxa" w:w="100"/>
              <w:left w:type="dxa" w:w="100"/>
              <w:bottom w:type="dxa" w:w="100"/>
              <w:right w:type="dxa" w:w="100"/>
            </w:tcMar>
            <w:vAlign w:val="center"/>
          </w:tcPr>
          <w:p>
            <w:r>
              <w:rPr>
                <w:b w:val="false"/>
                <w:bCs w:val="false"/>
                <w:sz w:val="20"/>
                <w:szCs w:val="20"/>
              </w:rPr>
              <w:t xml:space="preserve">TOR Section 8.3</w:t>
            </w:r>
          </w:p>
        </w:tc>
      </w:tr>
      <w:tr>
        <w:tc>
          <w:tcPr>
            <w:tcMar>
              <w:top w:type="dxa" w:w="100"/>
              <w:left w:type="dxa" w:w="100"/>
              <w:bottom w:type="dxa" w:w="100"/>
              <w:right w:type="dxa" w:w="100"/>
            </w:tcMar>
            <w:vAlign w:val="center"/>
          </w:tcPr>
          <w:p>
            <w:r>
              <w:rPr>
                <w:b/>
                <w:bCs/>
                <w:sz w:val="20"/>
                <w:szCs w:val="20"/>
              </w:rPr>
              <w:t xml:space="preserve">FR-5</w:t>
            </w:r>
          </w:p>
        </w:tc>
        <w:tc>
          <w:tcPr>
            <w:tcMar>
              <w:top w:type="dxa" w:w="100"/>
              <w:left w:type="dxa" w:w="100"/>
              <w:bottom w:type="dxa" w:w="100"/>
              <w:right w:type="dxa" w:w="100"/>
            </w:tcMar>
            <w:vAlign w:val="center"/>
          </w:tcPr>
          <w:p>
            <w:r>
              <w:rPr>
                <w:b w:val="false"/>
                <w:bCs w:val="false"/>
                <w:sz w:val="20"/>
                <w:szCs w:val="20"/>
              </w:rPr>
              <w:t xml:space="preserve">The system shall never auto-correct or overwrite a consultant's submitted figures. Flags are advisory only and must be resolved by the PM team reviewing the consultant's response.</w:t>
            </w:r>
          </w:p>
        </w:tc>
        <w:tc>
          <w:tcPr>
            <w:shd w:fill="FCE4E4" w:val="clear"/>
            <w:tcMar>
              <w:top w:type="dxa" w:w="100"/>
              <w:left w:type="dxa" w:w="100"/>
              <w:bottom w:type="dxa" w:w="100"/>
              <w:right w:type="dxa" w:w="100"/>
            </w:tcMar>
            <w:vAlign w:val="center"/>
          </w:tcPr>
          <w:p>
            <w:r>
              <w:rPr>
                <w:b/>
                <w:bCs/>
                <w:sz w:val="20"/>
                <w:szCs w:val="20"/>
              </w:rPr>
              <w:t xml:space="preserve">P0</w:t>
            </w:r>
          </w:p>
        </w:tc>
        <w:tc>
          <w:tcPr>
            <w:tcMar>
              <w:top w:type="dxa" w:w="100"/>
              <w:left w:type="dxa" w:w="100"/>
              <w:bottom w:type="dxa" w:w="100"/>
              <w:right w:type="dxa" w:w="100"/>
            </w:tcMar>
            <w:vAlign w:val="center"/>
          </w:tcPr>
          <w:p>
            <w:r>
              <w:rPr>
                <w:b w:val="false"/>
                <w:bCs w:val="false"/>
                <w:sz w:val="20"/>
                <w:szCs w:val="20"/>
              </w:rPr>
              <w:t xml:space="preserve">Core boundary - see Section 6</w:t>
            </w:r>
          </w:p>
        </w:tc>
      </w:tr>
      <w:tr>
        <w:tc>
          <w:tcPr>
            <w:tcMar>
              <w:top w:type="dxa" w:w="100"/>
              <w:left w:type="dxa" w:w="100"/>
              <w:bottom w:type="dxa" w:w="100"/>
              <w:right w:type="dxa" w:w="100"/>
            </w:tcMar>
            <w:vAlign w:val="center"/>
          </w:tcPr>
          <w:p>
            <w:r>
              <w:rPr>
                <w:b/>
                <w:bCs/>
                <w:sz w:val="20"/>
                <w:szCs w:val="20"/>
              </w:rPr>
              <w:t xml:space="preserve">FR-6</w:t>
            </w:r>
          </w:p>
        </w:tc>
        <w:tc>
          <w:tcPr>
            <w:tcMar>
              <w:top w:type="dxa" w:w="100"/>
              <w:left w:type="dxa" w:w="100"/>
              <w:bottom w:type="dxa" w:w="100"/>
              <w:right w:type="dxa" w:w="100"/>
            </w:tcMar>
            <w:vAlign w:val="center"/>
          </w:tcPr>
          <w:p>
            <w:r>
              <w:rPr>
                <w:b w:val="false"/>
                <w:bCs w:val="false"/>
                <w:sz w:val="20"/>
                <w:szCs w:val="20"/>
              </w:rPr>
              <w:t xml:space="preserve">The system shall provide a dashboard for the PM team showing open flags, upcoming decision-gate dates, and turnaround time on the most recent submission.</w:t>
            </w:r>
          </w:p>
        </w:tc>
        <w:tc>
          <w:tcPr>
            <w:shd w:fill="FCE4E4" w:val="clear"/>
            <w:tcMar>
              <w:top w:type="dxa" w:w="100"/>
              <w:left w:type="dxa" w:w="100"/>
              <w:bottom w:type="dxa" w:w="100"/>
              <w:right w:type="dxa" w:w="100"/>
            </w:tcMar>
            <w:vAlign w:val="center"/>
          </w:tcPr>
          <w:p>
            <w:r>
              <w:rPr>
                <w:b/>
                <w:bCs/>
                <w:sz w:val="20"/>
                <w:szCs w:val="20"/>
              </w:rPr>
              <w:t xml:space="preserve">P0</w:t>
            </w:r>
          </w:p>
        </w:tc>
        <w:tc>
          <w:tcPr>
            <w:tcMar>
              <w:top w:type="dxa" w:w="100"/>
              <w:left w:type="dxa" w:w="100"/>
              <w:bottom w:type="dxa" w:w="100"/>
              <w:right w:type="dxa" w:w="100"/>
            </w:tcMar>
            <w:vAlign w:val="center"/>
          </w:tcPr>
          <w:p>
            <w:r>
              <w:rPr>
                <w:b w:val="false"/>
                <w:bCs w:val="false"/>
                <w:sz w:val="20"/>
                <w:szCs w:val="20"/>
              </w:rPr>
              <w:t xml:space="preserve">TOR Section 9 reporting</w:t>
            </w:r>
          </w:p>
        </w:tc>
      </w:tr>
      <w:tr>
        <w:tc>
          <w:tcPr>
            <w:tcMar>
              <w:top w:type="dxa" w:w="100"/>
              <w:left w:type="dxa" w:w="100"/>
              <w:bottom w:type="dxa" w:w="100"/>
              <w:right w:type="dxa" w:w="100"/>
            </w:tcMar>
            <w:vAlign w:val="center"/>
          </w:tcPr>
          <w:p>
            <w:r>
              <w:rPr>
                <w:b/>
                <w:bCs/>
                <w:sz w:val="20"/>
                <w:szCs w:val="20"/>
              </w:rPr>
              <w:t xml:space="preserve">FR-7</w:t>
            </w:r>
          </w:p>
        </w:tc>
        <w:tc>
          <w:tcPr>
            <w:tcMar>
              <w:top w:type="dxa" w:w="100"/>
              <w:left w:type="dxa" w:w="100"/>
              <w:bottom w:type="dxa" w:w="100"/>
              <w:right w:type="dxa" w:w="100"/>
            </w:tcMar>
            <w:vAlign w:val="center"/>
          </w:tcPr>
          <w:p>
            <w:r>
              <w:rPr>
                <w:b w:val="false"/>
                <w:bCs w:val="false"/>
                <w:sz w:val="20"/>
                <w:szCs w:val="20"/>
              </w:rPr>
              <w:t xml:space="preserve">The system shall track deliverables D1-D11 against the TOR's indicative timing and flag any deliverable at risk of missing its date.</w:t>
            </w:r>
          </w:p>
        </w:tc>
        <w:tc>
          <w:tcPr>
            <w:shd w:fill="FFF3CD" w:val="clear"/>
            <w:tcMar>
              <w:top w:type="dxa" w:w="100"/>
              <w:left w:type="dxa" w:w="100"/>
              <w:bottom w:type="dxa" w:w="100"/>
              <w:right w:type="dxa" w:w="100"/>
            </w:tcMar>
            <w:vAlign w:val="center"/>
          </w:tcPr>
          <w:p>
            <w:r>
              <w:rPr>
                <w:b/>
                <w:bCs/>
                <w:sz w:val="20"/>
                <w:szCs w:val="20"/>
              </w:rPr>
              <w:t xml:space="preserve">P1</w:t>
            </w:r>
          </w:p>
        </w:tc>
        <w:tc>
          <w:tcPr>
            <w:tcMar>
              <w:top w:type="dxa" w:w="100"/>
              <w:left w:type="dxa" w:w="100"/>
              <w:bottom w:type="dxa" w:w="100"/>
              <w:right w:type="dxa" w:w="100"/>
            </w:tcMar>
            <w:vAlign w:val="center"/>
          </w:tcPr>
          <w:p>
            <w:r>
              <w:rPr>
                <w:b w:val="false"/>
                <w:bCs w:val="false"/>
                <w:sz w:val="20"/>
                <w:szCs w:val="20"/>
              </w:rPr>
              <w:t xml:space="preserve">TOR Section 8.1</w:t>
            </w:r>
          </w:p>
        </w:tc>
      </w:tr>
      <w:tr>
        <w:tc>
          <w:tcPr>
            <w:tcMar>
              <w:top w:type="dxa" w:w="100"/>
              <w:left w:type="dxa" w:w="100"/>
              <w:bottom w:type="dxa" w:w="100"/>
              <w:right w:type="dxa" w:w="100"/>
            </w:tcMar>
            <w:vAlign w:val="center"/>
          </w:tcPr>
          <w:p>
            <w:r>
              <w:rPr>
                <w:b/>
                <w:bCs/>
                <w:sz w:val="20"/>
                <w:szCs w:val="20"/>
              </w:rPr>
              <w:t xml:space="preserve">FR-8</w:t>
            </w:r>
          </w:p>
        </w:tc>
        <w:tc>
          <w:tcPr>
            <w:tcMar>
              <w:top w:type="dxa" w:w="100"/>
              <w:left w:type="dxa" w:w="100"/>
              <w:bottom w:type="dxa" w:w="100"/>
              <w:right w:type="dxa" w:w="100"/>
            </w:tcMar>
            <w:vAlign w:val="center"/>
          </w:tcPr>
          <w:p>
            <w:r>
              <w:rPr>
                <w:b w:val="false"/>
                <w:bCs w:val="false"/>
                <w:sz w:val="20"/>
                <w:szCs w:val="20"/>
              </w:rPr>
              <w:t xml:space="preserve">The system shall generate a one-click export of all Published-state material into a structured package suitable for the lender data room and EPC tender documentation.</w:t>
            </w:r>
          </w:p>
        </w:tc>
        <w:tc>
          <w:tcPr>
            <w:shd w:fill="FFF3CD" w:val="clear"/>
            <w:tcMar>
              <w:top w:type="dxa" w:w="100"/>
              <w:left w:type="dxa" w:w="100"/>
              <w:bottom w:type="dxa" w:w="100"/>
              <w:right w:type="dxa" w:w="100"/>
            </w:tcMar>
            <w:vAlign w:val="center"/>
          </w:tcPr>
          <w:p>
            <w:r>
              <w:rPr>
                <w:b/>
                <w:bCs/>
                <w:sz w:val="20"/>
                <w:szCs w:val="20"/>
              </w:rPr>
              <w:t xml:space="preserve">P1</w:t>
            </w:r>
          </w:p>
        </w:tc>
        <w:tc>
          <w:tcPr>
            <w:tcMar>
              <w:top w:type="dxa" w:w="100"/>
              <w:left w:type="dxa" w:w="100"/>
              <w:bottom w:type="dxa" w:w="100"/>
              <w:right w:type="dxa" w:w="100"/>
            </w:tcMar>
            <w:vAlign w:val="center"/>
          </w:tcPr>
          <w:p>
            <w:r>
              <w:rPr>
                <w:b w:val="false"/>
                <w:bCs w:val="false"/>
                <w:sz w:val="20"/>
                <w:szCs w:val="20"/>
              </w:rPr>
              <w:t xml:space="preserve">TOR Section 7.2, Phase 7</w:t>
            </w:r>
          </w:p>
        </w:tc>
      </w:tr>
      <w:tr>
        <w:tc>
          <w:tcPr>
            <w:tcMar>
              <w:top w:type="dxa" w:w="100"/>
              <w:left w:type="dxa" w:w="100"/>
              <w:bottom w:type="dxa" w:w="100"/>
              <w:right w:type="dxa" w:w="100"/>
            </w:tcMar>
            <w:vAlign w:val="center"/>
          </w:tcPr>
          <w:p>
            <w:r>
              <w:rPr>
                <w:b/>
                <w:bCs/>
                <w:sz w:val="20"/>
                <w:szCs w:val="20"/>
              </w:rPr>
              <w:t xml:space="preserve">FR-9</w:t>
            </w:r>
          </w:p>
        </w:tc>
        <w:tc>
          <w:tcPr>
            <w:tcMar>
              <w:top w:type="dxa" w:w="100"/>
              <w:left w:type="dxa" w:w="100"/>
              <w:bottom w:type="dxa" w:w="100"/>
              <w:right w:type="dxa" w:w="100"/>
            </w:tcMar>
            <w:vAlign w:val="center"/>
          </w:tcPr>
          <w:p>
            <w:r>
              <w:rPr>
                <w:b w:val="false"/>
                <w:bCs w:val="false"/>
                <w:sz w:val="20"/>
                <w:szCs w:val="20"/>
              </w:rPr>
              <w:t xml:space="preserve">The system shall accept and preview GIS (Shapefile/GeoPackage), CAD (DWG/DXF), power system model (PowerFactory/PSS/E), PLS-CADD and spreadsheet file formats without requiring conversion.</w:t>
            </w:r>
          </w:p>
        </w:tc>
        <w:tc>
          <w:tcPr>
            <w:shd w:fill="FFF3CD" w:val="clear"/>
            <w:tcMar>
              <w:top w:type="dxa" w:w="100"/>
              <w:left w:type="dxa" w:w="100"/>
              <w:bottom w:type="dxa" w:w="100"/>
              <w:right w:type="dxa" w:w="100"/>
            </w:tcMar>
            <w:vAlign w:val="center"/>
          </w:tcPr>
          <w:p>
            <w:r>
              <w:rPr>
                <w:b/>
                <w:bCs/>
                <w:sz w:val="20"/>
                <w:szCs w:val="20"/>
              </w:rPr>
              <w:t xml:space="preserve">P1</w:t>
            </w:r>
          </w:p>
        </w:tc>
        <w:tc>
          <w:tcPr>
            <w:tcMar>
              <w:top w:type="dxa" w:w="100"/>
              <w:left w:type="dxa" w:w="100"/>
              <w:bottom w:type="dxa" w:w="100"/>
              <w:right w:type="dxa" w:w="100"/>
            </w:tcMar>
            <w:vAlign w:val="center"/>
          </w:tcPr>
          <w:p>
            <w:r>
              <w:rPr>
                <w:b w:val="false"/>
                <w:bCs w:val="false"/>
                <w:sz w:val="20"/>
                <w:szCs w:val="20"/>
              </w:rPr>
              <w:t xml:space="preserve">TOR Table 4</w:t>
            </w:r>
          </w:p>
        </w:tc>
      </w:tr>
      <w:tr>
        <w:tc>
          <w:tcPr>
            <w:tcMar>
              <w:top w:type="dxa" w:w="100"/>
              <w:left w:type="dxa" w:w="100"/>
              <w:bottom w:type="dxa" w:w="100"/>
              <w:right w:type="dxa" w:w="100"/>
            </w:tcMar>
            <w:vAlign w:val="center"/>
          </w:tcPr>
          <w:p>
            <w:r>
              <w:rPr>
                <w:b/>
                <w:bCs/>
                <w:sz w:val="20"/>
                <w:szCs w:val="20"/>
              </w:rPr>
              <w:t xml:space="preserve">FR-10</w:t>
            </w:r>
          </w:p>
        </w:tc>
        <w:tc>
          <w:tcPr>
            <w:tcMar>
              <w:top w:type="dxa" w:w="100"/>
              <w:left w:type="dxa" w:w="100"/>
              <w:bottom w:type="dxa" w:w="100"/>
              <w:right w:type="dxa" w:w="100"/>
            </w:tcMar>
            <w:vAlign w:val="center"/>
          </w:tcPr>
          <w:p>
            <w:r>
              <w:rPr>
                <w:b w:val="false"/>
                <w:bCs w:val="false"/>
                <w:sz w:val="20"/>
                <w:szCs w:val="20"/>
              </w:rPr>
              <w:t xml:space="preserve">The system shall provide connection points for third-party specialist validation tools (hydrology, wind resource, power system studies) so their outputs are captured in the same review and benchmark layer.</w:t>
            </w:r>
          </w:p>
        </w:tc>
        <w:tc>
          <w:tcPr>
            <w:shd w:fill="FFF3CD" w:val="clear"/>
            <w:tcMar>
              <w:top w:type="dxa" w:w="100"/>
              <w:left w:type="dxa" w:w="100"/>
              <w:bottom w:type="dxa" w:w="100"/>
              <w:right w:type="dxa" w:w="100"/>
            </w:tcMar>
            <w:vAlign w:val="center"/>
          </w:tcPr>
          <w:p>
            <w:r>
              <w:rPr>
                <w:b/>
                <w:bCs/>
                <w:sz w:val="20"/>
                <w:szCs w:val="20"/>
              </w:rPr>
              <w:t xml:space="preserve">P1</w:t>
            </w:r>
          </w:p>
        </w:tc>
        <w:tc>
          <w:tcPr>
            <w:tcMar>
              <w:top w:type="dxa" w:w="100"/>
              <w:left w:type="dxa" w:w="100"/>
              <w:bottom w:type="dxa" w:w="100"/>
              <w:right w:type="dxa" w:w="100"/>
            </w:tcMar>
            <w:vAlign w:val="center"/>
          </w:tcPr>
          <w:p>
            <w:r>
              <w:rPr>
                <w:b w:val="false"/>
                <w:bCs w:val="false"/>
                <w:sz w:val="20"/>
                <w:szCs w:val="20"/>
              </w:rPr>
              <w:t xml:space="preserve">TOR Section 4 bankability requirements</w:t>
            </w:r>
          </w:p>
        </w:tc>
      </w:tr>
      <w:tr>
        <w:tc>
          <w:tcPr>
            <w:tcMar>
              <w:top w:type="dxa" w:w="100"/>
              <w:left w:type="dxa" w:w="100"/>
              <w:bottom w:type="dxa" w:w="100"/>
              <w:right w:type="dxa" w:w="100"/>
            </w:tcMar>
            <w:vAlign w:val="center"/>
          </w:tcPr>
          <w:p>
            <w:r>
              <w:rPr>
                <w:b/>
                <w:bCs/>
                <w:sz w:val="20"/>
                <w:szCs w:val="20"/>
              </w:rPr>
              <w:t xml:space="preserve">FR-11</w:t>
            </w:r>
          </w:p>
        </w:tc>
        <w:tc>
          <w:tcPr>
            <w:tcMar>
              <w:top w:type="dxa" w:w="100"/>
              <w:left w:type="dxa" w:w="100"/>
              <w:bottom w:type="dxa" w:w="100"/>
              <w:right w:type="dxa" w:w="100"/>
            </w:tcMar>
            <w:vAlign w:val="center"/>
          </w:tcPr>
          <w:p>
            <w:r>
              <w:rPr>
                <w:b w:val="false"/>
                <w:bCs w:val="false"/>
                <w:sz w:val="20"/>
                <w:szCs w:val="20"/>
              </w:rPr>
              <w:t xml:space="preserve">Once a deliverable reaches Published status, its key figures shall be added to the benchmark library automatically, improving the reference set available for the next review or project.</w:t>
            </w:r>
          </w:p>
        </w:tc>
        <w:tc>
          <w:tcPr>
            <w:shd w:fill="E2EFDA" w:val="clear"/>
            <w:tcMar>
              <w:top w:type="dxa" w:w="100"/>
              <w:left w:type="dxa" w:w="100"/>
              <w:bottom w:type="dxa" w:w="100"/>
              <w:right w:type="dxa" w:w="100"/>
            </w:tcMar>
            <w:vAlign w:val="center"/>
          </w:tcPr>
          <w:p>
            <w:r>
              <w:rPr>
                <w:b/>
                <w:bCs/>
                <w:sz w:val="20"/>
                <w:szCs w:val="20"/>
              </w:rPr>
              <w:t xml:space="preserve">P2</w:t>
            </w:r>
          </w:p>
        </w:tc>
        <w:tc>
          <w:tcPr>
            <w:tcMar>
              <w:top w:type="dxa" w:w="100"/>
              <w:left w:type="dxa" w:w="100"/>
              <w:bottom w:type="dxa" w:w="100"/>
              <w:right w:type="dxa" w:w="100"/>
            </w:tcMar>
            <w:vAlign w:val="center"/>
          </w:tcPr>
          <w:p>
            <w:r>
              <w:rPr>
                <w:b w:val="false"/>
                <w:bCs w:val="false"/>
                <w:sz w:val="20"/>
                <w:szCs w:val="20"/>
              </w:rPr>
              <w:t xml:space="preserve">Internal only - excluded from any bidder-facing description</w:t>
            </w:r>
          </w:p>
        </w:tc>
      </w:tr>
      <w:tr>
        <w:tc>
          <w:tcPr>
            <w:tcMar>
              <w:top w:type="dxa" w:w="100"/>
              <w:left w:type="dxa" w:w="100"/>
              <w:bottom w:type="dxa" w:w="100"/>
              <w:right w:type="dxa" w:w="100"/>
            </w:tcMar>
            <w:vAlign w:val="center"/>
          </w:tcPr>
          <w:p>
            <w:r>
              <w:rPr>
                <w:b/>
                <w:bCs/>
                <w:sz w:val="20"/>
                <w:szCs w:val="20"/>
              </w:rPr>
              <w:t xml:space="preserve">FR-12</w:t>
            </w:r>
          </w:p>
        </w:tc>
        <w:tc>
          <w:tcPr>
            <w:tcMar>
              <w:top w:type="dxa" w:w="100"/>
              <w:left w:type="dxa" w:w="100"/>
              <w:bottom w:type="dxa" w:w="100"/>
              <w:right w:type="dxa" w:w="100"/>
            </w:tcMar>
            <w:vAlign w:val="center"/>
          </w:tcPr>
          <w:p>
            <w:r>
              <w:rPr>
                <w:b w:val="false"/>
                <w:bCs w:val="false"/>
                <w:sz w:val="20"/>
                <w:szCs w:val="20"/>
              </w:rPr>
              <w:t xml:space="preserve">The system architecture shall support provisioning a second, independent project instance without modifying the core codebase, to support reuse on future IPT projects.</w:t>
            </w:r>
          </w:p>
        </w:tc>
        <w:tc>
          <w:tcPr>
            <w:shd w:fill="E2EFDA" w:val="clear"/>
            <w:tcMar>
              <w:top w:type="dxa" w:w="100"/>
              <w:left w:type="dxa" w:w="100"/>
              <w:bottom w:type="dxa" w:w="100"/>
              <w:right w:type="dxa" w:w="100"/>
            </w:tcMar>
            <w:vAlign w:val="center"/>
          </w:tcPr>
          <w:p>
            <w:r>
              <w:rPr>
                <w:b/>
                <w:bCs/>
                <w:sz w:val="20"/>
                <w:szCs w:val="20"/>
              </w:rPr>
              <w:t xml:space="preserve">P2</w:t>
            </w:r>
          </w:p>
        </w:tc>
        <w:tc>
          <w:tcPr>
            <w:tcMar>
              <w:top w:type="dxa" w:w="100"/>
              <w:left w:type="dxa" w:w="100"/>
              <w:bottom w:type="dxa" w:w="100"/>
              <w:right w:type="dxa" w:w="100"/>
            </w:tcMar>
            <w:vAlign w:val="center"/>
          </w:tcPr>
          <w:p>
            <w:r>
              <w:rPr>
                <w:b w:val="false"/>
                <w:bCs w:val="false"/>
                <w:sz w:val="20"/>
                <w:szCs w:val="20"/>
              </w:rPr>
              <w:t xml:space="preserve">Replicability goal from the call</w:t>
            </w:r>
          </w:p>
        </w:tc>
      </w:tr>
    </w:tbl>
    <w:p>
      <w:pPr>
        <w:pStyle w:val="Heading2"/>
        <w:spacing w:after="100" w:before="280"/>
      </w:pPr>
      <w:r>
        <w:rPr>
          <w:b/>
          <w:bCs/>
        </w:rPr>
        <w:t xml:space="preserve">6. Non-functional requirements</w:t>
      </w:r>
    </w:p>
    <w:p>
      <w:pPr>
        <w:pStyle w:val="Heading3"/>
        <w:spacing w:after="60" w:before="180"/>
      </w:pPr>
      <w:r>
        <w:rPr>
          <w:b/>
          <w:bCs/>
        </w:rPr>
        <w:t xml:space="preserve">6.1 Security and confidentiality</w:t>
      </w:r>
    </w:p>
    <w:p>
      <w:pPr>
        <w:pStyle w:val="ListParagraph"/>
        <w:numPr>
          <w:ilvl w:val="0"/>
          <w:numId w:val="1"/>
        </w:numPr>
        <w:spacing w:after="80"/>
      </w:pPr>
      <w:r>
        <w:rPr>
          <w:sz w:val="22"/>
          <w:szCs w:val="22"/>
        </w:rPr>
        <w:t xml:space="preserve">Role-based access control, encryption in transit and at rest, and a full audit log of who accessed or changed what, and when.</w:t>
      </w:r>
    </w:p>
    <w:p>
      <w:pPr>
        <w:pStyle w:val="ListParagraph"/>
        <w:numPr>
          <w:ilvl w:val="0"/>
          <w:numId w:val="1"/>
        </w:numPr>
        <w:spacing w:after="80"/>
      </w:pPr>
      <w:r>
        <w:rPr>
          <w:sz w:val="22"/>
          <w:szCs w:val="22"/>
        </w:rPr>
        <w:t xml:space="preserve">Confidentiality obligations consistent with TOR Section 14 - project data stays within the platform's access controls, no export without authorisation.</w:t>
      </w:r>
    </w:p>
    <w:p>
      <w:pPr>
        <w:pStyle w:val="Heading3"/>
        <w:spacing w:after="60" w:before="180"/>
      </w:pPr>
      <w:r>
        <w:rPr>
          <w:b/>
          <w:bCs/>
        </w:rPr>
        <w:t xml:space="preserve">6.2 Data ownership</w:t>
      </w:r>
    </w:p>
    <w:p>
      <w:pPr>
        <w:pStyle w:val="ListParagraph"/>
        <w:numPr>
          <w:ilvl w:val="0"/>
          <w:numId w:val="1"/>
        </w:numPr>
        <w:spacing w:after="80"/>
      </w:pPr>
      <w:r>
        <w:rPr>
          <w:sz w:val="22"/>
          <w:szCs w:val="22"/>
        </w:rPr>
        <w:t xml:space="preserve">Underlying project data (reports, drawings, models, GIS files, cost estimates) remains the Developer's property, per TOR Section 14.</w:t>
      </w:r>
    </w:p>
    <w:p>
      <w:pPr>
        <w:pStyle w:val="ListParagraph"/>
        <w:numPr>
          <w:ilvl w:val="0"/>
          <w:numId w:val="1"/>
        </w:numPr>
        <w:spacing w:after="80"/>
      </w:pPr>
      <w:r>
        <w:rPr>
          <w:sz w:val="22"/>
          <w:szCs w:val="22"/>
        </w:rPr>
        <w:t xml:space="preserve">The platform itself and the benchmark library are AfCEN's own asset, built up across projects. This split needs to be written down clearly before launch.</w:t>
      </w:r>
    </w:p>
    <w:p>
      <w:pPr>
        <w:pStyle w:val="Heading3"/>
        <w:spacing w:after="60" w:before="180"/>
      </w:pPr>
      <w:r>
        <w:rPr>
          <w:b/>
          <w:bCs/>
        </w:rPr>
        <w:t xml:space="preserve">6.3 Hosting and scale</w:t>
      </w:r>
    </w:p>
    <w:p>
      <w:pPr>
        <w:pStyle w:val="ListParagraph"/>
        <w:numPr>
          <w:ilvl w:val="0"/>
          <w:numId w:val="1"/>
        </w:numPr>
        <w:spacing w:after="80"/>
      </w:pPr>
      <w:r>
        <w:rPr>
          <w:sz w:val="22"/>
          <w:szCs w:val="22"/>
        </w:rPr>
        <w:t xml:space="preserve">Cloud-hosted, accessible to a distributed team (consultant, PM team, AfCEN) across locations.</w:t>
      </w:r>
    </w:p>
    <w:p>
      <w:pPr>
        <w:pStyle w:val="ListParagraph"/>
        <w:numPr>
          <w:ilvl w:val="0"/>
          <w:numId w:val="1"/>
        </w:numPr>
        <w:spacing w:after="80"/>
      </w:pPr>
      <w:r>
        <w:rPr>
          <w:sz w:val="22"/>
          <w:szCs w:val="22"/>
        </w:rPr>
        <w:t xml:space="preserve">Architecture should not assume a single project - see FR-12.</w:t>
      </w:r>
    </w:p>
    <w:p>
      <w:pPr>
        <w:pStyle w:val="Heading2"/>
        <w:spacing w:after="100" w:before="280"/>
      </w:pPr>
      <w:r>
        <w:rPr>
          <w:b/>
          <w:bCs/>
        </w:rPr>
        <w:t xml:space="preserve">7. Demo scope (Phase A)</w:t>
      </w:r>
    </w:p>
    <w:p>
      <w:pPr>
        <w:spacing w:after="140"/>
      </w:pPr>
      <w:r>
        <w:rPr>
          <w:sz w:val="22"/>
          <w:szCs w:val="22"/>
        </w:rPr>
        <w:t xml:space="preserve">The Saturday demo does not need every requirement built end to end. It needs to prove the mechanics that make the value proposition real, not just the hosting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c>
          <w:tcPr>
            <w:shd w:fill="1F3864" w:val="clear"/>
            <w:tcMar>
              <w:top w:type="dxa" w:w="100"/>
              <w:left w:type="dxa" w:w="100"/>
              <w:bottom w:type="dxa" w:w="100"/>
              <w:right w:type="dxa" w:w="100"/>
            </w:tcMar>
            <w:vAlign w:val="center"/>
          </w:tcPr>
          <w:p>
            <w:r>
              <w:rPr>
                <w:b/>
                <w:bCs/>
                <w:color w:val="FFFFFF"/>
                <w:sz w:val="20"/>
                <w:szCs w:val="20"/>
              </w:rPr>
              <w:t xml:space="preserve">Demo must show</w:t>
            </w:r>
          </w:p>
        </w:tc>
        <w:tc>
          <w:tcPr>
            <w:shd w:fill="1F3864" w:val="clear"/>
            <w:tcMar>
              <w:top w:type="dxa" w:w="100"/>
              <w:left w:type="dxa" w:w="100"/>
              <w:bottom w:type="dxa" w:w="100"/>
              <w:right w:type="dxa" w:w="100"/>
            </w:tcMar>
            <w:vAlign w:val="center"/>
          </w:tcPr>
          <w:p>
            <w:r>
              <w:rPr>
                <w:b/>
                <w:bCs/>
                <w:color w:val="FFFFFF"/>
                <w:sz w:val="20"/>
                <w:szCs w:val="20"/>
              </w:rPr>
              <w:t xml:space="preserve">Why it's in scope for Saturday</w:t>
            </w:r>
          </w:p>
        </w:tc>
      </w:tr>
      <w:tr>
        <w:tc>
          <w:tcPr>
            <w:tcMar>
              <w:top w:type="dxa" w:w="100"/>
              <w:left w:type="dxa" w:w="100"/>
              <w:bottom w:type="dxa" w:w="100"/>
              <w:right w:type="dxa" w:w="100"/>
            </w:tcMar>
            <w:vAlign w:val="center"/>
          </w:tcPr>
          <w:p>
            <w:r>
              <w:rPr>
                <w:b w:val="false"/>
                <w:bCs w:val="false"/>
                <w:sz w:val="20"/>
                <w:szCs w:val="20"/>
              </w:rPr>
              <w:t xml:space="preserve">A document moving through WIP - Shared - Published, with the audit trail visible</w:t>
            </w:r>
          </w:p>
        </w:tc>
        <w:tc>
          <w:tcPr>
            <w:tcMar>
              <w:top w:type="dxa" w:w="100"/>
              <w:left w:type="dxa" w:w="100"/>
              <w:bottom w:type="dxa" w:w="100"/>
              <w:right w:type="dxa" w:w="100"/>
            </w:tcMar>
            <w:vAlign w:val="center"/>
          </w:tcPr>
          <w:p>
            <w:r>
              <w:rPr>
                <w:b w:val="false"/>
                <w:bCs w:val="false"/>
                <w:sz w:val="20"/>
                <w:szCs w:val="20"/>
              </w:rPr>
              <w:t xml:space="preserve">FR-1 is the core mechanic everything else depends on.</w:t>
            </w:r>
          </w:p>
        </w:tc>
      </w:tr>
      <w:tr>
        <w:tc>
          <w:tcPr>
            <w:tcMar>
              <w:top w:type="dxa" w:w="100"/>
              <w:left w:type="dxa" w:w="100"/>
              <w:bottom w:type="dxa" w:w="100"/>
              <w:right w:type="dxa" w:w="100"/>
            </w:tcMar>
            <w:vAlign w:val="center"/>
          </w:tcPr>
          <w:p>
            <w:r>
              <w:rPr>
                <w:b w:val="false"/>
                <w:bCs w:val="false"/>
                <w:sz w:val="20"/>
                <w:szCs w:val="20"/>
              </w:rPr>
              <w:t xml:space="preserve">One real benchmark flag: a consultant figure that deviates from a reference value, with the source shown</w:t>
            </w:r>
          </w:p>
        </w:tc>
        <w:tc>
          <w:tcPr>
            <w:tcMar>
              <w:top w:type="dxa" w:w="100"/>
              <w:left w:type="dxa" w:w="100"/>
              <w:bottom w:type="dxa" w:w="100"/>
              <w:right w:type="dxa" w:w="100"/>
            </w:tcMar>
            <w:vAlign w:val="center"/>
          </w:tcPr>
          <w:p>
            <w:r>
              <w:rPr>
                <w:b w:val="false"/>
                <w:bCs w:val="false"/>
                <w:sz w:val="20"/>
                <w:szCs w:val="20"/>
              </w:rPr>
              <w:t xml:space="preserve">FR-4 is the actual value proposition - it has to be visibly real, not decorative.</w:t>
            </w:r>
          </w:p>
        </w:tc>
      </w:tr>
      <w:tr>
        <w:tc>
          <w:tcPr>
            <w:tcMar>
              <w:top w:type="dxa" w:w="100"/>
              <w:left w:type="dxa" w:w="100"/>
              <w:bottom w:type="dxa" w:w="100"/>
              <w:right w:type="dxa" w:w="100"/>
            </w:tcMar>
            <w:vAlign w:val="center"/>
          </w:tcPr>
          <w:p>
            <w:r>
              <w:rPr>
                <w:b w:val="false"/>
                <w:bCs w:val="false"/>
                <w:sz w:val="20"/>
                <w:szCs w:val="20"/>
              </w:rPr>
              <w:t xml:space="preserve">A PM-team dashboard: open flags, upcoming gates, last submission's turnaround time</w:t>
            </w:r>
          </w:p>
        </w:tc>
        <w:tc>
          <w:tcPr>
            <w:tcMar>
              <w:top w:type="dxa" w:w="100"/>
              <w:left w:type="dxa" w:w="100"/>
              <w:bottom w:type="dxa" w:w="100"/>
              <w:right w:type="dxa" w:w="100"/>
            </w:tcMar>
            <w:vAlign w:val="center"/>
          </w:tcPr>
          <w:p>
            <w:r>
              <w:rPr>
                <w:b w:val="false"/>
                <w:bCs w:val="false"/>
                <w:sz w:val="20"/>
                <w:szCs w:val="20"/>
              </w:rPr>
              <w:t xml:space="preserve">FR-6 - shows the PM team a faster view of their own workload, not a system replacing them.</w:t>
            </w:r>
          </w:p>
        </w:tc>
      </w:tr>
      <w:tr>
        <w:tc>
          <w:tcPr>
            <w:tcMar>
              <w:top w:type="dxa" w:w="100"/>
              <w:left w:type="dxa" w:w="100"/>
              <w:bottom w:type="dxa" w:w="100"/>
              <w:right w:type="dxa" w:w="100"/>
            </w:tcMar>
            <w:vAlign w:val="center"/>
          </w:tcPr>
          <w:p>
            <w:r>
              <w:rPr>
                <w:b w:val="false"/>
                <w:bCs w:val="false"/>
                <w:sz w:val="20"/>
                <w:szCs w:val="20"/>
              </w:rPr>
              <w:t xml:space="preserve">A short before/after moment showing a second, similar flag resolved faster or more precisely than the first</w:t>
            </w:r>
          </w:p>
        </w:tc>
        <w:tc>
          <w:tcPr>
            <w:tcMar>
              <w:top w:type="dxa" w:w="100"/>
              <w:left w:type="dxa" w:w="100"/>
              <w:bottom w:type="dxa" w:w="100"/>
              <w:right w:type="dxa" w:w="100"/>
            </w:tcMar>
            <w:vAlign w:val="center"/>
          </w:tcPr>
          <w:p>
            <w:r>
              <w:rPr>
                <w:b w:val="false"/>
                <w:bCs w:val="false"/>
                <w:sz w:val="20"/>
                <w:szCs w:val="20"/>
              </w:rPr>
              <w:t xml:space="preserve">Demonstrates FR-11's direction of travel without needing real learning behind it yet.</w:t>
            </w:r>
          </w:p>
        </w:tc>
      </w:tr>
      <w:tr>
        <w:tc>
          <w:tcPr>
            <w:tcMar>
              <w:top w:type="dxa" w:w="100"/>
              <w:left w:type="dxa" w:w="100"/>
              <w:bottom w:type="dxa" w:w="100"/>
              <w:right w:type="dxa" w:w="100"/>
            </w:tcMar>
            <w:vAlign w:val="center"/>
          </w:tcPr>
          <w:p>
            <w:r>
              <w:rPr>
                <w:b w:val="false"/>
                <w:bCs w:val="false"/>
                <w:sz w:val="20"/>
                <w:szCs w:val="20"/>
              </w:rPr>
              <w:t xml:space="preserve">A one-click export of a Published package</w:t>
            </w:r>
          </w:p>
        </w:tc>
        <w:tc>
          <w:tcPr>
            <w:tcMar>
              <w:top w:type="dxa" w:w="100"/>
              <w:left w:type="dxa" w:w="100"/>
              <w:bottom w:type="dxa" w:w="100"/>
              <w:right w:type="dxa" w:w="100"/>
            </w:tcMar>
            <w:vAlign w:val="center"/>
          </w:tcPr>
          <w:p>
            <w:r>
              <w:rPr>
                <w:b w:val="false"/>
                <w:bCs w:val="false"/>
                <w:sz w:val="20"/>
                <w:szCs w:val="20"/>
              </w:rPr>
              <w:t xml:space="preserve">FR-8 - concrete answer to “what does the lender/EPC handover look like.”</w:t>
            </w:r>
          </w:p>
        </w:tc>
      </w:tr>
    </w:tbl>
    <w:p>
      <w:pPr>
        <w:pStyle w:val="Heading2"/>
        <w:spacing w:after="100" w:before="280"/>
      </w:pPr>
      <w:r>
        <w:rPr>
          <w:b/>
          <w:bCs/>
        </w:rPr>
        <w:t xml:space="preserve">8.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0"/>
      </w:tblGrid>
      <w:tr>
        <w:tc>
          <w:tcPr>
            <w:shd w:fill="1F3864" w:val="clear"/>
            <w:tcMar>
              <w:top w:type="dxa" w:w="100"/>
              <w:left w:type="dxa" w:w="100"/>
              <w:bottom w:type="dxa" w:w="100"/>
              <w:right w:type="dxa" w:w="100"/>
            </w:tcMar>
            <w:vAlign w:val="center"/>
          </w:tcPr>
          <w:p>
            <w:r>
              <w:rPr>
                <w:b/>
                <w:bCs/>
                <w:color w:val="FFFFFF"/>
                <w:sz w:val="20"/>
                <w:szCs w:val="20"/>
              </w:rPr>
              <w:t xml:space="preserve">Phase</w:t>
            </w:r>
          </w:p>
        </w:tc>
        <w:tc>
          <w:tcPr>
            <w:shd w:fill="1F3864" w:val="clear"/>
            <w:tcMar>
              <w:top w:type="dxa" w:w="100"/>
              <w:left w:type="dxa" w:w="100"/>
              <w:bottom w:type="dxa" w:w="100"/>
              <w:right w:type="dxa" w:w="100"/>
            </w:tcMar>
            <w:vAlign w:val="center"/>
          </w:tcPr>
          <w:p>
            <w:r>
              <w:rPr>
                <w:b/>
                <w:bCs/>
                <w:color w:val="FFFFFF"/>
                <w:sz w:val="20"/>
                <w:szCs w:val="20"/>
              </w:rPr>
              <w:t xml:space="preserve">Scope</w:t>
            </w:r>
          </w:p>
        </w:tc>
        <w:tc>
          <w:tcPr>
            <w:shd w:fill="1F3864" w:val="clear"/>
            <w:tcMar>
              <w:top w:type="dxa" w:w="100"/>
              <w:left w:type="dxa" w:w="100"/>
              <w:bottom w:type="dxa" w:w="100"/>
              <w:right w:type="dxa" w:w="100"/>
            </w:tcMar>
            <w:vAlign w:val="center"/>
          </w:tcPr>
          <w:p>
            <w:r>
              <w:rPr>
                <w:b/>
                <w:bCs/>
                <w:color w:val="FFFFFF"/>
                <w:sz w:val="20"/>
                <w:szCs w:val="20"/>
              </w:rPr>
              <w:t xml:space="preserve">Target</w:t>
            </w:r>
          </w:p>
        </w:tc>
      </w:tr>
      <w:tr>
        <w:tc>
          <w:tcPr>
            <w:tcMar>
              <w:top w:type="dxa" w:w="100"/>
              <w:left w:type="dxa" w:w="100"/>
              <w:bottom w:type="dxa" w:w="100"/>
              <w:right w:type="dxa" w:w="100"/>
            </w:tcMar>
            <w:vAlign w:val="center"/>
          </w:tcPr>
          <w:p>
            <w:r>
              <w:rPr>
                <w:b w:val="false"/>
                <w:bCs w:val="false"/>
                <w:sz w:val="20"/>
                <w:szCs w:val="20"/>
              </w:rPr>
              <w:t xml:space="preserve">Phase A - Demo</w:t>
            </w:r>
          </w:p>
        </w:tc>
        <w:tc>
          <w:tcPr>
            <w:tcMar>
              <w:top w:type="dxa" w:w="100"/>
              <w:left w:type="dxa" w:w="100"/>
              <w:bottom w:type="dxa" w:w="100"/>
              <w:right w:type="dxa" w:w="100"/>
            </w:tcMar>
            <w:vAlign w:val="center"/>
          </w:tcPr>
          <w:p>
            <w:r>
              <w:rPr>
                <w:b w:val="false"/>
                <w:bCs w:val="false"/>
                <w:sz w:val="20"/>
                <w:szCs w:val="20"/>
              </w:rPr>
              <w:t xml:space="preserve">Demo scope above, built on the existing pre-feasibility generator.</w:t>
            </w:r>
          </w:p>
        </w:tc>
        <w:tc>
          <w:tcPr>
            <w:tcMar>
              <w:top w:type="dxa" w:w="100"/>
              <w:left w:type="dxa" w:w="100"/>
              <w:bottom w:type="dxa" w:w="100"/>
              <w:right w:type="dxa" w:w="100"/>
            </w:tcMar>
            <w:vAlign w:val="center"/>
          </w:tcPr>
          <w:p>
            <w:r>
              <w:rPr>
                <w:b w:val="false"/>
                <w:bCs w:val="false"/>
                <w:sz w:val="20"/>
                <w:szCs w:val="20"/>
              </w:rPr>
              <w:t xml:space="preserve">18-19 July 2026</w:t>
            </w:r>
          </w:p>
        </w:tc>
      </w:tr>
      <w:tr>
        <w:tc>
          <w:tcPr>
            <w:tcMar>
              <w:top w:type="dxa" w:w="100"/>
              <w:left w:type="dxa" w:w="100"/>
              <w:bottom w:type="dxa" w:w="100"/>
              <w:right w:type="dxa" w:w="100"/>
            </w:tcMar>
            <w:vAlign w:val="center"/>
          </w:tcPr>
          <w:p>
            <w:r>
              <w:rPr>
                <w:b w:val="false"/>
                <w:bCs w:val="false"/>
                <w:sz w:val="20"/>
                <w:szCs w:val="20"/>
              </w:rPr>
              <w:t xml:space="preserve">Phase B - Full build</w:t>
            </w:r>
          </w:p>
        </w:tc>
        <w:tc>
          <w:tcPr>
            <w:tcMar>
              <w:top w:type="dxa" w:w="100"/>
              <w:left w:type="dxa" w:w="100"/>
              <w:bottom w:type="dxa" w:w="100"/>
              <w:right w:type="dxa" w:w="100"/>
            </w:tcMar>
            <w:vAlign w:val="center"/>
          </w:tcPr>
          <w:p>
            <w:r>
              <w:rPr>
                <w:b w:val="false"/>
                <w:bCs w:val="false"/>
                <w:sz w:val="20"/>
                <w:szCs w:val="20"/>
              </w:rPr>
              <w:t xml:space="preserve">All P0 and P1 requirements, tested end to end.</w:t>
            </w:r>
          </w:p>
        </w:tc>
        <w:tc>
          <w:tcPr>
            <w:tcMar>
              <w:top w:type="dxa" w:w="100"/>
              <w:left w:type="dxa" w:w="100"/>
              <w:bottom w:type="dxa" w:w="100"/>
              <w:right w:type="dxa" w:w="100"/>
            </w:tcMar>
            <w:vAlign w:val="center"/>
          </w:tcPr>
          <w:p>
            <w:r>
              <w:rPr>
                <w:b w:val="false"/>
                <w:bCs w:val="false"/>
                <w:sz w:val="20"/>
                <w:szCs w:val="20"/>
              </w:rPr>
              <w:t xml:space="preserve">Before Consultant mobilisation</w:t>
            </w:r>
          </w:p>
        </w:tc>
      </w:tr>
      <w:tr>
        <w:tc>
          <w:tcPr>
            <w:tcMar>
              <w:top w:type="dxa" w:w="100"/>
              <w:left w:type="dxa" w:w="100"/>
              <w:bottom w:type="dxa" w:w="100"/>
              <w:right w:type="dxa" w:w="100"/>
            </w:tcMar>
            <w:vAlign w:val="center"/>
          </w:tcPr>
          <w:p>
            <w:r>
              <w:rPr>
                <w:b w:val="false"/>
                <w:bCs w:val="false"/>
                <w:sz w:val="20"/>
                <w:szCs w:val="20"/>
              </w:rPr>
              <w:t xml:space="preserve">Phase C - Live operation</w:t>
            </w:r>
          </w:p>
        </w:tc>
        <w:tc>
          <w:tcPr>
            <w:tcMar>
              <w:top w:type="dxa" w:w="100"/>
              <w:left w:type="dxa" w:w="100"/>
              <w:bottom w:type="dxa" w:w="100"/>
              <w:right w:type="dxa" w:w="100"/>
            </w:tcMar>
            <w:vAlign w:val="center"/>
          </w:tcPr>
          <w:p>
            <w:r>
              <w:rPr>
                <w:b w:val="false"/>
                <w:bCs w:val="false"/>
                <w:sz w:val="20"/>
                <w:szCs w:val="20"/>
              </w:rPr>
              <w:t xml:space="preserve">Full requirement set live across TOR Phases 0-7.</w:t>
            </w:r>
          </w:p>
        </w:tc>
        <w:tc>
          <w:tcPr>
            <w:tcMar>
              <w:top w:type="dxa" w:w="100"/>
              <w:left w:type="dxa" w:w="100"/>
              <w:bottom w:type="dxa" w:w="100"/>
              <w:right w:type="dxa" w:w="100"/>
            </w:tcMar>
            <w:vAlign w:val="center"/>
          </w:tcPr>
          <w:p>
            <w:r>
              <w:rPr>
                <w:b w:val="false"/>
                <w:bCs w:val="false"/>
                <w:sz w:val="20"/>
                <w:szCs w:val="20"/>
              </w:rPr>
              <w:t xml:space="preserve">Through the 6-month assignment</w:t>
            </w:r>
          </w:p>
        </w:tc>
      </w:tr>
      <w:tr>
        <w:tc>
          <w:tcPr>
            <w:tcMar>
              <w:top w:type="dxa" w:w="100"/>
              <w:left w:type="dxa" w:w="100"/>
              <w:bottom w:type="dxa" w:w="100"/>
              <w:right w:type="dxa" w:w="100"/>
            </w:tcMar>
            <w:vAlign w:val="center"/>
          </w:tcPr>
          <w:p>
            <w:r>
              <w:rPr>
                <w:b w:val="false"/>
                <w:bCs w:val="false"/>
                <w:sz w:val="20"/>
                <w:szCs w:val="20"/>
              </w:rPr>
              <w:t xml:space="preserve">Phase D - Reuse</w:t>
            </w:r>
          </w:p>
        </w:tc>
        <w:tc>
          <w:tcPr>
            <w:tcMar>
              <w:top w:type="dxa" w:w="100"/>
              <w:left w:type="dxa" w:w="100"/>
              <w:bottom w:type="dxa" w:w="100"/>
              <w:right w:type="dxa" w:w="100"/>
            </w:tcMar>
            <w:vAlign w:val="center"/>
          </w:tcPr>
          <w:p>
            <w:r>
              <w:rPr>
                <w:b w:val="false"/>
                <w:bCs w:val="false"/>
                <w:sz w:val="20"/>
                <w:szCs w:val="20"/>
              </w:rPr>
              <w:t xml:space="preserve">P2 requirements hardened; platform generalised for the next IPT project.</w:t>
            </w:r>
          </w:p>
        </w:tc>
        <w:tc>
          <w:tcPr>
            <w:tcMar>
              <w:top w:type="dxa" w:w="100"/>
              <w:left w:type="dxa" w:w="100"/>
              <w:bottom w:type="dxa" w:w="100"/>
              <w:right w:type="dxa" w:w="100"/>
            </w:tcMar>
            <w:vAlign w:val="center"/>
          </w:tcPr>
          <w:p>
            <w:r>
              <w:rPr>
                <w:b w:val="false"/>
                <w:bCs w:val="false"/>
                <w:sz w:val="20"/>
                <w:szCs w:val="20"/>
              </w:rPr>
              <w:t xml:space="preserve">Post Bulambuli-Moroto handover</w:t>
            </w:r>
          </w:p>
        </w:tc>
      </w:tr>
    </w:tbl>
    <w:p>
      <w:pPr>
        <w:pStyle w:val="Heading2"/>
        <w:spacing w:after="100" w:before="280"/>
      </w:pPr>
      <w:r>
        <w:rPr>
          <w:b/>
          <w:bCs/>
        </w:rPr>
        <w:t xml:space="preserve">9. Scope boundaries</w:t>
      </w:r>
    </w:p>
    <w:p>
      <w:pPr>
        <w:pStyle w:val="Heading3"/>
        <w:spacing w:after="60" w:before="180"/>
      </w:pPr>
      <w:r>
        <w:rPr>
          <w:b/>
          <w:bCs/>
        </w:rPr>
        <w:t xml:space="preserve">9.1 Explicitly out of scope for this document</w:t>
      </w:r>
    </w:p>
    <w:p>
      <w:pPr>
        <w:pStyle w:val="ListParagraph"/>
        <w:numPr>
          <w:ilvl w:val="0"/>
          <w:numId w:val="1"/>
        </w:numPr>
        <w:spacing w:after="80"/>
      </w:pPr>
      <w:r>
        <w:rPr>
          <w:sz w:val="22"/>
          <w:szCs w:val="22"/>
        </w:rPr>
        <w:t xml:space="preserve">Specific technology or vendor choice (build in-house versus adapt an existing CDE product) - a separate technical decision.</w:t>
      </w:r>
    </w:p>
    <w:p>
      <w:pPr>
        <w:pStyle w:val="ListParagraph"/>
        <w:numPr>
          <w:ilvl w:val="0"/>
          <w:numId w:val="1"/>
        </w:numPr>
        <w:spacing w:after="80"/>
      </w:pPr>
      <w:r>
        <w:rPr>
          <w:sz w:val="22"/>
          <w:szCs w:val="22"/>
        </w:rPr>
        <w:t xml:space="preserve">Any change to the RFP evaluation criteria - deferred per the 15 July call.</w:t>
      </w:r>
    </w:p>
    <w:p>
      <w:pPr>
        <w:pStyle w:val="ListParagraph"/>
        <w:numPr>
          <w:ilvl w:val="0"/>
          <w:numId w:val="1"/>
        </w:numPr>
        <w:spacing w:after="80"/>
      </w:pPr>
      <w:r>
        <w:rPr>
          <w:sz w:val="22"/>
          <w:szCs w:val="22"/>
        </w:rPr>
        <w:t xml:space="preserve">The sponsor disclosure process for Meridiam and PIDG - handled through the JDA discussions, not through this product.</w:t>
      </w:r>
    </w:p>
    <w:p>
      <w:pPr>
        <w:pStyle w:val="Heading3"/>
        <w:spacing w:after="60" w:before="180"/>
      </w:pPr>
      <w:r>
        <w:rPr>
          <w:b/>
          <w:bCs/>
        </w:rPr>
        <w:t xml:space="preserve">9.2 Handle with care</w:t>
      </w:r>
    </w:p>
    <w:p>
      <w:pPr>
        <w:pStyle w:val="ListParagraph"/>
        <w:numPr>
          <w:ilvl w:val="0"/>
          <w:numId w:val="1"/>
        </w:numPr>
        <w:spacing w:after="80"/>
      </w:pPr>
      <w:r>
        <w:rPr>
          <w:sz w:val="22"/>
          <w:szCs w:val="22"/>
        </w:rPr>
        <w:t xml:space="preserve">FR-11 (the learning loop) is internal only. It must never appear in any consultant-facing or bidder-facing description of the platform, and should be described externally, if at all, only as version tracking and quality assurance.</w:t>
      </w:r>
    </w:p>
    <w:p>
      <w:pPr>
        <w:pStyle w:val="Heading2"/>
        <w:spacing w:after="100" w:before="280"/>
      </w:pPr>
      <w:r>
        <w:rPr>
          <w:b/>
          <w:bCs/>
        </w:rPr>
        <w:t xml:space="preserve">10. Open questions and risks</w:t>
      </w:r>
    </w:p>
    <w:p>
      <w:pPr>
        <w:pStyle w:val="ListParagraph"/>
        <w:numPr>
          <w:ilvl w:val="0"/>
          <w:numId w:val="1"/>
        </w:numPr>
        <w:spacing w:after="80"/>
      </w:pPr>
      <w:r>
        <w:rPr>
          <w:sz w:val="22"/>
          <w:szCs w:val="22"/>
        </w:rPr>
        <w:t xml:space="preserve">What benchmark-deviation threshold triggers a flag, and who sets it - AfCEN or the PM team?</w:t>
      </w:r>
    </w:p>
    <w:p>
      <w:pPr>
        <w:pStyle w:val="ListParagraph"/>
        <w:numPr>
          <w:ilvl w:val="0"/>
          <w:numId w:val="1"/>
        </w:numPr>
        <w:spacing w:after="80"/>
      </w:pPr>
      <w:r>
        <w:rPr>
          <w:sz w:val="22"/>
          <w:szCs w:val="22"/>
        </w:rPr>
        <w:t xml:space="preserve">How is the IP split between the Developer (project data) and AfCEN (platform and benchmark library) formally documented before launch?</w:t>
      </w:r>
    </w:p>
    <w:p>
      <w:pPr>
        <w:pStyle w:val="ListParagraph"/>
        <w:numPr>
          <w:ilvl w:val="0"/>
          <w:numId w:val="1"/>
        </w:numPr>
        <w:spacing w:after="80"/>
      </w:pPr>
      <w:r>
        <w:rPr>
          <w:sz w:val="22"/>
          <w:szCs w:val="22"/>
        </w:rPr>
        <w:t xml:space="preserve">Does the Consultant need to be told, even at a high level, that their Published figures feed a benchmark library used beyond this project? This is a disclosure question, not just a technical one, and should be resolved before Phase C.</w:t>
      </w:r>
    </w:p>
    <w:p>
      <w:pPr>
        <w:pStyle w:val="ListParagraph"/>
        <w:numPr>
          <w:ilvl w:val="0"/>
          <w:numId w:val="1"/>
        </w:numPr>
        <w:spacing w:after="80"/>
      </w:pPr>
      <w:r>
        <w:rPr>
          <w:sz w:val="22"/>
          <w:szCs w:val="22"/>
        </w:rPr>
        <w:t xml:space="preserve">What happens if a benchmark flag is wrong - i.e. the reference data itself is outdated or inapplicable? The provenance metadata in FR-3 needs to make this easy for the PM team to spot and dismiss.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2026-07-15T12:29:41.049Z</dcterms:created>
  <dcterms:modified xsi:type="dcterms:W3CDTF">2026-07-15T12:29:41.062Z</dcterms:modified>
</cp:coreProperties>
</file>

<file path=docProps/custom.xml><?xml version="1.0" encoding="utf-8"?>
<Properties xmlns="http://schemas.openxmlformats.org/officeDocument/2006/custom-properties" xmlns:vt="http://schemas.openxmlformats.org/officeDocument/2006/docPropsVTypes"/>
</file>