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34"/>
          <w:szCs w:val="34"/>
        </w:rPr>
        <w:t xml:space="preserve">Feasibility Study Deliverable Review Standard</w:t>
      </w:r>
    </w:p>
    <w:p>
      <w:pPr>
        <w:spacing w:after="60"/>
      </w:pPr>
      <w:r>
        <w:rPr>
          <w:color w:val="555555"/>
          <w:sz w:val="22"/>
          <w:szCs w:val="22"/>
        </w:rPr>
        <w:t xml:space="preserve">The rulebook for first-pass review of consultant submissions</w:t>
      </w:r>
    </w:p>
    <w:p>
      <w:pPr>
        <w:pBdr>
          <w:bottom w:val="single" w:color="1F3A5F" w:sz="6" w:space="6"/>
        </w:pBdr>
        <w:spacing w:after="200"/>
      </w:pPr>
      <w:r>
        <w:t xml:space="preserve"/>
      </w:r>
    </w:p>
    <w:p>
      <w:pPr>
        <w:spacing w:after="140"/>
      </w:pPr>
      <w:r>
        <w:rPr>
          <w:i/>
          <w:iCs/>
          <w:color w:val="555555"/>
          <w:sz w:val="19"/>
          <w:szCs w:val="19"/>
        </w:rPr>
        <w:t xml:space="preserve">Internal document. Not for circulation to bidders or the Developer's partners in this form. Section 11 sets out what may be shared.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A5F" w:color="auto" w:val="clear"/>
            <w:tcMar>
              <w:top w:type="dxa" w:w="60"/>
              <w:left w:type="dxa" w:w="90"/>
              <w:bottom w:type="dxa" w:w="60"/>
              <w:right w:type="dxa" w:w="90"/>
            </w:tcMar>
          </w:tcPr>
          <w:p>
            <w:pPr>
              <w:spacing w:after="0" w:line="240"/>
            </w:pPr>
            <w:r>
              <w:rPr>
                <w:b/>
                <w:bCs/>
                <w:color w:val="FFFFFF"/>
                <w:sz w:val="18"/>
                <w:szCs w:val="18"/>
              </w:rPr>
              <w:t xml:space="preserve">Field</w:t>
            </w:r>
          </w:p>
        </w:tc>
        <w:tc>
          <w:tcPr>
            <w:tcW w:type="dxa" w:w="6960"/>
            <w:shd w:fill="1F3A5F" w:color="auto" w:val="clear"/>
            <w:tcMar>
              <w:top w:type="dxa" w:w="60"/>
              <w:left w:type="dxa" w:w="90"/>
              <w:bottom w:type="dxa" w:w="60"/>
              <w:right w:type="dxa" w:w="90"/>
            </w:tcMar>
          </w:tcPr>
          <w:p>
            <w:pPr>
              <w:spacing w:after="0" w:line="240"/>
            </w:pPr>
            <w:r>
              <w:rPr>
                <w:b/>
                <w:bCs/>
                <w:color w:val="FFFFFF"/>
                <w:sz w:val="18"/>
                <w:szCs w:val="18"/>
              </w:rPr>
              <w:t xml:space="preserve">Detail</w:t>
            </w:r>
          </w:p>
        </w:tc>
      </w:tr>
      <w:tr>
        <w:tc>
          <w:tcPr>
            <w:tcW w:type="dxa" w:w="2400"/>
            <w:tcMar>
              <w:top w:type="dxa" w:w="60"/>
              <w:left w:type="dxa" w:w="90"/>
              <w:bottom w:type="dxa" w:w="60"/>
              <w:right w:type="dxa" w:w="90"/>
            </w:tcMar>
          </w:tcPr>
          <w:p>
            <w:pPr>
              <w:spacing w:after="0" w:line="240"/>
            </w:pPr>
            <w:r>
              <w:rPr>
                <w:b/>
                <w:bCs/>
                <w:sz w:val="18"/>
                <w:szCs w:val="18"/>
              </w:rPr>
              <w:t xml:space="preserve">Document</w:t>
            </w:r>
          </w:p>
        </w:tc>
        <w:tc>
          <w:tcPr>
            <w:tcW w:type="dxa" w:w="6960"/>
            <w:tcMar>
              <w:top w:type="dxa" w:w="60"/>
              <w:left w:type="dxa" w:w="90"/>
              <w:bottom w:type="dxa" w:w="60"/>
              <w:right w:type="dxa" w:w="90"/>
            </w:tcMar>
          </w:tcPr>
          <w:p>
            <w:pPr>
              <w:spacing w:after="0" w:line="240"/>
            </w:pPr>
            <w:r>
              <w:rPr>
                <w:b w:val="false"/>
                <w:bCs w:val="false"/>
                <w:sz w:val="18"/>
                <w:szCs w:val="18"/>
              </w:rPr>
              <w:t xml:space="preserve">Feasibility Study Deliverable Review Standard (FS-RS), v0.1 draft</w:t>
            </w:r>
          </w:p>
        </w:tc>
      </w:tr>
      <w:tr>
        <w:tc>
          <w:tcPr>
            <w:tcW w:type="dxa" w:w="2400"/>
            <w:shd w:fill="F2F5F9" w:color="auto" w:val="clear"/>
            <w:tcMar>
              <w:top w:type="dxa" w:w="60"/>
              <w:left w:type="dxa" w:w="90"/>
              <w:bottom w:type="dxa" w:w="60"/>
              <w:right w:type="dxa" w:w="90"/>
            </w:tcMar>
          </w:tcPr>
          <w:p>
            <w:pPr>
              <w:spacing w:after="0" w:line="240"/>
            </w:pPr>
            <w:r>
              <w:rPr>
                <w:b/>
                <w:bCs/>
                <w:sz w:val="18"/>
                <w:szCs w:val="18"/>
              </w:rPr>
              <w:t xml:space="preserve">Owner</w:t>
            </w:r>
          </w:p>
        </w:tc>
        <w:tc>
          <w:tcPr>
            <w:tcW w:type="dxa" w:w="6960"/>
            <w:shd w:fill="F2F5F9" w:color="auto" w:val="clear"/>
            <w:tcMar>
              <w:top w:type="dxa" w:w="60"/>
              <w:left w:type="dxa" w:w="90"/>
              <w:bottom w:type="dxa" w:w="60"/>
              <w:right w:type="dxa" w:w="90"/>
            </w:tcMar>
          </w:tcPr>
          <w:p>
            <w:pPr>
              <w:spacing w:after="0" w:line="240"/>
            </w:pPr>
            <w:r>
              <w:rPr>
                <w:b w:val="false"/>
                <w:bCs w:val="false"/>
                <w:sz w:val="18"/>
                <w:szCs w:val="18"/>
              </w:rPr>
              <w:t xml:space="preserve">Dennis Nderitu, AfCEN</w:t>
            </w:r>
          </w:p>
        </w:tc>
      </w:tr>
      <w:tr>
        <w:tc>
          <w:tcPr>
            <w:tcW w:type="dxa" w:w="2400"/>
            <w:tcMar>
              <w:top w:type="dxa" w:w="60"/>
              <w:left w:type="dxa" w:w="90"/>
              <w:bottom w:type="dxa" w:w="60"/>
              <w:right w:type="dxa" w:w="90"/>
            </w:tcMar>
          </w:tcPr>
          <w:p>
            <w:pPr>
              <w:spacing w:after="0" w:line="240"/>
            </w:pPr>
            <w:r>
              <w:rPr>
                <w:b/>
                <w:bCs/>
                <w:sz w:val="18"/>
                <w:szCs w:val="18"/>
              </w:rPr>
              <w:t xml:space="preserve">Augments</w:t>
            </w:r>
          </w:p>
        </w:tc>
        <w:tc>
          <w:tcPr>
            <w:tcW w:type="dxa" w:w="6960"/>
            <w:tcMar>
              <w:top w:type="dxa" w:w="60"/>
              <w:left w:type="dxa" w:w="90"/>
              <w:bottom w:type="dxa" w:w="60"/>
              <w:right w:type="dxa" w:w="90"/>
            </w:tcMar>
          </w:tcPr>
          <w:p>
            <w:pPr>
              <w:spacing w:after="0" w:line="240"/>
            </w:pPr>
            <w:r>
              <w:rPr>
                <w:b w:val="false"/>
                <w:bCs w:val="false"/>
                <w:sz w:val="18"/>
                <w:szCs w:val="18"/>
              </w:rPr>
              <w:t xml:space="preserve">AfCEN CDE Platform PRD. Supplies the content layer for FR-3, FR-4, FR-5, FR-6 and FR-7.</w:t>
            </w:r>
          </w:p>
        </w:tc>
      </w:tr>
      <w:tr>
        <w:tc>
          <w:tcPr>
            <w:tcW w:type="dxa" w:w="2400"/>
            <w:shd w:fill="F2F5F9" w:color="auto" w:val="clear"/>
            <w:tcMar>
              <w:top w:type="dxa" w:w="60"/>
              <w:left w:type="dxa" w:w="90"/>
              <w:bottom w:type="dxa" w:w="60"/>
              <w:right w:type="dxa" w:w="90"/>
            </w:tcMar>
          </w:tcPr>
          <w:p>
            <w:pPr>
              <w:spacing w:after="0" w:line="240"/>
            </w:pPr>
            <w:r>
              <w:rPr>
                <w:b/>
                <w:bCs/>
                <w:sz w:val="18"/>
                <w:szCs w:val="18"/>
              </w:rPr>
              <w:t xml:space="preserve">Used by</w:t>
            </w:r>
          </w:p>
        </w:tc>
        <w:tc>
          <w:tcPr>
            <w:tcW w:type="dxa" w:w="6960"/>
            <w:shd w:fill="F2F5F9" w:color="auto" w:val="clear"/>
            <w:tcMar>
              <w:top w:type="dxa" w:w="60"/>
              <w:left w:type="dxa" w:w="90"/>
              <w:bottom w:type="dxa" w:w="60"/>
              <w:right w:type="dxa" w:w="90"/>
            </w:tcMar>
          </w:tcPr>
          <w:p>
            <w:pPr>
              <w:spacing w:after="0" w:line="240"/>
            </w:pPr>
            <w:r>
              <w:rPr>
                <w:b w:val="false"/>
                <w:bCs w:val="false"/>
                <w:sz w:val="18"/>
                <w:szCs w:val="18"/>
              </w:rPr>
              <w:t xml:space="preserve">Kwanza PM team, as the first-pass review rulebook. AfCEN platform administrator, to configure the checks.</w:t>
            </w:r>
          </w:p>
        </w:tc>
      </w:tr>
      <w:tr>
        <w:tc>
          <w:tcPr>
            <w:tcW w:type="dxa" w:w="2400"/>
            <w:tcMar>
              <w:top w:type="dxa" w:w="60"/>
              <w:left w:type="dxa" w:w="90"/>
              <w:bottom w:type="dxa" w:w="60"/>
              <w:right w:type="dxa" w:w="90"/>
            </w:tcMar>
          </w:tcPr>
          <w:p>
            <w:pPr>
              <w:spacing w:after="0" w:line="240"/>
            </w:pPr>
            <w:r>
              <w:rPr>
                <w:b/>
                <w:bCs/>
                <w:sz w:val="18"/>
                <w:szCs w:val="18"/>
              </w:rPr>
              <w:t xml:space="preserve">Pilot project</w:t>
            </w:r>
          </w:p>
        </w:tc>
        <w:tc>
          <w:tcPr>
            <w:tcW w:type="dxa" w:w="6960"/>
            <w:tcMar>
              <w:top w:type="dxa" w:w="60"/>
              <w:left w:type="dxa" w:w="90"/>
              <w:bottom w:type="dxa" w:w="60"/>
              <w:right w:type="dxa" w:w="90"/>
            </w:tcMar>
          </w:tcPr>
          <w:p>
            <w:pPr>
              <w:spacing w:after="0" w:line="240"/>
            </w:pPr>
            <w:r>
              <w:rPr>
                <w:b w:val="false"/>
                <w:bCs w:val="false"/>
                <w:sz w:val="18"/>
                <w:szCs w:val="18"/>
              </w:rPr>
              <w:t xml:space="preserve">Bulambuli-Moroto IPT Project (RFP-TFS-IPT-BM-002/2026)</w:t>
            </w:r>
          </w:p>
        </w:tc>
      </w:tr>
      <w:tr>
        <w:tc>
          <w:tcPr>
            <w:tcW w:type="dxa" w:w="2400"/>
            <w:shd w:fill="F2F5F9" w:color="auto" w:val="clear"/>
            <w:tcMar>
              <w:top w:type="dxa" w:w="60"/>
              <w:left w:type="dxa" w:w="90"/>
              <w:bottom w:type="dxa" w:w="60"/>
              <w:right w:type="dxa" w:w="90"/>
            </w:tcMar>
          </w:tcPr>
          <w:p>
            <w:pPr>
              <w:spacing w:after="0" w:line="240"/>
            </w:pPr>
            <w:r>
              <w:rPr>
                <w:b/>
                <w:bCs/>
                <w:sz w:val="18"/>
                <w:szCs w:val="18"/>
              </w:rPr>
              <w:t xml:space="preserve">Reference template</w:t>
            </w:r>
          </w:p>
        </w:tc>
        <w:tc>
          <w:tcPr>
            <w:tcW w:type="dxa" w:w="6960"/>
            <w:shd w:fill="F2F5F9" w:color="auto" w:val="clear"/>
            <w:tcMar>
              <w:top w:type="dxa" w:w="60"/>
              <w:left w:type="dxa" w:w="90"/>
              <w:bottom w:type="dxa" w:w="60"/>
              <w:right w:type="dxa" w:w="90"/>
            </w:tcMar>
          </w:tcPr>
          <w:p>
            <w:pPr>
              <w:spacing w:after="0" w:line="240"/>
            </w:pPr>
            <w:r>
              <w:rPr>
                <w:b w:val="false"/>
                <w:bCs w:val="false"/>
                <w:sz w:val="18"/>
                <w:szCs w:val="18"/>
              </w:rPr>
              <w:t xml:space="preserve">Pre-Feasibility Study for the Proposed 132 kV Bulambuli-Moroto-Kitgum Transmission Project (Phase One), responsAbility Renewable Energy Holding, August 2020, 132 pp.</w:t>
            </w:r>
          </w:p>
        </w:tc>
      </w:tr>
      <w:tr>
        <w:tc>
          <w:tcPr>
            <w:tcW w:type="dxa" w:w="2400"/>
            <w:tcMar>
              <w:top w:type="dxa" w:w="60"/>
              <w:left w:type="dxa" w:w="90"/>
              <w:bottom w:type="dxa" w:w="60"/>
              <w:right w:type="dxa" w:w="90"/>
            </w:tcMar>
          </w:tcPr>
          <w:p>
            <w:pPr>
              <w:spacing w:after="0" w:line="240"/>
            </w:pPr>
            <w:r>
              <w:rPr>
                <w:b/>
                <w:bCs/>
                <w:sz w:val="18"/>
                <w:szCs w:val="18"/>
              </w:rPr>
              <w:t xml:space="preserve">Status</w:t>
            </w:r>
          </w:p>
        </w:tc>
        <w:tc>
          <w:tcPr>
            <w:tcW w:type="dxa" w:w="6960"/>
            <w:tcMar>
              <w:top w:type="dxa" w:w="60"/>
              <w:left w:type="dxa" w:w="90"/>
              <w:bottom w:type="dxa" w:w="60"/>
              <w:right w:type="dxa" w:w="90"/>
            </w:tcMar>
          </w:tcPr>
          <w:p>
            <w:pPr>
              <w:spacing w:after="0" w:line="240"/>
            </w:pPr>
            <w:r>
              <w:rPr>
                <w:b w:val="false"/>
                <w:bCs w:val="false"/>
                <w:sz w:val="18"/>
                <w:szCs w:val="18"/>
              </w:rPr>
              <w:t xml:space="preserve">Draft for internal build use. Open items in Sections 9 and 12.</w:t>
            </w:r>
          </w:p>
        </w:tc>
      </w:tr>
    </w:tbl>
    <w:p>
      <w:pPr>
        <w:pStyle w:val="Heading1"/>
        <w:spacing w:after="120" w:before="280"/>
      </w:pPr>
      <w:r>
        <w:rPr>
          <w:b/>
          <w:bCs/>
          <w:color w:val="1F3A5F"/>
          <w:sz w:val="26"/>
          <w:szCs w:val="26"/>
        </w:rPr>
        <w:t xml:space="preserve">1  Why this document exists</w:t>
      </w:r>
    </w:p>
    <w:p>
      <w:pPr>
        <w:spacing w:after="120" w:line="264"/>
      </w:pPr>
      <w:r>
        <w:t xml:space="preserve">The Platform PRD specifies a mechanism. FR-4 says the system checks the consultant's figures against the benchmark library and flags entries that deviate beyond a configurable threshold. It does not say which figures are checked, what a complete deliverable section must contain, or what a flag means when it fires. FR-3 says the benchmark library holds capex figures and prior project data, but not which metrics.</w:t>
      </w:r>
    </w:p>
    <w:p>
      <w:pPr>
        <w:spacing w:after="120" w:line="264"/>
      </w:pPr>
      <w:r>
        <w:t xml:space="preserve">Without that content layer, FR-4 is a threshold with little to compare against, and first-pass review falls back to a person reading a PDF, which is the problem the platform exists to solve. This standard is the content layer. It states, per deliverable section, what must be present, what must evidence it, and what raises a flag.</w:t>
      </w:r>
    </w:p>
    <w:p>
      <w:pPr>
        <w:spacing w:after="120" w:line="264"/>
      </w:pPr>
      <w:r>
        <w:t xml:space="preserve">It also answers the objection Arnold has already flagged, on its own terms. </w:t>
      </w:r>
      <w:r>
        <w:t xml:space="preserve">The standard is what makes the platform faster than manual review: the checks are written down once and run on every submission, in seconds, consistently. It does not review instead of the PM team. Every output is a flag that the PM team accepts or dismisses, and the PM team's judgement is the thing being accelerated.</w:t>
      </w:r>
    </w:p>
    <w:p>
      <w:pPr>
        <w:pStyle w:val="Heading1"/>
        <w:spacing w:after="120" w:before="280"/>
      </w:pPr>
      <w:r>
        <w:rPr>
          <w:b/>
          <w:bCs/>
          <w:color w:val="1F3A5F"/>
          <w:sz w:val="26"/>
          <w:szCs w:val="26"/>
        </w:rPr>
        <w:t xml:space="preserve">2  Boundaries</w:t>
      </w:r>
    </w:p>
    <w:p>
      <w:pPr>
        <w:spacing w:after="120" w:line="264"/>
      </w:pPr>
      <w:r>
        <w:t xml:space="preserve">These carry over from the Platform PRD unchanged and govern everything below.</w:t>
      </w:r>
    </w:p>
    <w:p>
      <w:pPr>
        <w:pStyle w:val="ListParagraph"/>
        <w:numPr>
          <w:ilvl w:val="0"/>
          <w:numId w:val="2"/>
        </w:numPr>
        <w:spacing w:after="80" w:line="264"/>
      </w:pPr>
      <w:r>
        <w:t xml:space="preserve">AfCEN's checks are advisory only.</w:t>
      </w:r>
    </w:p>
    <w:p>
      <w:pPr>
        <w:pStyle w:val="ListParagraph"/>
        <w:numPr>
          <w:ilvl w:val="0"/>
          <w:numId w:val="2"/>
        </w:numPr>
        <w:spacing w:after="80" w:line="264"/>
      </w:pPr>
      <w:r>
        <w:t xml:space="preserve">The Consultant remains the sole signatory of its own deliverables under TOR Section 8.3.</w:t>
      </w:r>
    </w:p>
    <w:p>
      <w:pPr>
        <w:pStyle w:val="ListParagraph"/>
        <w:numPr>
          <w:ilvl w:val="0"/>
          <w:numId w:val="2"/>
        </w:numPr>
        <w:spacing w:after="80" w:line="264"/>
      </w:pPr>
      <w:r>
        <w:t xml:space="preserve">The Kwanza PM team remains the sole approval authority.</w:t>
      </w:r>
    </w:p>
    <w:p>
      <w:pPr>
        <w:pStyle w:val="ListParagraph"/>
        <w:numPr>
          <w:ilvl w:val="0"/>
          <w:numId w:val="2"/>
        </w:numPr>
        <w:spacing w:after="80" w:line="264"/>
      </w:pPr>
      <w:r>
        <w:t xml:space="preserve">The standard never auto-corrects or overwrites a submitted figure (FR-5).</w:t>
      </w:r>
    </w:p>
    <w:p>
      <w:pPr>
        <w:pStyle w:val="ListParagraph"/>
        <w:numPr>
          <w:ilvl w:val="0"/>
          <w:numId w:val="2"/>
        </w:numPr>
        <w:spacing w:after="80" w:line="264"/>
      </w:pPr>
      <w:r>
        <w:t xml:space="preserve">A flag is a question put to the PM team, not a finding against the Consultant.</w:t>
      </w:r>
    </w:p>
    <w:p>
      <w:pPr>
        <w:pStyle w:val="Heading1"/>
        <w:spacing w:after="120" w:before="280"/>
      </w:pPr>
      <w:r>
        <w:rPr>
          <w:b/>
          <w:bCs/>
          <w:color w:val="1F3A5F"/>
          <w:sz w:val="26"/>
          <w:szCs w:val="26"/>
        </w:rPr>
        <w:t xml:space="preserve">3  Where the standard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560"/>
        <w:gridCol w:w="3100"/>
      </w:tblGrid>
      <w:tr>
        <w:trPr>
          <w:tblHeader/>
        </w:trPr>
        <w:tc>
          <w:tcPr>
            <w:tcW w:type="dxa" w:w="1700"/>
            <w:shd w:fill="1F3A5F" w:color="auto" w:val="clear"/>
            <w:tcMar>
              <w:top w:type="dxa" w:w="60"/>
              <w:left w:type="dxa" w:w="90"/>
              <w:bottom w:type="dxa" w:w="60"/>
              <w:right w:type="dxa" w:w="90"/>
            </w:tcMar>
          </w:tcPr>
          <w:p>
            <w:pPr>
              <w:spacing w:after="0" w:line="240"/>
            </w:pPr>
            <w:r>
              <w:rPr>
                <w:b/>
                <w:bCs/>
                <w:color w:val="FFFFFF"/>
                <w:sz w:val="18"/>
                <w:szCs w:val="18"/>
              </w:rPr>
              <w:t xml:space="preserve">CDE state</w:t>
            </w:r>
          </w:p>
        </w:tc>
        <w:tc>
          <w:tcPr>
            <w:tcW w:type="dxa" w:w="4560"/>
            <w:shd w:fill="1F3A5F" w:color="auto" w:val="clear"/>
            <w:tcMar>
              <w:top w:type="dxa" w:w="60"/>
              <w:left w:type="dxa" w:w="90"/>
              <w:bottom w:type="dxa" w:w="60"/>
              <w:right w:type="dxa" w:w="90"/>
            </w:tcMar>
          </w:tcPr>
          <w:p>
            <w:pPr>
              <w:spacing w:after="0" w:line="240"/>
            </w:pPr>
            <w:r>
              <w:rPr>
                <w:b/>
                <w:bCs/>
                <w:color w:val="FFFFFF"/>
                <w:sz w:val="18"/>
                <w:szCs w:val="18"/>
              </w:rPr>
              <w:t xml:space="preserve">What the standard does</w:t>
            </w:r>
          </w:p>
        </w:tc>
        <w:tc>
          <w:tcPr>
            <w:tcW w:type="dxa" w:w="3100"/>
            <w:shd w:fill="1F3A5F" w:color="auto" w:val="clear"/>
            <w:tcMar>
              <w:top w:type="dxa" w:w="60"/>
              <w:left w:type="dxa" w:w="90"/>
              <w:bottom w:type="dxa" w:w="60"/>
              <w:right w:type="dxa" w:w="90"/>
            </w:tcMar>
          </w:tcPr>
          <w:p>
            <w:pPr>
              <w:spacing w:after="0" w:line="240"/>
            </w:pPr>
            <w:r>
              <w:rPr>
                <w:b/>
                <w:bCs/>
                <w:color w:val="FFFFFF"/>
                <w:sz w:val="18"/>
                <w:szCs w:val="18"/>
              </w:rPr>
              <w:t xml:space="preserve">Who decides</w:t>
            </w:r>
          </w:p>
        </w:tc>
      </w:tr>
      <w:tr>
        <w:tc>
          <w:tcPr>
            <w:tcW w:type="dxa" w:w="1700"/>
            <w:tcMar>
              <w:top w:type="dxa" w:w="60"/>
              <w:left w:type="dxa" w:w="90"/>
              <w:bottom w:type="dxa" w:w="60"/>
              <w:right w:type="dxa" w:w="90"/>
            </w:tcMar>
          </w:tcPr>
          <w:p>
            <w:pPr>
              <w:spacing w:after="0" w:line="240"/>
            </w:pPr>
            <w:r>
              <w:rPr>
                <w:b/>
                <w:bCs/>
                <w:sz w:val="18"/>
                <w:szCs w:val="18"/>
              </w:rPr>
              <w:t xml:space="preserve">Work in Progress</w:t>
            </w:r>
          </w:p>
        </w:tc>
        <w:tc>
          <w:tcPr>
            <w:tcW w:type="dxa" w:w="4560"/>
            <w:tcMar>
              <w:top w:type="dxa" w:w="60"/>
              <w:left w:type="dxa" w:w="90"/>
              <w:bottom w:type="dxa" w:w="60"/>
              <w:right w:type="dxa" w:w="90"/>
            </w:tcMar>
          </w:tcPr>
          <w:p>
            <w:pPr>
              <w:spacing w:after="0" w:line="240"/>
            </w:pPr>
            <w:r>
              <w:rPr>
                <w:b w:val="false"/>
                <w:bCs w:val="false"/>
                <w:sz w:val="18"/>
                <w:szCs w:val="18"/>
              </w:rPr>
              <w:t xml:space="preserve">Nothing. This is the Consultant's own space.</w:t>
            </w:r>
          </w:p>
        </w:tc>
        <w:tc>
          <w:tcPr>
            <w:tcW w:type="dxa" w:w="3100"/>
            <w:tcMar>
              <w:top w:type="dxa" w:w="60"/>
              <w:left w:type="dxa" w:w="90"/>
              <w:bottom w:type="dxa" w:w="60"/>
              <w:right w:type="dxa" w:w="90"/>
            </w:tcMar>
          </w:tcPr>
          <w:p>
            <w:pPr>
              <w:spacing w:after="0" w:line="240"/>
            </w:pPr>
            <w:r>
              <w:rPr>
                <w:b w:val="false"/>
                <w:bCs w:val="false"/>
                <w:sz w:val="18"/>
                <w:szCs w:val="18"/>
              </w:rPr>
              <w:t xml:space="preserve">Consultant</w:t>
            </w:r>
          </w:p>
        </w:tc>
      </w:tr>
      <w:tr>
        <w:tc>
          <w:tcPr>
            <w:tcW w:type="dxa" w:w="1700"/>
            <w:shd w:fill="F2F5F9" w:color="auto" w:val="clear"/>
            <w:tcMar>
              <w:top w:type="dxa" w:w="60"/>
              <w:left w:type="dxa" w:w="90"/>
              <w:bottom w:type="dxa" w:w="60"/>
              <w:right w:type="dxa" w:w="90"/>
            </w:tcMar>
          </w:tcPr>
          <w:p>
            <w:pPr>
              <w:spacing w:after="0" w:line="240"/>
            </w:pPr>
            <w:r>
              <w:rPr>
                <w:b/>
                <w:bCs/>
                <w:sz w:val="18"/>
                <w:szCs w:val="18"/>
              </w:rPr>
              <w:t xml:space="preserve">On submission to Shared</w:t>
            </w:r>
          </w:p>
        </w:tc>
        <w:tc>
          <w:tcPr>
            <w:tcW w:type="dxa" w:w="4560"/>
            <w:shd w:fill="F2F5F9" w:color="auto" w:val="clear"/>
            <w:tcMar>
              <w:top w:type="dxa" w:w="60"/>
              <w:left w:type="dxa" w:w="90"/>
              <w:bottom w:type="dxa" w:w="60"/>
              <w:right w:type="dxa" w:w="90"/>
            </w:tcMar>
          </w:tcPr>
          <w:p>
            <w:pPr>
              <w:spacing w:after="0" w:line="240"/>
            </w:pPr>
            <w:r>
              <w:rPr>
                <w:b w:val="false"/>
                <w:bCs w:val="false"/>
                <w:sz w:val="18"/>
                <w:szCs w:val="18"/>
              </w:rPr>
              <w:t xml:space="preserve">Runs Part A and the applicable Part B and Part C checks. Generates flags with the reference source shown alongside each one (FR-4). Updates the PM dashboard (FR-6).</w:t>
            </w:r>
          </w:p>
        </w:tc>
        <w:tc>
          <w:tcPr>
            <w:tcW w:type="dxa" w:w="3100"/>
            <w:shd w:fill="F2F5F9" w:color="auto" w:val="clear"/>
            <w:tcMar>
              <w:top w:type="dxa" w:w="60"/>
              <w:left w:type="dxa" w:w="90"/>
              <w:bottom w:type="dxa" w:w="60"/>
              <w:right w:type="dxa" w:w="90"/>
            </w:tcMar>
          </w:tcPr>
          <w:p>
            <w:pPr>
              <w:spacing w:after="0" w:line="240"/>
            </w:pPr>
            <w:r>
              <w:rPr>
                <w:b w:val="false"/>
                <w:bCs w:val="false"/>
                <w:sz w:val="18"/>
                <w:szCs w:val="18"/>
              </w:rPr>
              <w:t xml:space="preserve">No decision is taken</w:t>
            </w:r>
          </w:p>
        </w:tc>
      </w:tr>
      <w:tr>
        <w:tc>
          <w:tcPr>
            <w:tcW w:type="dxa" w:w="1700"/>
            <w:tcMar>
              <w:top w:type="dxa" w:w="60"/>
              <w:left w:type="dxa" w:w="90"/>
              <w:bottom w:type="dxa" w:w="60"/>
              <w:right w:type="dxa" w:w="90"/>
            </w:tcMar>
          </w:tcPr>
          <w:p>
            <w:pPr>
              <w:spacing w:after="0" w:line="240"/>
            </w:pPr>
            <w:r>
              <w:rPr>
                <w:b/>
                <w:bCs/>
                <w:sz w:val="18"/>
                <w:szCs w:val="18"/>
              </w:rPr>
              <w:t xml:space="preserve">Shared, under review</w:t>
            </w:r>
          </w:p>
        </w:tc>
        <w:tc>
          <w:tcPr>
            <w:tcW w:type="dxa" w:w="4560"/>
            <w:tcMar>
              <w:top w:type="dxa" w:w="60"/>
              <w:left w:type="dxa" w:w="90"/>
              <w:bottom w:type="dxa" w:w="60"/>
              <w:right w:type="dxa" w:w="90"/>
            </w:tcMar>
          </w:tcPr>
          <w:p>
            <w:pPr>
              <w:spacing w:after="0" w:line="240"/>
            </w:pPr>
            <w:r>
              <w:rPr>
                <w:b w:val="false"/>
                <w:bCs w:val="false"/>
                <w:sz w:val="18"/>
                <w:szCs w:val="18"/>
              </w:rPr>
              <w:t xml:space="preserve">Flags presented with the Consultant's response. PM accepts or dismisses each.</w:t>
            </w:r>
          </w:p>
        </w:tc>
        <w:tc>
          <w:tcPr>
            <w:tcW w:type="dxa" w:w="3100"/>
            <w:tcMar>
              <w:top w:type="dxa" w:w="60"/>
              <w:left w:type="dxa" w:w="90"/>
              <w:bottom w:type="dxa" w:w="60"/>
              <w:right w:type="dxa" w:w="90"/>
            </w:tcMar>
          </w:tcPr>
          <w:p>
            <w:pPr>
              <w:spacing w:after="0" w:line="240"/>
            </w:pPr>
            <w:r>
              <w:rPr>
                <w:b w:val="false"/>
                <w:bCs w:val="false"/>
                <w:sz w:val="18"/>
                <w:szCs w:val="18"/>
              </w:rPr>
              <w:t xml:space="preserve">PM team</w:t>
            </w:r>
          </w:p>
        </w:tc>
      </w:tr>
      <w:tr>
        <w:tc>
          <w:tcPr>
            <w:tcW w:type="dxa" w:w="1700"/>
            <w:shd w:fill="F2F5F9" w:color="auto" w:val="clear"/>
            <w:tcMar>
              <w:top w:type="dxa" w:w="60"/>
              <w:left w:type="dxa" w:w="90"/>
              <w:bottom w:type="dxa" w:w="60"/>
              <w:right w:type="dxa" w:w="90"/>
            </w:tcMar>
          </w:tcPr>
          <w:p>
            <w:pPr>
              <w:spacing w:after="0" w:line="240"/>
            </w:pPr>
            <w:r>
              <w:rPr>
                <w:b/>
                <w:bCs/>
                <w:sz w:val="18"/>
                <w:szCs w:val="18"/>
              </w:rPr>
              <w:t xml:space="preserve">Published</w:t>
            </w:r>
          </w:p>
        </w:tc>
        <w:tc>
          <w:tcPr>
            <w:tcW w:type="dxa" w:w="4560"/>
            <w:shd w:fill="F2F5F9" w:color="auto" w:val="clear"/>
            <w:tcMar>
              <w:top w:type="dxa" w:w="60"/>
              <w:left w:type="dxa" w:w="90"/>
              <w:bottom w:type="dxa" w:w="60"/>
              <w:right w:type="dxa" w:w="90"/>
            </w:tcMar>
          </w:tcPr>
          <w:p>
            <w:pPr>
              <w:spacing w:after="0" w:line="240"/>
            </w:pPr>
            <w:r>
              <w:rPr>
                <w:b w:val="false"/>
                <w:bCs w:val="false"/>
                <w:sz w:val="18"/>
                <w:szCs w:val="18"/>
              </w:rPr>
              <w:t xml:space="preserve">No checks. Entry to Published follows the PM team's approval only.</w:t>
            </w:r>
          </w:p>
        </w:tc>
        <w:tc>
          <w:tcPr>
            <w:tcW w:type="dxa" w:w="3100"/>
            <w:shd w:fill="F2F5F9" w:color="auto" w:val="clear"/>
            <w:tcMar>
              <w:top w:type="dxa" w:w="60"/>
              <w:left w:type="dxa" w:w="90"/>
              <w:bottom w:type="dxa" w:w="60"/>
              <w:right w:type="dxa" w:w="90"/>
            </w:tcMar>
          </w:tcPr>
          <w:p>
            <w:pPr>
              <w:spacing w:after="0" w:line="240"/>
            </w:pPr>
            <w:r>
              <w:rPr>
                <w:b w:val="false"/>
                <w:bCs w:val="false"/>
                <w:sz w:val="18"/>
                <w:szCs w:val="18"/>
              </w:rPr>
              <w:t xml:space="preserve">PM team</w:t>
            </w:r>
          </w:p>
        </w:tc>
      </w:tr>
    </w:tbl>
    <w:p>
      <w:pPr>
        <w:spacing w:after="140"/>
      </w:pPr>
      <w:r>
        <w:rPr>
          <w:i/>
          <w:iCs/>
          <w:color w:val="555555"/>
          <w:sz w:val="19"/>
          <w:szCs w:val="19"/>
        </w:rPr>
        <w:t xml:space="preserve">The flag-accepted versus flag-dismissed ratio is the success metric in the Platform PRD. Section 7 explains why the launch configuration should be deliberately conservative to protect it.</w:t>
      </w:r>
    </w:p>
    <w:p>
      <w:pPr>
        <w:pStyle w:val="Heading1"/>
        <w:spacing w:after="120" w:before="280"/>
      </w:pPr>
      <w:r>
        <w:rPr>
          <w:b/>
          <w:bCs/>
          <w:color w:val="1F3A5F"/>
          <w:sz w:val="26"/>
          <w:szCs w:val="26"/>
        </w:rPr>
        <w:t xml:space="preserve">4  Flag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60"/>
        <w:gridCol w:w="3300"/>
      </w:tblGrid>
      <w:tr>
        <w:trPr>
          <w:tblHeader/>
        </w:trPr>
        <w:tc>
          <w:tcPr>
            <w:tcW w:type="dxa" w:w="1500"/>
            <w:shd w:fill="1F3A5F" w:color="auto" w:val="clear"/>
            <w:tcMar>
              <w:top w:type="dxa" w:w="60"/>
              <w:left w:type="dxa" w:w="90"/>
              <w:bottom w:type="dxa" w:w="60"/>
              <w:right w:type="dxa" w:w="90"/>
            </w:tcMar>
          </w:tcPr>
          <w:p>
            <w:pPr>
              <w:spacing w:after="0" w:line="240"/>
            </w:pPr>
            <w:r>
              <w:rPr>
                <w:b/>
                <w:bCs/>
                <w:color w:val="FFFFFF"/>
                <w:sz w:val="18"/>
                <w:szCs w:val="18"/>
              </w:rPr>
              <w:t xml:space="preserve">Severity</w:t>
            </w:r>
          </w:p>
        </w:tc>
        <w:tc>
          <w:tcPr>
            <w:tcW w:type="dxa" w:w="4560"/>
            <w:shd w:fill="1F3A5F" w:color="auto" w:val="clear"/>
            <w:tcMar>
              <w:top w:type="dxa" w:w="60"/>
              <w:left w:type="dxa" w:w="90"/>
              <w:bottom w:type="dxa" w:w="60"/>
              <w:right w:type="dxa" w:w="90"/>
            </w:tcMar>
          </w:tcPr>
          <w:p>
            <w:pPr>
              <w:spacing w:after="0" w:line="240"/>
            </w:pPr>
            <w:r>
              <w:rPr>
                <w:b/>
                <w:bCs/>
                <w:color w:val="FFFFFF"/>
                <w:sz w:val="18"/>
                <w:szCs w:val="18"/>
              </w:rPr>
              <w:t xml:space="preserve">Meaning</w:t>
            </w:r>
          </w:p>
        </w:tc>
        <w:tc>
          <w:tcPr>
            <w:tcW w:type="dxa" w:w="3300"/>
            <w:shd w:fill="1F3A5F" w:color="auto" w:val="clear"/>
            <w:tcMar>
              <w:top w:type="dxa" w:w="60"/>
              <w:left w:type="dxa" w:w="90"/>
              <w:bottom w:type="dxa" w:w="60"/>
              <w:right w:type="dxa" w:w="90"/>
            </w:tcMar>
          </w:tcPr>
          <w:p>
            <w:pPr>
              <w:spacing w:after="0" w:line="240"/>
            </w:pPr>
            <w:r>
              <w:rPr>
                <w:b/>
                <w:bCs/>
                <w:color w:val="FFFFFF"/>
                <w:sz w:val="18"/>
                <w:szCs w:val="18"/>
              </w:rPr>
              <w:t xml:space="preserve">Default PM action</w:t>
            </w:r>
          </w:p>
        </w:tc>
      </w:tr>
      <w:tr>
        <w:tc>
          <w:tcPr>
            <w:tcW w:type="dxa" w:w="1500"/>
            <w:tcMar>
              <w:top w:type="dxa" w:w="60"/>
              <w:left w:type="dxa" w:w="90"/>
              <w:bottom w:type="dxa" w:w="60"/>
              <w:right w:type="dxa" w:w="90"/>
            </w:tcMar>
          </w:tcPr>
          <w:p>
            <w:pPr>
              <w:spacing w:after="0" w:line="240"/>
            </w:pPr>
            <w:r>
              <w:rPr>
                <w:b/>
                <w:bCs/>
                <w:sz w:val="18"/>
                <w:szCs w:val="18"/>
              </w:rPr>
              <w:t xml:space="preserve">Blocking</w:t>
            </w:r>
          </w:p>
        </w:tc>
        <w:tc>
          <w:tcPr>
            <w:tcW w:type="dxa" w:w="4560"/>
            <w:tcMar>
              <w:top w:type="dxa" w:w="60"/>
              <w:left w:type="dxa" w:w="90"/>
              <w:bottom w:type="dxa" w:w="60"/>
              <w:right w:type="dxa" w:w="90"/>
            </w:tcMar>
          </w:tcPr>
          <w:p>
            <w:pPr>
              <w:spacing w:after="0" w:line="240"/>
            </w:pPr>
            <w:r>
              <w:rPr>
                <w:b w:val="false"/>
                <w:bCs w:val="false"/>
                <w:sz w:val="18"/>
                <w:szCs w:val="18"/>
              </w:rPr>
              <w:t xml:space="preserve">A required element is absent or carries no evidence, so the section cannot be assessed at all.</w:t>
            </w:r>
          </w:p>
        </w:tc>
        <w:tc>
          <w:tcPr>
            <w:tcW w:type="dxa" w:w="3300"/>
            <w:tcMar>
              <w:top w:type="dxa" w:w="60"/>
              <w:left w:type="dxa" w:w="90"/>
              <w:bottom w:type="dxa" w:w="60"/>
              <w:right w:type="dxa" w:w="90"/>
            </w:tcMar>
          </w:tcPr>
          <w:p>
            <w:pPr>
              <w:spacing w:after="0" w:line="240"/>
            </w:pPr>
            <w:r>
              <w:rPr>
                <w:b w:val="false"/>
                <w:bCs w:val="false"/>
                <w:sz w:val="18"/>
                <w:szCs w:val="18"/>
              </w:rPr>
              <w:t xml:space="preserve">Return to the Consultant before review time is spent on it.</w:t>
            </w:r>
          </w:p>
        </w:tc>
      </w:tr>
      <w:tr>
        <w:tc>
          <w:tcPr>
            <w:tcW w:type="dxa" w:w="1500"/>
            <w:shd w:fill="F2F5F9" w:color="auto" w:val="clear"/>
            <w:tcMar>
              <w:top w:type="dxa" w:w="60"/>
              <w:left w:type="dxa" w:w="90"/>
              <w:bottom w:type="dxa" w:w="60"/>
              <w:right w:type="dxa" w:w="90"/>
            </w:tcMar>
          </w:tcPr>
          <w:p>
            <w:pPr>
              <w:spacing w:after="0" w:line="240"/>
            </w:pPr>
            <w:r>
              <w:rPr>
                <w:b/>
                <w:bCs/>
                <w:sz w:val="18"/>
                <w:szCs w:val="18"/>
              </w:rPr>
              <w:t xml:space="preserve">Material</w:t>
            </w:r>
          </w:p>
        </w:tc>
        <w:tc>
          <w:tcPr>
            <w:tcW w:type="dxa" w:w="4560"/>
            <w:shd w:fill="F2F5F9" w:color="auto" w:val="clear"/>
            <w:tcMar>
              <w:top w:type="dxa" w:w="60"/>
              <w:left w:type="dxa" w:w="90"/>
              <w:bottom w:type="dxa" w:w="60"/>
              <w:right w:type="dxa" w:w="90"/>
            </w:tcMar>
          </w:tcPr>
          <w:p>
            <w:pPr>
              <w:spacing w:after="0" w:line="240"/>
            </w:pPr>
            <w:r>
              <w:rPr>
                <w:b w:val="false"/>
                <w:bCs w:val="false"/>
                <w:sz w:val="18"/>
                <w:szCs w:val="18"/>
              </w:rPr>
              <w:t xml:space="preserve">Present, but deviates from the standard or a benchmark beyond the configured threshold.</w:t>
            </w:r>
          </w:p>
        </w:tc>
        <w:tc>
          <w:tcPr>
            <w:tcW w:type="dxa" w:w="3300"/>
            <w:shd w:fill="F2F5F9" w:color="auto" w:val="clear"/>
            <w:tcMar>
              <w:top w:type="dxa" w:w="60"/>
              <w:left w:type="dxa" w:w="90"/>
              <w:bottom w:type="dxa" w:w="60"/>
              <w:right w:type="dxa" w:w="90"/>
            </w:tcMar>
          </w:tcPr>
          <w:p>
            <w:pPr>
              <w:spacing w:after="0" w:line="240"/>
            </w:pPr>
            <w:r>
              <w:rPr>
                <w:b w:val="false"/>
                <w:bCs w:val="false"/>
                <w:sz w:val="18"/>
                <w:szCs w:val="18"/>
              </w:rPr>
              <w:t xml:space="preserve">Review alongside the Consultant's response.</w:t>
            </w:r>
          </w:p>
        </w:tc>
      </w:tr>
      <w:tr>
        <w:tc>
          <w:tcPr>
            <w:tcW w:type="dxa" w:w="1500"/>
            <w:tcMar>
              <w:top w:type="dxa" w:w="60"/>
              <w:left w:type="dxa" w:w="90"/>
              <w:bottom w:type="dxa" w:w="60"/>
              <w:right w:type="dxa" w:w="90"/>
            </w:tcMar>
          </w:tcPr>
          <w:p>
            <w:pPr>
              <w:spacing w:after="0" w:line="240"/>
            </w:pPr>
            <w:r>
              <w:rPr>
                <w:b/>
                <w:bCs/>
                <w:sz w:val="18"/>
                <w:szCs w:val="18"/>
              </w:rPr>
              <w:t xml:space="preserve">Advisory</w:t>
            </w:r>
          </w:p>
        </w:tc>
        <w:tc>
          <w:tcPr>
            <w:tcW w:type="dxa" w:w="4560"/>
            <w:tcMar>
              <w:top w:type="dxa" w:w="60"/>
              <w:left w:type="dxa" w:w="90"/>
              <w:bottom w:type="dxa" w:w="60"/>
              <w:right w:type="dxa" w:w="90"/>
            </w:tcMar>
          </w:tcPr>
          <w:p>
            <w:pPr>
              <w:spacing w:after="0" w:line="240"/>
            </w:pPr>
            <w:r>
              <w:rPr>
                <w:b w:val="false"/>
                <w:bCs w:val="false"/>
                <w:sz w:val="18"/>
                <w:szCs w:val="18"/>
              </w:rPr>
              <w:t xml:space="preserve">Formatting, consistency or traceability.</w:t>
            </w:r>
          </w:p>
        </w:tc>
        <w:tc>
          <w:tcPr>
            <w:tcW w:type="dxa" w:w="3300"/>
            <w:tcMar>
              <w:top w:type="dxa" w:w="60"/>
              <w:left w:type="dxa" w:w="90"/>
              <w:bottom w:type="dxa" w:w="60"/>
              <w:right w:type="dxa" w:w="90"/>
            </w:tcMar>
          </w:tcPr>
          <w:p>
            <w:pPr>
              <w:spacing w:after="0" w:line="240"/>
            </w:pPr>
            <w:r>
              <w:rPr>
                <w:b w:val="false"/>
                <w:bCs w:val="false"/>
                <w:sz w:val="18"/>
                <w:szCs w:val="18"/>
              </w:rPr>
              <w:t xml:space="preserve">Batch and clear at the decision gate.</w:t>
            </w:r>
          </w:p>
        </w:tc>
      </w:tr>
    </w:tbl>
    <w:p>
      <w:pPr>
        <w:pStyle w:val="Heading1"/>
        <w:spacing w:after="120" w:before="280"/>
      </w:pPr>
      <w:r>
        <w:rPr>
          <w:b/>
          <w:bCs/>
          <w:color w:val="1F3A5F"/>
          <w:sz w:val="26"/>
          <w:szCs w:val="26"/>
        </w:rPr>
        <w:t xml:space="preserve">5  Part A. Universal checks</w:t>
      </w:r>
    </w:p>
    <w:p>
      <w:pPr>
        <w:spacing w:after="120" w:line="264"/>
      </w:pPr>
      <w:r>
        <w:t xml:space="preserve">These run on every deliverable, in every section. They are cheap, they are machine-checkable, and they are where a first-pass check earns its keep.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1300"/>
        <w:gridCol w:w="2160"/>
      </w:tblGrid>
      <w:tr>
        <w:trPr>
          <w:tblHeader/>
        </w:trPr>
        <w:tc>
          <w:tcPr>
            <w:tcW w:type="dxa" w:w="700"/>
            <w:shd w:fill="1F3A5F" w:color="auto" w:val="clear"/>
            <w:tcMar>
              <w:top w:type="dxa" w:w="60"/>
              <w:left w:type="dxa" w:w="90"/>
              <w:bottom w:type="dxa" w:w="60"/>
              <w:right w:type="dxa" w:w="90"/>
            </w:tcMar>
          </w:tcPr>
          <w:p>
            <w:pPr>
              <w:spacing w:after="0" w:line="240"/>
            </w:pPr>
            <w:r>
              <w:rPr>
                <w:b/>
                <w:bCs/>
                <w:color w:val="FFFFFF"/>
                <w:sz w:val="18"/>
                <w:szCs w:val="18"/>
              </w:rPr>
              <w:t xml:space="preserve">ID</w:t>
            </w:r>
          </w:p>
        </w:tc>
        <w:tc>
          <w:tcPr>
            <w:tcW w:type="dxa" w:w="5200"/>
            <w:shd w:fill="1F3A5F" w:color="auto" w:val="clear"/>
            <w:tcMar>
              <w:top w:type="dxa" w:w="60"/>
              <w:left w:type="dxa" w:w="90"/>
              <w:bottom w:type="dxa" w:w="60"/>
              <w:right w:type="dxa" w:w="90"/>
            </w:tcMar>
          </w:tcPr>
          <w:p>
            <w:pPr>
              <w:spacing w:after="0" w:line="240"/>
            </w:pPr>
            <w:r>
              <w:rPr>
                <w:b/>
                <w:bCs/>
                <w:color w:val="FFFFFF"/>
                <w:sz w:val="18"/>
                <w:szCs w:val="18"/>
              </w:rPr>
              <w:t xml:space="preserve">Check</w:t>
            </w:r>
          </w:p>
        </w:tc>
        <w:tc>
          <w:tcPr>
            <w:tcW w:type="dxa" w:w="1300"/>
            <w:shd w:fill="1F3A5F" w:color="auto" w:val="clear"/>
            <w:tcMar>
              <w:top w:type="dxa" w:w="60"/>
              <w:left w:type="dxa" w:w="90"/>
              <w:bottom w:type="dxa" w:w="60"/>
              <w:right w:type="dxa" w:w="90"/>
            </w:tcMar>
          </w:tcPr>
          <w:p>
            <w:pPr>
              <w:spacing w:after="0" w:line="240"/>
            </w:pPr>
            <w:r>
              <w:rPr>
                <w:b/>
                <w:bCs/>
                <w:color w:val="FFFFFF"/>
                <w:sz w:val="18"/>
                <w:szCs w:val="18"/>
              </w:rPr>
              <w:t xml:space="preserve">Severity</w:t>
            </w:r>
          </w:p>
        </w:tc>
        <w:tc>
          <w:tcPr>
            <w:tcW w:type="dxa" w:w="2160"/>
            <w:shd w:fill="1F3A5F" w:color="auto" w:val="clear"/>
            <w:tcMar>
              <w:top w:type="dxa" w:w="60"/>
              <w:left w:type="dxa" w:w="90"/>
              <w:bottom w:type="dxa" w:w="60"/>
              <w:right w:type="dxa" w:w="90"/>
            </w:tcMar>
          </w:tcPr>
          <w:p>
            <w:pPr>
              <w:spacing w:after="0" w:line="240"/>
            </w:pPr>
            <w:r>
              <w:rPr>
                <w:b/>
                <w:bCs/>
                <w:color w:val="FFFFFF"/>
                <w:sz w:val="18"/>
                <w:szCs w:val="18"/>
              </w:rPr>
              <w:t xml:space="preserve">Run by</w:t>
            </w:r>
          </w:p>
        </w:tc>
      </w:tr>
      <w:tr>
        <w:tc>
          <w:tcPr>
            <w:tcW w:type="dxa" w:w="700"/>
            <w:tcMar>
              <w:top w:type="dxa" w:w="60"/>
              <w:left w:type="dxa" w:w="90"/>
              <w:bottom w:type="dxa" w:w="60"/>
              <w:right w:type="dxa" w:w="90"/>
            </w:tcMar>
          </w:tcPr>
          <w:p>
            <w:pPr>
              <w:spacing w:after="0" w:line="240"/>
            </w:pPr>
            <w:r>
              <w:rPr>
                <w:b/>
                <w:bCs/>
                <w:sz w:val="18"/>
                <w:szCs w:val="18"/>
              </w:rPr>
              <w:t xml:space="preserve">U-1</w:t>
            </w:r>
          </w:p>
        </w:tc>
        <w:tc>
          <w:tcPr>
            <w:tcW w:type="dxa" w:w="5200"/>
            <w:tcMar>
              <w:top w:type="dxa" w:w="60"/>
              <w:left w:type="dxa" w:w="90"/>
              <w:bottom w:type="dxa" w:w="60"/>
              <w:right w:type="dxa" w:w="90"/>
            </w:tcMar>
          </w:tcPr>
          <w:p>
            <w:pPr>
              <w:spacing w:after="0" w:line="240"/>
            </w:pPr>
            <w:r>
              <w:rPr>
                <w:b w:val="false"/>
                <w:bCs w:val="false"/>
                <w:sz w:val="18"/>
                <w:szCs w:val="18"/>
              </w:rPr>
              <w:t xml:space="preserve">Every quantitative claim carries a source reference.</w:t>
            </w:r>
          </w:p>
        </w:tc>
        <w:tc>
          <w:tcPr>
            <w:tcW w:type="dxa" w:w="1300"/>
            <w:tcMar>
              <w:top w:type="dxa" w:w="60"/>
              <w:left w:type="dxa" w:w="90"/>
              <w:bottom w:type="dxa" w:w="60"/>
              <w:right w:type="dxa" w:w="90"/>
            </w:tcMar>
          </w:tcPr>
          <w:p>
            <w:pPr>
              <w:spacing w:after="0" w:line="240"/>
            </w:pPr>
            <w:r>
              <w:rPr>
                <w:b w:val="false"/>
                <w:bCs w:val="false"/>
                <w:sz w:val="18"/>
                <w:szCs w:val="18"/>
              </w:rPr>
              <w:t xml:space="preserve">Blocking</w:t>
            </w:r>
          </w:p>
        </w:tc>
        <w:tc>
          <w:tcPr>
            <w:tcW w:type="dxa" w:w="2160"/>
            <w:tcMar>
              <w:top w:type="dxa" w:w="60"/>
              <w:left w:type="dxa" w:w="90"/>
              <w:bottom w:type="dxa" w:w="60"/>
              <w:right w:type="dxa" w:w="90"/>
            </w:tcMar>
          </w:tcPr>
          <w:p>
            <w:pPr>
              <w:spacing w:after="0" w:line="240"/>
            </w:pPr>
            <w:r>
              <w:rPr>
                <w:b w:val="false"/>
                <w:bCs w:val="false"/>
                <w:sz w:val="18"/>
                <w:szCs w:val="18"/>
              </w:rPr>
              <w:t xml:space="preserve">Machine flags absence; PM judges adequacy</w:t>
            </w:r>
          </w:p>
        </w:tc>
      </w:tr>
      <w:tr>
        <w:tc>
          <w:tcPr>
            <w:tcW w:type="dxa" w:w="700"/>
            <w:shd w:fill="F2F5F9" w:color="auto" w:val="clear"/>
            <w:tcMar>
              <w:top w:type="dxa" w:w="60"/>
              <w:left w:type="dxa" w:w="90"/>
              <w:bottom w:type="dxa" w:w="60"/>
              <w:right w:type="dxa" w:w="90"/>
            </w:tcMar>
          </w:tcPr>
          <w:p>
            <w:pPr>
              <w:spacing w:after="0" w:line="240"/>
            </w:pPr>
            <w:r>
              <w:rPr>
                <w:b/>
                <w:bCs/>
                <w:sz w:val="18"/>
                <w:szCs w:val="18"/>
              </w:rPr>
              <w:t xml:space="preserve">U-2</w:t>
            </w:r>
          </w:p>
        </w:tc>
        <w:tc>
          <w:tcPr>
            <w:tcW w:type="dxa" w:w="5200"/>
            <w:shd w:fill="F2F5F9" w:color="auto" w:val="clear"/>
            <w:tcMar>
              <w:top w:type="dxa" w:w="60"/>
              <w:left w:type="dxa" w:w="90"/>
              <w:bottom w:type="dxa" w:w="60"/>
              <w:right w:type="dxa" w:w="90"/>
            </w:tcMar>
          </w:tcPr>
          <w:p>
            <w:pPr>
              <w:spacing w:after="0" w:line="240"/>
            </w:pPr>
            <w:r>
              <w:rPr>
                <w:b w:val="false"/>
                <w:bCs w:val="false"/>
                <w:sz w:val="18"/>
                <w:szCs w:val="18"/>
              </w:rPr>
              <w:t xml:space="preserve">Units are stated and consistent. No non-currency quantity is summed into a currency total.</w:t>
            </w:r>
          </w:p>
        </w:tc>
        <w:tc>
          <w:tcPr>
            <w:tcW w:type="dxa" w:w="1300"/>
            <w:shd w:fill="F2F5F9" w:color="auto" w:val="clear"/>
            <w:tcMar>
              <w:top w:type="dxa" w:w="60"/>
              <w:left w:type="dxa" w:w="90"/>
              <w:bottom w:type="dxa" w:w="60"/>
              <w:right w:type="dxa" w:w="90"/>
            </w:tcMar>
          </w:tcPr>
          <w:p>
            <w:pPr>
              <w:spacing w:after="0" w:line="240"/>
            </w:pPr>
            <w:r>
              <w:rPr>
                <w:b w:val="false"/>
                <w:bCs w:val="false"/>
                <w:sz w:val="18"/>
                <w:szCs w:val="18"/>
              </w:rPr>
              <w:t xml:space="preserve">Blocking</w:t>
            </w:r>
          </w:p>
        </w:tc>
        <w:tc>
          <w:tcPr>
            <w:tcW w:type="dxa" w:w="2160"/>
            <w:shd w:fill="F2F5F9" w:color="auto" w:val="clear"/>
            <w:tcMar>
              <w:top w:type="dxa" w:w="60"/>
              <w:left w:type="dxa" w:w="90"/>
              <w:bottom w:type="dxa" w:w="60"/>
              <w:right w:type="dxa" w:w="90"/>
            </w:tcMar>
          </w:tcPr>
          <w:p>
            <w:pPr>
              <w:spacing w:after="0" w:line="240"/>
            </w:pPr>
            <w:r>
              <w:rPr>
                <w:b w:val="false"/>
                <w:bCs w:val="false"/>
                <w:sz w:val="18"/>
                <w:szCs w:val="18"/>
              </w:rPr>
              <w:t xml:space="preserve">Machine</w:t>
            </w:r>
          </w:p>
        </w:tc>
      </w:tr>
      <w:tr>
        <w:tc>
          <w:tcPr>
            <w:tcW w:type="dxa" w:w="700"/>
            <w:tcMar>
              <w:top w:type="dxa" w:w="60"/>
              <w:left w:type="dxa" w:w="90"/>
              <w:bottom w:type="dxa" w:w="60"/>
              <w:right w:type="dxa" w:w="90"/>
            </w:tcMar>
          </w:tcPr>
          <w:p>
            <w:pPr>
              <w:spacing w:after="0" w:line="240"/>
            </w:pPr>
            <w:r>
              <w:rPr>
                <w:b/>
                <w:bCs/>
                <w:sz w:val="18"/>
                <w:szCs w:val="18"/>
              </w:rPr>
              <w:t xml:space="preserve">U-3</w:t>
            </w:r>
          </w:p>
        </w:tc>
        <w:tc>
          <w:tcPr>
            <w:tcW w:type="dxa" w:w="5200"/>
            <w:tcMar>
              <w:top w:type="dxa" w:w="60"/>
              <w:left w:type="dxa" w:w="90"/>
              <w:bottom w:type="dxa" w:w="60"/>
              <w:right w:type="dxa" w:w="90"/>
            </w:tcMar>
          </w:tcPr>
          <w:p>
            <w:pPr>
              <w:spacing w:after="0" w:line="240"/>
            </w:pPr>
            <w:r>
              <w:rPr>
                <w:b w:val="false"/>
                <w:bCs w:val="false"/>
                <w:sz w:val="18"/>
                <w:szCs w:val="18"/>
              </w:rPr>
              <w:t xml:space="preserve">Every total recomputes from its stated components.</w:t>
            </w:r>
          </w:p>
        </w:tc>
        <w:tc>
          <w:tcPr>
            <w:tcW w:type="dxa" w:w="1300"/>
            <w:tcMar>
              <w:top w:type="dxa" w:w="60"/>
              <w:left w:type="dxa" w:w="90"/>
              <w:bottom w:type="dxa" w:w="60"/>
              <w:right w:type="dxa" w:w="90"/>
            </w:tcMar>
          </w:tcPr>
          <w:p>
            <w:pPr>
              <w:spacing w:after="0" w:line="240"/>
            </w:pPr>
            <w:r>
              <w:rPr>
                <w:b w:val="false"/>
                <w:bCs w:val="false"/>
                <w:sz w:val="18"/>
                <w:szCs w:val="18"/>
              </w:rPr>
              <w:t xml:space="preserve">Blocking</w:t>
            </w:r>
          </w:p>
        </w:tc>
        <w:tc>
          <w:tcPr>
            <w:tcW w:type="dxa" w:w="2160"/>
            <w:tcMar>
              <w:top w:type="dxa" w:w="60"/>
              <w:left w:type="dxa" w:w="90"/>
              <w:bottom w:type="dxa" w:w="60"/>
              <w:right w:type="dxa" w:w="90"/>
            </w:tcMar>
          </w:tcPr>
          <w:p>
            <w:pPr>
              <w:spacing w:after="0" w:line="240"/>
            </w:pPr>
            <w:r>
              <w:rPr>
                <w:b w:val="false"/>
                <w:bCs w:val="false"/>
                <w:sz w:val="18"/>
                <w:szCs w:val="18"/>
              </w:rPr>
              <w:t xml:space="preserve">Machine</w:t>
            </w:r>
          </w:p>
        </w:tc>
      </w:tr>
      <w:tr>
        <w:tc>
          <w:tcPr>
            <w:tcW w:type="dxa" w:w="700"/>
            <w:shd w:fill="F2F5F9" w:color="auto" w:val="clear"/>
            <w:tcMar>
              <w:top w:type="dxa" w:w="60"/>
              <w:left w:type="dxa" w:w="90"/>
              <w:bottom w:type="dxa" w:w="60"/>
              <w:right w:type="dxa" w:w="90"/>
            </w:tcMar>
          </w:tcPr>
          <w:p>
            <w:pPr>
              <w:spacing w:after="0" w:line="240"/>
            </w:pPr>
            <w:r>
              <w:rPr>
                <w:b/>
                <w:bCs/>
                <w:sz w:val="18"/>
                <w:szCs w:val="18"/>
              </w:rPr>
              <w:t xml:space="preserve">U-4</w:t>
            </w:r>
          </w:p>
        </w:tc>
        <w:tc>
          <w:tcPr>
            <w:tcW w:type="dxa" w:w="5200"/>
            <w:shd w:fill="F2F5F9" w:color="auto" w:val="clear"/>
            <w:tcMar>
              <w:top w:type="dxa" w:w="60"/>
              <w:left w:type="dxa" w:w="90"/>
              <w:bottom w:type="dxa" w:w="60"/>
              <w:right w:type="dxa" w:w="90"/>
            </w:tcMar>
          </w:tcPr>
          <w:p>
            <w:pPr>
              <w:spacing w:after="0" w:line="240"/>
            </w:pPr>
            <w:r>
              <w:rPr>
                <w:b w:val="false"/>
                <w:bCs w:val="false"/>
                <w:sz w:val="18"/>
                <w:szCs w:val="18"/>
              </w:rPr>
              <w:t xml:space="preserve">Every percentage recomputes from its stated base.</w:t>
            </w:r>
          </w:p>
        </w:tc>
        <w:tc>
          <w:tcPr>
            <w:tcW w:type="dxa" w:w="1300"/>
            <w:shd w:fill="F2F5F9" w:color="auto" w:val="clear"/>
            <w:tcMar>
              <w:top w:type="dxa" w:w="60"/>
              <w:left w:type="dxa" w:w="90"/>
              <w:bottom w:type="dxa" w:w="60"/>
              <w:right w:type="dxa" w:w="90"/>
            </w:tcMar>
          </w:tcPr>
          <w:p>
            <w:pPr>
              <w:spacing w:after="0" w:line="240"/>
            </w:pPr>
            <w:r>
              <w:rPr>
                <w:b w:val="false"/>
                <w:bCs w:val="false"/>
                <w:sz w:val="18"/>
                <w:szCs w:val="18"/>
              </w:rPr>
              <w:t xml:space="preserve">Material</w:t>
            </w:r>
          </w:p>
        </w:tc>
        <w:tc>
          <w:tcPr>
            <w:tcW w:type="dxa" w:w="2160"/>
            <w:shd w:fill="F2F5F9" w:color="auto" w:val="clear"/>
            <w:tcMar>
              <w:top w:type="dxa" w:w="60"/>
              <w:left w:type="dxa" w:w="90"/>
              <w:bottom w:type="dxa" w:w="60"/>
              <w:right w:type="dxa" w:w="90"/>
            </w:tcMar>
          </w:tcPr>
          <w:p>
            <w:pPr>
              <w:spacing w:after="0" w:line="240"/>
            </w:pPr>
            <w:r>
              <w:rPr>
                <w:b w:val="false"/>
                <w:bCs w:val="false"/>
                <w:sz w:val="18"/>
                <w:szCs w:val="18"/>
              </w:rPr>
              <w:t xml:space="preserve">Machine</w:t>
            </w:r>
          </w:p>
        </w:tc>
      </w:tr>
      <w:tr>
        <w:tc>
          <w:tcPr>
            <w:tcW w:type="dxa" w:w="700"/>
            <w:tcMar>
              <w:top w:type="dxa" w:w="60"/>
              <w:left w:type="dxa" w:w="90"/>
              <w:bottom w:type="dxa" w:w="60"/>
              <w:right w:type="dxa" w:w="90"/>
            </w:tcMar>
          </w:tcPr>
          <w:p>
            <w:pPr>
              <w:spacing w:after="0" w:line="240"/>
            </w:pPr>
            <w:r>
              <w:rPr>
                <w:b/>
                <w:bCs/>
                <w:sz w:val="18"/>
                <w:szCs w:val="18"/>
              </w:rPr>
              <w:t xml:space="preserve">U-5</w:t>
            </w:r>
          </w:p>
        </w:tc>
        <w:tc>
          <w:tcPr>
            <w:tcW w:type="dxa" w:w="5200"/>
            <w:tcMar>
              <w:top w:type="dxa" w:w="60"/>
              <w:left w:type="dxa" w:w="90"/>
              <w:bottom w:type="dxa" w:w="60"/>
              <w:right w:type="dxa" w:w="90"/>
            </w:tcMar>
          </w:tcPr>
          <w:p>
            <w:pPr>
              <w:spacing w:after="0" w:line="240"/>
            </w:pPr>
            <w:r>
              <w:rPr>
                <w:b w:val="false"/>
                <w:bCs w:val="false"/>
                <w:sz w:val="18"/>
                <w:szCs w:val="18"/>
              </w:rPr>
              <w:t xml:space="preserve">Acronyms expanded at first use.</w:t>
            </w:r>
          </w:p>
        </w:tc>
        <w:tc>
          <w:tcPr>
            <w:tcW w:type="dxa" w:w="1300"/>
            <w:tcMar>
              <w:top w:type="dxa" w:w="60"/>
              <w:left w:type="dxa" w:w="90"/>
              <w:bottom w:type="dxa" w:w="60"/>
              <w:right w:type="dxa" w:w="90"/>
            </w:tcMar>
          </w:tcPr>
          <w:p>
            <w:pPr>
              <w:spacing w:after="0" w:line="240"/>
            </w:pPr>
            <w:r>
              <w:rPr>
                <w:b w:val="false"/>
                <w:bCs w:val="false"/>
                <w:sz w:val="18"/>
                <w:szCs w:val="18"/>
              </w:rPr>
              <w:t xml:space="preserve">Advisory</w:t>
            </w:r>
          </w:p>
        </w:tc>
        <w:tc>
          <w:tcPr>
            <w:tcW w:type="dxa" w:w="2160"/>
            <w:tcMar>
              <w:top w:type="dxa" w:w="60"/>
              <w:left w:type="dxa" w:w="90"/>
              <w:bottom w:type="dxa" w:w="60"/>
              <w:right w:type="dxa" w:w="90"/>
            </w:tcMar>
          </w:tcPr>
          <w:p>
            <w:pPr>
              <w:spacing w:after="0" w:line="240"/>
            </w:pPr>
            <w:r>
              <w:rPr>
                <w:b w:val="false"/>
                <w:bCs w:val="false"/>
                <w:sz w:val="18"/>
                <w:szCs w:val="18"/>
              </w:rPr>
              <w:t xml:space="preserve">Machine</w:t>
            </w:r>
          </w:p>
        </w:tc>
      </w:tr>
      <w:tr>
        <w:tc>
          <w:tcPr>
            <w:tcW w:type="dxa" w:w="700"/>
            <w:shd w:fill="F2F5F9" w:color="auto" w:val="clear"/>
            <w:tcMar>
              <w:top w:type="dxa" w:w="60"/>
              <w:left w:type="dxa" w:w="90"/>
              <w:bottom w:type="dxa" w:w="60"/>
              <w:right w:type="dxa" w:w="90"/>
            </w:tcMar>
          </w:tcPr>
          <w:p>
            <w:pPr>
              <w:spacing w:after="0" w:line="240"/>
            </w:pPr>
            <w:r>
              <w:rPr>
                <w:b/>
                <w:bCs/>
                <w:sz w:val="18"/>
                <w:szCs w:val="18"/>
              </w:rPr>
              <w:t xml:space="preserve">U-6</w:t>
            </w:r>
          </w:p>
        </w:tc>
        <w:tc>
          <w:tcPr>
            <w:tcW w:type="dxa" w:w="5200"/>
            <w:shd w:fill="F2F5F9" w:color="auto" w:val="clear"/>
            <w:tcMar>
              <w:top w:type="dxa" w:w="60"/>
              <w:left w:type="dxa" w:w="90"/>
              <w:bottom w:type="dxa" w:w="60"/>
              <w:right w:type="dxa" w:w="90"/>
            </w:tcMar>
          </w:tcPr>
          <w:p>
            <w:pPr>
              <w:spacing w:after="0" w:line="240"/>
            </w:pPr>
            <w:r>
              <w:rPr>
                <w:b w:val="false"/>
                <w:bCs w:val="false"/>
                <w:sz w:val="18"/>
                <w:szCs w:val="18"/>
              </w:rPr>
              <w:t xml:space="preserve">Figures and tables numbered, titled and sourced.</w:t>
            </w:r>
          </w:p>
        </w:tc>
        <w:tc>
          <w:tcPr>
            <w:tcW w:type="dxa" w:w="1300"/>
            <w:shd w:fill="F2F5F9" w:color="auto" w:val="clear"/>
            <w:tcMar>
              <w:top w:type="dxa" w:w="60"/>
              <w:left w:type="dxa" w:w="90"/>
              <w:bottom w:type="dxa" w:w="60"/>
              <w:right w:type="dxa" w:w="90"/>
            </w:tcMar>
          </w:tcPr>
          <w:p>
            <w:pPr>
              <w:spacing w:after="0" w:line="240"/>
            </w:pPr>
            <w:r>
              <w:rPr>
                <w:b w:val="false"/>
                <w:bCs w:val="false"/>
                <w:sz w:val="18"/>
                <w:szCs w:val="18"/>
              </w:rPr>
              <w:t xml:space="preserve">Advisory</w:t>
            </w:r>
          </w:p>
        </w:tc>
        <w:tc>
          <w:tcPr>
            <w:tcW w:type="dxa" w:w="2160"/>
            <w:shd w:fill="F2F5F9" w:color="auto" w:val="clear"/>
            <w:tcMar>
              <w:top w:type="dxa" w:w="60"/>
              <w:left w:type="dxa" w:w="90"/>
              <w:bottom w:type="dxa" w:w="60"/>
              <w:right w:type="dxa" w:w="90"/>
            </w:tcMar>
          </w:tcPr>
          <w:p>
            <w:pPr>
              <w:spacing w:after="0" w:line="240"/>
            </w:pPr>
            <w:r>
              <w:rPr>
                <w:b w:val="false"/>
                <w:bCs w:val="false"/>
                <w:sz w:val="18"/>
                <w:szCs w:val="18"/>
              </w:rPr>
              <w:t xml:space="preserve">Machine</w:t>
            </w:r>
          </w:p>
        </w:tc>
      </w:tr>
      <w:tr>
        <w:tc>
          <w:tcPr>
            <w:tcW w:type="dxa" w:w="700"/>
            <w:tcMar>
              <w:top w:type="dxa" w:w="60"/>
              <w:left w:type="dxa" w:w="90"/>
              <w:bottom w:type="dxa" w:w="60"/>
              <w:right w:type="dxa" w:w="90"/>
            </w:tcMar>
          </w:tcPr>
          <w:p>
            <w:pPr>
              <w:spacing w:after="0" w:line="240"/>
            </w:pPr>
            <w:r>
              <w:rPr>
                <w:b/>
                <w:bCs/>
                <w:sz w:val="18"/>
                <w:szCs w:val="18"/>
              </w:rPr>
              <w:t xml:space="preserve">U-7</w:t>
            </w:r>
          </w:p>
        </w:tc>
        <w:tc>
          <w:tcPr>
            <w:tcW w:type="dxa" w:w="5200"/>
            <w:tcMar>
              <w:top w:type="dxa" w:w="60"/>
              <w:left w:type="dxa" w:w="90"/>
              <w:bottom w:type="dxa" w:w="60"/>
              <w:right w:type="dxa" w:w="90"/>
            </w:tcMar>
          </w:tcPr>
          <w:p>
            <w:pPr>
              <w:spacing w:after="0" w:line="240"/>
            </w:pPr>
            <w:r>
              <w:rPr>
                <w:b w:val="false"/>
                <w:bCs w:val="false"/>
                <w:sz w:val="18"/>
                <w:szCs w:val="18"/>
              </w:rPr>
              <w:t xml:space="preserve">Version and revision history present.</w:t>
            </w:r>
          </w:p>
        </w:tc>
        <w:tc>
          <w:tcPr>
            <w:tcW w:type="dxa" w:w="1300"/>
            <w:tcMar>
              <w:top w:type="dxa" w:w="60"/>
              <w:left w:type="dxa" w:w="90"/>
              <w:bottom w:type="dxa" w:w="60"/>
              <w:right w:type="dxa" w:w="90"/>
            </w:tcMar>
          </w:tcPr>
          <w:p>
            <w:pPr>
              <w:spacing w:after="0" w:line="240"/>
            </w:pPr>
            <w:r>
              <w:rPr>
                <w:b w:val="false"/>
                <w:bCs w:val="false"/>
                <w:sz w:val="18"/>
                <w:szCs w:val="18"/>
              </w:rPr>
              <w:t xml:space="preserve">Blocking</w:t>
            </w:r>
          </w:p>
        </w:tc>
        <w:tc>
          <w:tcPr>
            <w:tcW w:type="dxa" w:w="2160"/>
            <w:tcMar>
              <w:top w:type="dxa" w:w="60"/>
              <w:left w:type="dxa" w:w="90"/>
              <w:bottom w:type="dxa" w:w="60"/>
              <w:right w:type="dxa" w:w="90"/>
            </w:tcMar>
          </w:tcPr>
          <w:p>
            <w:pPr>
              <w:spacing w:after="0" w:line="240"/>
            </w:pPr>
            <w:r>
              <w:rPr>
                <w:b w:val="false"/>
                <w:bCs w:val="false"/>
                <w:sz w:val="18"/>
                <w:szCs w:val="18"/>
              </w:rPr>
              <w:t xml:space="preserve">Machine</w:t>
            </w:r>
          </w:p>
        </w:tc>
      </w:tr>
      <w:tr>
        <w:tc>
          <w:tcPr>
            <w:tcW w:type="dxa" w:w="700"/>
            <w:shd w:fill="F2F5F9" w:color="auto" w:val="clear"/>
            <w:tcMar>
              <w:top w:type="dxa" w:w="60"/>
              <w:left w:type="dxa" w:w="90"/>
              <w:bottom w:type="dxa" w:w="60"/>
              <w:right w:type="dxa" w:w="90"/>
            </w:tcMar>
          </w:tcPr>
          <w:p>
            <w:pPr>
              <w:spacing w:after="0" w:line="240"/>
            </w:pPr>
            <w:r>
              <w:rPr>
                <w:b/>
                <w:bCs/>
                <w:sz w:val="18"/>
                <w:szCs w:val="18"/>
              </w:rPr>
              <w:t xml:space="preserve">U-8</w:t>
            </w:r>
          </w:p>
        </w:tc>
        <w:tc>
          <w:tcPr>
            <w:tcW w:type="dxa" w:w="5200"/>
            <w:shd w:fill="F2F5F9" w:color="auto" w:val="clear"/>
            <w:tcMar>
              <w:top w:type="dxa" w:w="60"/>
              <w:left w:type="dxa" w:w="90"/>
              <w:bottom w:type="dxa" w:w="60"/>
              <w:right w:type="dxa" w:w="90"/>
            </w:tcMar>
          </w:tcPr>
          <w:p>
            <w:pPr>
              <w:spacing w:after="0" w:line="240"/>
            </w:pPr>
            <w:r>
              <w:rPr>
                <w:b w:val="false"/>
                <w:bCs w:val="false"/>
                <w:sz w:val="18"/>
                <w:szCs w:val="18"/>
              </w:rPr>
              <w:t xml:space="preserve">Consultant sign-off present, per TOR Section 8.3.</w:t>
            </w:r>
          </w:p>
        </w:tc>
        <w:tc>
          <w:tcPr>
            <w:tcW w:type="dxa" w:w="1300"/>
            <w:shd w:fill="F2F5F9" w:color="auto" w:val="clear"/>
            <w:tcMar>
              <w:top w:type="dxa" w:w="60"/>
              <w:left w:type="dxa" w:w="90"/>
              <w:bottom w:type="dxa" w:w="60"/>
              <w:right w:type="dxa" w:w="90"/>
            </w:tcMar>
          </w:tcPr>
          <w:p>
            <w:pPr>
              <w:spacing w:after="0" w:line="240"/>
            </w:pPr>
            <w:r>
              <w:rPr>
                <w:b w:val="false"/>
                <w:bCs w:val="false"/>
                <w:sz w:val="18"/>
                <w:szCs w:val="18"/>
              </w:rPr>
              <w:t xml:space="preserve">Blocking</w:t>
            </w:r>
          </w:p>
        </w:tc>
        <w:tc>
          <w:tcPr>
            <w:tcW w:type="dxa" w:w="2160"/>
            <w:shd w:fill="F2F5F9" w:color="auto" w:val="clear"/>
            <w:tcMar>
              <w:top w:type="dxa" w:w="60"/>
              <w:left w:type="dxa" w:w="90"/>
              <w:bottom w:type="dxa" w:w="60"/>
              <w:right w:type="dxa" w:w="90"/>
            </w:tcMar>
          </w:tcPr>
          <w:p>
            <w:pPr>
              <w:spacing w:after="0" w:line="240"/>
            </w:pPr>
            <w:r>
              <w:rPr>
                <w:b w:val="false"/>
                <w:bCs w:val="false"/>
                <w:sz w:val="18"/>
                <w:szCs w:val="18"/>
              </w:rPr>
              <w:t xml:space="preserve">Machine</w:t>
            </w:r>
          </w:p>
        </w:tc>
      </w:tr>
      <w:tr>
        <w:tc>
          <w:tcPr>
            <w:tcW w:type="dxa" w:w="700"/>
            <w:tcMar>
              <w:top w:type="dxa" w:w="60"/>
              <w:left w:type="dxa" w:w="90"/>
              <w:bottom w:type="dxa" w:w="60"/>
              <w:right w:type="dxa" w:w="90"/>
            </w:tcMar>
          </w:tcPr>
          <w:p>
            <w:pPr>
              <w:spacing w:after="0" w:line="240"/>
            </w:pPr>
            <w:r>
              <w:rPr>
                <w:b/>
                <w:bCs/>
                <w:sz w:val="18"/>
                <w:szCs w:val="18"/>
              </w:rPr>
              <w:t xml:space="preserve">U-9</w:t>
            </w:r>
          </w:p>
        </w:tc>
        <w:tc>
          <w:tcPr>
            <w:tcW w:type="dxa" w:w="5200"/>
            <w:tcMar>
              <w:top w:type="dxa" w:w="60"/>
              <w:left w:type="dxa" w:w="90"/>
              <w:bottom w:type="dxa" w:w="60"/>
              <w:right w:type="dxa" w:w="90"/>
            </w:tcMar>
          </w:tcPr>
          <w:p>
            <w:pPr>
              <w:spacing w:after="0" w:line="240"/>
            </w:pPr>
            <w:r>
              <w:rPr>
                <w:b w:val="false"/>
                <w:bCs w:val="false"/>
                <w:sz w:val="18"/>
                <w:szCs w:val="18"/>
              </w:rPr>
              <w:t xml:space="preserve">A given value is identical wherever it appears across deliverables.</w:t>
            </w:r>
          </w:p>
        </w:tc>
        <w:tc>
          <w:tcPr>
            <w:tcW w:type="dxa" w:w="1300"/>
            <w:tcMar>
              <w:top w:type="dxa" w:w="60"/>
              <w:left w:type="dxa" w:w="90"/>
              <w:bottom w:type="dxa" w:w="60"/>
              <w:right w:type="dxa" w:w="90"/>
            </w:tcMar>
          </w:tcPr>
          <w:p>
            <w:pPr>
              <w:spacing w:after="0" w:line="240"/>
            </w:pPr>
            <w:r>
              <w:rPr>
                <w:b w:val="false"/>
                <w:bCs w:val="false"/>
                <w:sz w:val="18"/>
                <w:szCs w:val="18"/>
              </w:rPr>
              <w:t xml:space="preserve">Material</w:t>
            </w:r>
          </w:p>
        </w:tc>
        <w:tc>
          <w:tcPr>
            <w:tcW w:type="dxa" w:w="2160"/>
            <w:tcMar>
              <w:top w:type="dxa" w:w="60"/>
              <w:left w:type="dxa" w:w="90"/>
              <w:bottom w:type="dxa" w:w="60"/>
              <w:right w:type="dxa" w:w="90"/>
            </w:tcMar>
          </w:tcPr>
          <w:p>
            <w:pPr>
              <w:spacing w:after="0" w:line="240"/>
            </w:pPr>
            <w:r>
              <w:rPr>
                <w:b w:val="false"/>
                <w:bCs w:val="false"/>
                <w:sz w:val="18"/>
                <w:szCs w:val="18"/>
              </w:rPr>
              <w:t xml:space="preserve">Machine</w:t>
            </w:r>
          </w:p>
        </w:tc>
      </w:tr>
      <w:tr>
        <w:tc>
          <w:tcPr>
            <w:tcW w:type="dxa" w:w="700"/>
            <w:shd w:fill="F2F5F9" w:color="auto" w:val="clear"/>
            <w:tcMar>
              <w:top w:type="dxa" w:w="60"/>
              <w:left w:type="dxa" w:w="90"/>
              <w:bottom w:type="dxa" w:w="60"/>
              <w:right w:type="dxa" w:w="90"/>
            </w:tcMar>
          </w:tcPr>
          <w:p>
            <w:pPr>
              <w:spacing w:after="0" w:line="240"/>
            </w:pPr>
            <w:r>
              <w:rPr>
                <w:b/>
                <w:bCs/>
                <w:sz w:val="18"/>
                <w:szCs w:val="18"/>
              </w:rPr>
              <w:t xml:space="preserve">U-10</w:t>
            </w:r>
          </w:p>
        </w:tc>
        <w:tc>
          <w:tcPr>
            <w:tcW w:type="dxa" w:w="5200"/>
            <w:shd w:fill="F2F5F9" w:color="auto" w:val="clear"/>
            <w:tcMar>
              <w:top w:type="dxa" w:w="60"/>
              <w:left w:type="dxa" w:w="90"/>
              <w:bottom w:type="dxa" w:w="60"/>
              <w:right w:type="dxa" w:w="90"/>
            </w:tcMar>
          </w:tcPr>
          <w:p>
            <w:pPr>
              <w:spacing w:after="0" w:line="240"/>
            </w:pPr>
            <w:r>
              <w:rPr>
                <w:b w:val="false"/>
                <w:bCs w:val="false"/>
                <w:sz w:val="18"/>
                <w:szCs w:val="18"/>
              </w:rPr>
              <w:t xml:space="preserve">Assumptions register updated, each entry classed as measured, modelled or assumed.</w:t>
            </w:r>
          </w:p>
        </w:tc>
        <w:tc>
          <w:tcPr>
            <w:tcW w:type="dxa" w:w="1300"/>
            <w:shd w:fill="F2F5F9" w:color="auto" w:val="clear"/>
            <w:tcMar>
              <w:top w:type="dxa" w:w="60"/>
              <w:left w:type="dxa" w:w="90"/>
              <w:bottom w:type="dxa" w:w="60"/>
              <w:right w:type="dxa" w:w="90"/>
            </w:tcMar>
          </w:tcPr>
          <w:p>
            <w:pPr>
              <w:spacing w:after="0" w:line="240"/>
            </w:pPr>
            <w:r>
              <w:rPr>
                <w:b w:val="false"/>
                <w:bCs w:val="false"/>
                <w:sz w:val="18"/>
                <w:szCs w:val="18"/>
              </w:rPr>
              <w:t xml:space="preserve">Material</w:t>
            </w:r>
          </w:p>
        </w:tc>
        <w:tc>
          <w:tcPr>
            <w:tcW w:type="dxa" w:w="2160"/>
            <w:shd w:fill="F2F5F9" w:color="auto" w:val="clear"/>
            <w:tcMar>
              <w:top w:type="dxa" w:w="60"/>
              <w:left w:type="dxa" w:w="90"/>
              <w:bottom w:type="dxa" w:w="60"/>
              <w:right w:type="dxa" w:w="90"/>
            </w:tcMar>
          </w:tcPr>
          <w:p>
            <w:pPr>
              <w:spacing w:after="0" w:line="240"/>
            </w:pPr>
            <w:r>
              <w:rPr>
                <w:b w:val="false"/>
                <w:bCs w:val="false"/>
                <w:sz w:val="18"/>
                <w:szCs w:val="18"/>
              </w:rPr>
              <w:t xml:space="preserve">Machine flags absence; PM judges the class</w:t>
            </w:r>
          </w:p>
        </w:tc>
      </w:tr>
    </w:tbl>
    <w:p>
      <w:pPr>
        <w:spacing w:after="140"/>
      </w:pPr>
      <w:r>
        <w:rPr>
          <w:i/>
          <w:iCs/>
          <w:color w:val="555555"/>
          <w:sz w:val="19"/>
          <w:szCs w:val="19"/>
        </w:rPr>
        <w:t xml:space="preserve">U-2 and U-3 are not hypothetical. Section 8 works a real example from the reference document.</w:t>
      </w:r>
    </w:p>
    <w:p>
      <w:pPr>
        <w:pStyle w:val="Heading1"/>
        <w:spacing w:after="120" w:before="280"/>
      </w:pPr>
      <w:r>
        <w:rPr>
          <w:b/>
          <w:bCs/>
          <w:color w:val="1F3A5F"/>
          <w:sz w:val="26"/>
          <w:szCs w:val="26"/>
        </w:rPr>
        <w:t xml:space="preserve">6  Part B. Section acceptance criteria</w:t>
      </w:r>
    </w:p>
    <w:p>
      <w:pPr>
        <w:spacing w:after="120" w:line="264"/>
      </w:pPr>
      <w:r>
        <w:t xml:space="preserve">Section numbering follows the reference document, which is the house structure for a transmission study in this programme. The reference is a pre-feasibility study, so for several sections the standard requires depth the reference does not itself demonstrate. Those are marked.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2260"/>
        <w:gridCol w:w="1900"/>
      </w:tblGrid>
      <w:tr>
        <w:trPr>
          <w:tblHeader/>
        </w:trPr>
        <w:tc>
          <w:tcPr>
            <w:tcW w:type="dxa" w:w="1900"/>
            <w:shd w:fill="1F3A5F" w:color="auto" w:val="clear"/>
            <w:tcMar>
              <w:top w:type="dxa" w:w="60"/>
              <w:left w:type="dxa" w:w="90"/>
              <w:bottom w:type="dxa" w:w="60"/>
              <w:right w:type="dxa" w:w="90"/>
            </w:tcMar>
          </w:tcPr>
          <w:p>
            <w:pPr>
              <w:spacing w:after="0" w:line="240"/>
            </w:pPr>
            <w:r>
              <w:rPr>
                <w:b/>
                <w:bCs/>
                <w:color w:val="FFFFFF"/>
                <w:sz w:val="18"/>
                <w:szCs w:val="18"/>
              </w:rPr>
              <w:t xml:space="preserve">Section</w:t>
            </w:r>
          </w:p>
        </w:tc>
        <w:tc>
          <w:tcPr>
            <w:tcW w:type="dxa" w:w="3300"/>
            <w:shd w:fill="1F3A5F" w:color="auto" w:val="clear"/>
            <w:tcMar>
              <w:top w:type="dxa" w:w="60"/>
              <w:left w:type="dxa" w:w="90"/>
              <w:bottom w:type="dxa" w:w="60"/>
              <w:right w:type="dxa" w:w="90"/>
            </w:tcMar>
          </w:tcPr>
          <w:p>
            <w:pPr>
              <w:spacing w:after="0" w:line="240"/>
            </w:pPr>
            <w:r>
              <w:rPr>
                <w:b/>
                <w:bCs/>
                <w:color w:val="FFFFFF"/>
                <w:sz w:val="18"/>
                <w:szCs w:val="18"/>
              </w:rPr>
              <w:t xml:space="preserve">Must be present</w:t>
            </w:r>
          </w:p>
        </w:tc>
        <w:tc>
          <w:tcPr>
            <w:tcW w:type="dxa" w:w="2260"/>
            <w:shd w:fill="1F3A5F" w:color="auto" w:val="clear"/>
            <w:tcMar>
              <w:top w:type="dxa" w:w="60"/>
              <w:left w:type="dxa" w:w="90"/>
              <w:bottom w:type="dxa" w:w="60"/>
              <w:right w:type="dxa" w:w="90"/>
            </w:tcMar>
          </w:tcPr>
          <w:p>
            <w:pPr>
              <w:spacing w:after="0" w:line="240"/>
            </w:pPr>
            <w:r>
              <w:rPr>
                <w:b/>
                <w:bCs/>
                <w:color w:val="FFFFFF"/>
                <w:sz w:val="18"/>
                <w:szCs w:val="18"/>
              </w:rPr>
              <w:t xml:space="preserve">Must be evidenced by</w:t>
            </w:r>
          </w:p>
        </w:tc>
        <w:tc>
          <w:tcPr>
            <w:tcW w:type="dxa" w:w="1900"/>
            <w:shd w:fill="1F3A5F" w:color="auto" w:val="clear"/>
            <w:tcMar>
              <w:top w:type="dxa" w:w="60"/>
              <w:left w:type="dxa" w:w="90"/>
              <w:bottom w:type="dxa" w:w="60"/>
              <w:right w:type="dxa" w:w="90"/>
            </w:tcMar>
          </w:tcPr>
          <w:p>
            <w:pPr>
              <w:spacing w:after="0" w:line="240"/>
            </w:pPr>
            <w:r>
              <w:rPr>
                <w:b/>
                <w:bCs/>
                <w:color w:val="FFFFFF"/>
                <w:sz w:val="18"/>
                <w:szCs w:val="18"/>
              </w:rPr>
              <w:t xml:space="preserve">Flag if</w:t>
            </w:r>
          </w:p>
        </w:tc>
      </w:tr>
      <w:tr>
        <w:tc>
          <w:tcPr>
            <w:tcW w:type="dxa" w:w="1900"/>
            <w:tcMar>
              <w:top w:type="dxa" w:w="60"/>
              <w:left w:type="dxa" w:w="90"/>
              <w:bottom w:type="dxa" w:w="60"/>
              <w:right w:type="dxa" w:w="90"/>
            </w:tcMar>
          </w:tcPr>
          <w:p>
            <w:pPr>
              <w:spacing w:after="0" w:line="240"/>
            </w:pPr>
            <w:r>
              <w:rPr>
                <w:b/>
                <w:bCs/>
                <w:sz w:val="18"/>
                <w:szCs w:val="18"/>
              </w:rPr>
              <w:t xml:space="preserve">1  Introduction and background</w:t>
            </w:r>
          </w:p>
        </w:tc>
        <w:tc>
          <w:tcPr>
            <w:tcW w:type="dxa" w:w="3300"/>
            <w:tcMar>
              <w:top w:type="dxa" w:w="60"/>
              <w:left w:type="dxa" w:w="90"/>
              <w:bottom w:type="dxa" w:w="60"/>
              <w:right w:type="dxa" w:w="90"/>
            </w:tcMar>
          </w:tcPr>
          <w:p>
            <w:pPr>
              <w:spacing w:after="0" w:line="240"/>
            </w:pPr>
            <w:r>
              <w:rPr>
                <w:b w:val="false"/>
                <w:bCs w:val="false"/>
                <w:sz w:val="18"/>
                <w:szCs w:val="18"/>
              </w:rPr>
              <w:t xml:space="preserve">Project justification against current national and grid development plans.</w:t>
            </w:r>
          </w:p>
        </w:tc>
        <w:tc>
          <w:tcPr>
            <w:tcW w:type="dxa" w:w="2260"/>
            <w:tcMar>
              <w:top w:type="dxa" w:w="60"/>
              <w:left w:type="dxa" w:w="90"/>
              <w:bottom w:type="dxa" w:w="60"/>
              <w:right w:type="dxa" w:w="90"/>
            </w:tcMar>
          </w:tcPr>
          <w:p>
            <w:pPr>
              <w:spacing w:after="0" w:line="240"/>
            </w:pPr>
            <w:r>
              <w:rPr>
                <w:b w:val="false"/>
                <w:bCs w:val="false"/>
                <w:sz w:val="18"/>
                <w:szCs w:val="18"/>
              </w:rPr>
              <w:t xml:space="preserve">Plans cited with vintage.</w:t>
            </w:r>
          </w:p>
        </w:tc>
        <w:tc>
          <w:tcPr>
            <w:tcW w:type="dxa" w:w="1900"/>
            <w:tcMar>
              <w:top w:type="dxa" w:w="60"/>
              <w:left w:type="dxa" w:w="90"/>
              <w:bottom w:type="dxa" w:w="60"/>
              <w:right w:type="dxa" w:w="90"/>
            </w:tcMar>
          </w:tcPr>
          <w:p>
            <w:pPr>
              <w:spacing w:after="0" w:line="240"/>
            </w:pPr>
            <w:r>
              <w:rPr>
                <w:b w:val="false"/>
                <w:bCs w:val="false"/>
                <w:sz w:val="18"/>
                <w:szCs w:val="18"/>
              </w:rPr>
              <w:t xml:space="preserve">Plan cited is more than one vintage out of date.</w:t>
            </w:r>
          </w:p>
        </w:tc>
      </w:tr>
      <w:tr>
        <w:tc>
          <w:tcPr>
            <w:tcW w:type="dxa" w:w="1900"/>
            <w:shd w:fill="F2F5F9" w:color="auto" w:val="clear"/>
            <w:tcMar>
              <w:top w:type="dxa" w:w="60"/>
              <w:left w:type="dxa" w:w="90"/>
              <w:bottom w:type="dxa" w:w="60"/>
              <w:right w:type="dxa" w:w="90"/>
            </w:tcMar>
          </w:tcPr>
          <w:p>
            <w:pPr>
              <w:spacing w:after="0" w:line="240"/>
            </w:pPr>
            <w:r>
              <w:rPr>
                <w:b/>
                <w:bCs/>
                <w:sz w:val="18"/>
                <w:szCs w:val="18"/>
              </w:rPr>
              <w:t xml:space="preserve">2  Project description, demand and supply</w:t>
            </w:r>
          </w:p>
        </w:tc>
        <w:tc>
          <w:tcPr>
            <w:tcW w:type="dxa" w:w="3300"/>
            <w:shd w:fill="F2F5F9" w:color="auto" w:val="clear"/>
            <w:tcMar>
              <w:top w:type="dxa" w:w="60"/>
              <w:left w:type="dxa" w:w="90"/>
              <w:bottom w:type="dxa" w:w="60"/>
              <w:right w:type="dxa" w:w="90"/>
            </w:tcMar>
          </w:tcPr>
          <w:p>
            <w:pPr>
              <w:spacing w:after="0" w:line="240"/>
            </w:pPr>
            <w:r>
              <w:rPr>
                <w:b w:val="false"/>
                <w:bCs w:val="false"/>
                <w:sz w:val="18"/>
                <w:szCs w:val="18"/>
              </w:rPr>
              <w:t xml:space="preserve">Load forecast across scenarios. Load flow, N-1 and stability. Preliminary design: conductor, compensation, transformer ratings, protection.</w:t>
            </w:r>
          </w:p>
        </w:tc>
        <w:tc>
          <w:tcPr>
            <w:tcW w:type="dxa" w:w="2260"/>
            <w:shd w:fill="F2F5F9" w:color="auto" w:val="clear"/>
            <w:tcMar>
              <w:top w:type="dxa" w:w="60"/>
              <w:left w:type="dxa" w:w="90"/>
              <w:bottom w:type="dxa" w:w="60"/>
              <w:right w:type="dxa" w:w="90"/>
            </w:tcMar>
          </w:tcPr>
          <w:p>
            <w:pPr>
              <w:spacing w:after="0" w:line="240"/>
            </w:pPr>
            <w:r>
              <w:rPr>
                <w:b w:val="false"/>
                <w:bCs w:val="false"/>
                <w:sz w:val="18"/>
                <w:szCs w:val="18"/>
              </w:rPr>
              <w:t xml:space="preserve">Contracted or committed demand evidence. Utility network case reference. Grid code clause.</w:t>
            </w:r>
          </w:p>
        </w:tc>
        <w:tc>
          <w:tcPr>
            <w:tcW w:type="dxa" w:w="1900"/>
            <w:shd w:fill="F2F5F9" w:color="auto" w:val="clear"/>
            <w:tcMar>
              <w:top w:type="dxa" w:w="60"/>
              <w:left w:type="dxa" w:w="90"/>
              <w:bottom w:type="dxa" w:w="60"/>
              <w:right w:type="dxa" w:w="90"/>
            </w:tcMar>
          </w:tcPr>
          <w:p>
            <w:pPr>
              <w:spacing w:after="0" w:line="240"/>
            </w:pPr>
            <w:r>
              <w:rPr>
                <w:b w:val="false"/>
                <w:bCs w:val="false"/>
                <w:sz w:val="18"/>
                <w:szCs w:val="18"/>
              </w:rPr>
              <w:t xml:space="preserve">Demand is indicative only. Network model not aligned to the utility case. Conductor still unconfirmed.</w:t>
            </w:r>
          </w:p>
        </w:tc>
      </w:tr>
      <w:tr>
        <w:tc>
          <w:tcPr>
            <w:tcW w:type="dxa" w:w="1900"/>
            <w:tcMar>
              <w:top w:type="dxa" w:w="60"/>
              <w:left w:type="dxa" w:w="90"/>
              <w:bottom w:type="dxa" w:w="60"/>
              <w:right w:type="dxa" w:w="90"/>
            </w:tcMar>
          </w:tcPr>
          <w:p>
            <w:pPr>
              <w:spacing w:after="0" w:line="240"/>
            </w:pPr>
            <w:r>
              <w:rPr>
                <w:b/>
                <w:bCs/>
                <w:sz w:val="18"/>
                <w:szCs w:val="18"/>
              </w:rPr>
              <w:t xml:space="preserve">3  Description of project area</w:t>
            </w:r>
          </w:p>
        </w:tc>
        <w:tc>
          <w:tcPr>
            <w:tcW w:type="dxa" w:w="3300"/>
            <w:tcMar>
              <w:top w:type="dxa" w:w="60"/>
              <w:left w:type="dxa" w:w="90"/>
              <w:bottom w:type="dxa" w:w="60"/>
              <w:right w:type="dxa" w:w="90"/>
            </w:tcMar>
          </w:tcPr>
          <w:p>
            <w:pPr>
              <w:spacing w:after="0" w:line="240"/>
            </w:pPr>
            <w:r>
              <w:rPr>
                <w:b w:val="false"/>
                <w:bCs w:val="false"/>
                <w:sz w:val="18"/>
                <w:szCs w:val="18"/>
              </w:rPr>
              <w:t xml:space="preserve">Final surveyed alignment. Topography, geology, ecology, socio-economics. ESIA and RAP position.</w:t>
            </w:r>
          </w:p>
        </w:tc>
        <w:tc>
          <w:tcPr>
            <w:tcW w:type="dxa" w:w="2260"/>
            <w:tcMar>
              <w:top w:type="dxa" w:w="60"/>
              <w:left w:type="dxa" w:w="90"/>
              <w:bottom w:type="dxa" w:w="60"/>
              <w:right w:type="dxa" w:w="90"/>
            </w:tcMar>
          </w:tcPr>
          <w:p>
            <w:pPr>
              <w:spacing w:after="0" w:line="240"/>
            </w:pPr>
            <w:r>
              <w:rPr>
                <w:b w:val="false"/>
                <w:bCs w:val="false"/>
                <w:sz w:val="18"/>
                <w:szCs w:val="18"/>
              </w:rPr>
              <w:t xml:space="preserve">Survey report reference. DTM resolution and date. Borehole logs. Named GIS layers.</w:t>
            </w:r>
          </w:p>
        </w:tc>
        <w:tc>
          <w:tcPr>
            <w:tcW w:type="dxa" w:w="1900"/>
            <w:tcMar>
              <w:top w:type="dxa" w:w="60"/>
              <w:left w:type="dxa" w:w="90"/>
              <w:bottom w:type="dxa" w:w="60"/>
              <w:right w:type="dxa" w:w="90"/>
            </w:tcMar>
          </w:tcPr>
          <w:p>
            <w:pPr>
              <w:spacing w:after="0" w:line="240"/>
            </w:pPr>
            <w:r>
              <w:rPr>
                <w:b w:val="false"/>
                <w:bCs w:val="false"/>
                <w:sz w:val="18"/>
                <w:szCs w:val="18"/>
              </w:rPr>
              <w:t xml:space="preserve">Topography from regional data. Foundations not resolved per tower. Protected-area claim with no named layer.</w:t>
            </w:r>
          </w:p>
        </w:tc>
      </w:tr>
      <w:tr>
        <w:tc>
          <w:tcPr>
            <w:tcW w:type="dxa" w:w="1900"/>
            <w:shd w:fill="F2F5F9" w:color="auto" w:val="clear"/>
            <w:tcMar>
              <w:top w:type="dxa" w:w="60"/>
              <w:left w:type="dxa" w:w="90"/>
              <w:bottom w:type="dxa" w:w="60"/>
              <w:right w:type="dxa" w:w="90"/>
            </w:tcMar>
          </w:tcPr>
          <w:p>
            <w:pPr>
              <w:spacing w:after="0" w:line="240"/>
            </w:pPr>
            <w:r>
              <w:rPr>
                <w:b/>
                <w:bCs/>
                <w:sz w:val="18"/>
                <w:szCs w:val="18"/>
              </w:rPr>
              <w:t xml:space="preserve">4  Financial and economic parameters</w:t>
            </w:r>
          </w:p>
        </w:tc>
        <w:tc>
          <w:tcPr>
            <w:tcW w:type="dxa" w:w="3300"/>
            <w:shd w:fill="F2F5F9" w:color="auto" w:val="clear"/>
            <w:tcMar>
              <w:top w:type="dxa" w:w="60"/>
              <w:left w:type="dxa" w:w="90"/>
              <w:bottom w:type="dxa" w:w="60"/>
              <w:right w:type="dxa" w:w="90"/>
            </w:tcMar>
          </w:tcPr>
          <w:p>
            <w:pPr>
              <w:spacing w:after="0" w:line="240"/>
            </w:pPr>
            <w:r>
              <w:rPr>
                <w:b w:val="false"/>
                <w:bCs w:val="false"/>
                <w:sz w:val="18"/>
                <w:szCs w:val="18"/>
              </w:rPr>
              <w:t xml:space="preserve">CAPEX and OPEX build-up. EIRR, NPV, BCR. FIRR, DSCR, tariff and payment security. Sensitivities. Financing structure.</w:t>
            </w:r>
          </w:p>
        </w:tc>
        <w:tc>
          <w:tcPr>
            <w:tcW w:type="dxa" w:w="2260"/>
            <w:shd w:fill="F2F5F9" w:color="auto" w:val="clear"/>
            <w:tcMar>
              <w:top w:type="dxa" w:w="60"/>
              <w:left w:type="dxa" w:w="90"/>
              <w:bottom w:type="dxa" w:w="60"/>
              <w:right w:type="dxa" w:w="90"/>
            </w:tcMar>
          </w:tcPr>
          <w:p>
            <w:pPr>
              <w:spacing w:after="0" w:line="240"/>
            </w:pPr>
            <w:r>
              <w:rPr>
                <w:b w:val="false"/>
                <w:bCs w:val="false"/>
                <w:sz w:val="18"/>
                <w:szCs w:val="18"/>
              </w:rPr>
              <w:t xml:space="preserve">Surveyed quantities. Rate basis with date. Model file version.</w:t>
            </w:r>
          </w:p>
        </w:tc>
        <w:tc>
          <w:tcPr>
            <w:tcW w:type="dxa" w:w="1900"/>
            <w:shd w:fill="F2F5F9" w:color="auto" w:val="clear"/>
            <w:tcMar>
              <w:top w:type="dxa" w:w="60"/>
              <w:left w:type="dxa" w:w="90"/>
              <w:bottom w:type="dxa" w:w="60"/>
              <w:right w:type="dxa" w:w="90"/>
            </w:tcMar>
          </w:tcPr>
          <w:p>
            <w:pPr>
              <w:spacing w:after="0" w:line="240"/>
            </w:pPr>
            <w:r>
              <w:rPr>
                <w:b w:val="false"/>
                <w:bCs w:val="false"/>
                <w:sz w:val="18"/>
                <w:szCs w:val="18"/>
              </w:rPr>
              <w:t xml:space="preserve">Cost built from a per-km rule of thumb. No DSCR. Accuracy band absent or wider than target.</w:t>
            </w:r>
          </w:p>
        </w:tc>
      </w:tr>
      <w:tr>
        <w:tc>
          <w:tcPr>
            <w:tcW w:type="dxa" w:w="1900"/>
            <w:tcMar>
              <w:top w:type="dxa" w:w="60"/>
              <w:left w:type="dxa" w:w="90"/>
              <w:bottom w:type="dxa" w:w="60"/>
              <w:right w:type="dxa" w:w="90"/>
            </w:tcMar>
          </w:tcPr>
          <w:p>
            <w:pPr>
              <w:spacing w:after="0" w:line="240"/>
            </w:pPr>
            <w:r>
              <w:rPr>
                <w:b/>
                <w:bCs/>
                <w:sz w:val="18"/>
                <w:szCs w:val="18"/>
              </w:rPr>
              <w:t xml:space="preserve">5  Stakeholder engagement</w:t>
            </w:r>
          </w:p>
        </w:tc>
        <w:tc>
          <w:tcPr>
            <w:tcW w:type="dxa" w:w="3300"/>
            <w:tcMar>
              <w:top w:type="dxa" w:w="60"/>
              <w:left w:type="dxa" w:w="90"/>
              <w:bottom w:type="dxa" w:w="60"/>
              <w:right w:type="dxa" w:w="90"/>
            </w:tcMar>
          </w:tcPr>
          <w:p>
            <w:pPr>
              <w:spacing w:after="0" w:line="240"/>
            </w:pPr>
            <w:r>
              <w:rPr>
                <w:b w:val="false"/>
                <w:bCs w:val="false"/>
                <w:sz w:val="18"/>
                <w:szCs w:val="18"/>
              </w:rPr>
              <w:t xml:space="preserve">Full consultation record and issues log.</w:t>
            </w:r>
          </w:p>
        </w:tc>
        <w:tc>
          <w:tcPr>
            <w:tcW w:type="dxa" w:w="2260"/>
            <w:tcMar>
              <w:top w:type="dxa" w:w="60"/>
              <w:left w:type="dxa" w:w="90"/>
              <w:bottom w:type="dxa" w:w="60"/>
              <w:right w:type="dxa" w:w="90"/>
            </w:tcMar>
          </w:tcPr>
          <w:p>
            <w:pPr>
              <w:spacing w:after="0" w:line="240"/>
            </w:pPr>
            <w:r>
              <w:rPr>
                <w:b w:val="false"/>
                <w:bCs w:val="false"/>
                <w:sz w:val="18"/>
                <w:szCs w:val="18"/>
              </w:rPr>
              <w:t xml:space="preserve">Minutes, attendance, issue resolution.</w:t>
            </w:r>
          </w:p>
        </w:tc>
        <w:tc>
          <w:tcPr>
            <w:tcW w:type="dxa" w:w="1900"/>
            <w:tcMar>
              <w:top w:type="dxa" w:w="60"/>
              <w:left w:type="dxa" w:w="90"/>
              <w:bottom w:type="dxa" w:w="60"/>
              <w:right w:type="dxa" w:w="90"/>
            </w:tcMar>
          </w:tcPr>
          <w:p>
            <w:pPr>
              <w:spacing w:after="0" w:line="240"/>
            </w:pPr>
            <w:r>
              <w:rPr>
                <w:b w:val="false"/>
                <w:bCs w:val="false"/>
                <w:sz w:val="18"/>
                <w:szCs w:val="18"/>
              </w:rPr>
              <w:t xml:space="preserve">Engagement is scoping-phase only.</w:t>
            </w:r>
          </w:p>
        </w:tc>
      </w:tr>
      <w:tr>
        <w:tc>
          <w:tcPr>
            <w:tcW w:type="dxa" w:w="1900"/>
            <w:shd w:fill="F2F5F9" w:color="auto" w:val="clear"/>
            <w:tcMar>
              <w:top w:type="dxa" w:w="60"/>
              <w:left w:type="dxa" w:w="90"/>
              <w:bottom w:type="dxa" w:w="60"/>
              <w:right w:type="dxa" w:w="90"/>
            </w:tcMar>
          </w:tcPr>
          <w:p>
            <w:pPr>
              <w:spacing w:after="0" w:line="240"/>
            </w:pPr>
            <w:r>
              <w:rPr>
                <w:b/>
                <w:bCs/>
                <w:sz w:val="18"/>
                <w:szCs w:val="18"/>
              </w:rPr>
              <w:t xml:space="preserve">6  Legislation, regulations and permits</w:t>
            </w:r>
          </w:p>
        </w:tc>
        <w:tc>
          <w:tcPr>
            <w:tcW w:type="dxa" w:w="3300"/>
            <w:shd w:fill="F2F5F9" w:color="auto" w:val="clear"/>
            <w:tcMar>
              <w:top w:type="dxa" w:w="60"/>
              <w:left w:type="dxa" w:w="90"/>
              <w:bottom w:type="dxa" w:w="60"/>
              <w:right w:type="dxa" w:w="90"/>
            </w:tcMar>
          </w:tcPr>
          <w:p>
            <w:pPr>
              <w:spacing w:after="0" w:line="240"/>
            </w:pPr>
            <w:r>
              <w:rPr>
                <w:b w:val="false"/>
                <w:bCs w:val="false"/>
                <w:sz w:val="18"/>
                <w:szCs w:val="18"/>
              </w:rPr>
              <w:t xml:space="preserve">Permit register with status and owner per permit.</w:t>
            </w:r>
          </w:p>
        </w:tc>
        <w:tc>
          <w:tcPr>
            <w:tcW w:type="dxa" w:w="2260"/>
            <w:shd w:fill="F2F5F9" w:color="auto" w:val="clear"/>
            <w:tcMar>
              <w:top w:type="dxa" w:w="60"/>
              <w:left w:type="dxa" w:w="90"/>
              <w:bottom w:type="dxa" w:w="60"/>
              <w:right w:type="dxa" w:w="90"/>
            </w:tcMar>
          </w:tcPr>
          <w:p>
            <w:pPr>
              <w:spacing w:after="0" w:line="240"/>
            </w:pPr>
            <w:r>
              <w:rPr>
                <w:b w:val="false"/>
                <w:bCs w:val="false"/>
                <w:sz w:val="18"/>
                <w:szCs w:val="18"/>
              </w:rPr>
              <w:t xml:space="preserve">Statute citation. Permit references.</w:t>
            </w:r>
          </w:p>
        </w:tc>
        <w:tc>
          <w:tcPr>
            <w:tcW w:type="dxa" w:w="1900"/>
            <w:shd w:fill="F2F5F9" w:color="auto" w:val="clear"/>
            <w:tcMar>
              <w:top w:type="dxa" w:w="60"/>
              <w:left w:type="dxa" w:w="90"/>
              <w:bottom w:type="dxa" w:w="60"/>
              <w:right w:type="dxa" w:w="90"/>
            </w:tcMar>
          </w:tcPr>
          <w:p>
            <w:pPr>
              <w:spacing w:after="0" w:line="240"/>
            </w:pPr>
            <w:r>
              <w:rPr>
                <w:b w:val="false"/>
                <w:bCs w:val="false"/>
                <w:sz w:val="18"/>
                <w:szCs w:val="18"/>
              </w:rPr>
              <w:t xml:space="preserve">A permit is listed with no status or owner. Protected-area permit missing where the corridor crosses one.</w:t>
            </w:r>
          </w:p>
        </w:tc>
      </w:tr>
      <w:tr>
        <w:tc>
          <w:tcPr>
            <w:tcW w:type="dxa" w:w="1900"/>
            <w:tcMar>
              <w:top w:type="dxa" w:w="60"/>
              <w:left w:type="dxa" w:w="90"/>
              <w:bottom w:type="dxa" w:w="60"/>
              <w:right w:type="dxa" w:w="90"/>
            </w:tcMar>
          </w:tcPr>
          <w:p>
            <w:pPr>
              <w:spacing w:after="0" w:line="240"/>
            </w:pPr>
            <w:r>
              <w:rPr>
                <w:b/>
                <w:bCs/>
                <w:sz w:val="18"/>
                <w:szCs w:val="18"/>
              </w:rPr>
              <w:t xml:space="preserve">7  Risks and barriers</w:t>
            </w:r>
          </w:p>
        </w:tc>
        <w:tc>
          <w:tcPr>
            <w:tcW w:type="dxa" w:w="3300"/>
            <w:tcMar>
              <w:top w:type="dxa" w:w="60"/>
              <w:left w:type="dxa" w:w="90"/>
              <w:bottom w:type="dxa" w:w="60"/>
              <w:right w:type="dxa" w:w="90"/>
            </w:tcMar>
          </w:tcPr>
          <w:p>
            <w:pPr>
              <w:spacing w:after="0" w:line="240"/>
            </w:pPr>
            <w:r>
              <w:rPr>
                <w:b w:val="false"/>
                <w:bCs w:val="false"/>
                <w:sz w:val="18"/>
                <w:szCs w:val="18"/>
              </w:rPr>
              <w:t xml:space="preserve">Quantified risk register.</w:t>
            </w:r>
          </w:p>
        </w:tc>
        <w:tc>
          <w:tcPr>
            <w:tcW w:type="dxa" w:w="2260"/>
            <w:tcMar>
              <w:top w:type="dxa" w:w="60"/>
              <w:left w:type="dxa" w:w="90"/>
              <w:bottom w:type="dxa" w:w="60"/>
              <w:right w:type="dxa" w:w="90"/>
            </w:tcMar>
          </w:tcPr>
          <w:p>
            <w:pPr>
              <w:spacing w:after="0" w:line="240"/>
            </w:pPr>
            <w:r>
              <w:rPr>
                <w:b w:val="false"/>
                <w:bCs w:val="false"/>
                <w:sz w:val="18"/>
                <w:szCs w:val="18"/>
              </w:rPr>
              <w:t xml:space="preserve">Likelihood, impact, mitigation and owner per risk.</w:t>
            </w:r>
          </w:p>
        </w:tc>
        <w:tc>
          <w:tcPr>
            <w:tcW w:type="dxa" w:w="1900"/>
            <w:tcMar>
              <w:top w:type="dxa" w:w="60"/>
              <w:left w:type="dxa" w:w="90"/>
              <w:bottom w:type="dxa" w:w="60"/>
              <w:right w:type="dxa" w:w="90"/>
            </w:tcMar>
          </w:tcPr>
          <w:p>
            <w:pPr>
              <w:spacing w:after="0" w:line="240"/>
            </w:pPr>
            <w:r>
              <w:rPr>
                <w:b w:val="false"/>
                <w:bCs w:val="false"/>
                <w:sz w:val="18"/>
                <w:szCs w:val="18"/>
              </w:rPr>
              <w:t xml:space="preserve">Register is a narrative list.</w:t>
            </w:r>
          </w:p>
        </w:tc>
      </w:tr>
      <w:tr>
        <w:tc>
          <w:tcPr>
            <w:tcW w:type="dxa" w:w="1900"/>
            <w:shd w:fill="F2F5F9" w:color="auto" w:val="clear"/>
            <w:tcMar>
              <w:top w:type="dxa" w:w="60"/>
              <w:left w:type="dxa" w:w="90"/>
              <w:bottom w:type="dxa" w:w="60"/>
              <w:right w:type="dxa" w:w="90"/>
            </w:tcMar>
          </w:tcPr>
          <w:p>
            <w:pPr>
              <w:spacing w:after="0" w:line="240"/>
            </w:pPr>
            <w:r>
              <w:rPr>
                <w:b/>
                <w:bCs/>
                <w:sz w:val="18"/>
                <w:szCs w:val="18"/>
              </w:rPr>
              <w:t xml:space="preserve">8  References</w:t>
            </w:r>
          </w:p>
        </w:tc>
        <w:tc>
          <w:tcPr>
            <w:tcW w:type="dxa" w:w="3300"/>
            <w:shd w:fill="F2F5F9" w:color="auto" w:val="clear"/>
            <w:tcMar>
              <w:top w:type="dxa" w:w="60"/>
              <w:left w:type="dxa" w:w="90"/>
              <w:bottom w:type="dxa" w:w="60"/>
              <w:right w:type="dxa" w:w="90"/>
            </w:tcMar>
          </w:tcPr>
          <w:p>
            <w:pPr>
              <w:spacing w:after="0" w:line="240"/>
            </w:pPr>
            <w:r>
              <w:rPr>
                <w:b w:val="false"/>
                <w:bCs w:val="false"/>
                <w:sz w:val="18"/>
                <w:szCs w:val="18"/>
              </w:rPr>
              <w:t xml:space="preserve">All sources traceable.</w:t>
            </w:r>
          </w:p>
        </w:tc>
        <w:tc>
          <w:tcPr>
            <w:tcW w:type="dxa" w:w="2260"/>
            <w:shd w:fill="F2F5F9" w:color="auto" w:val="clear"/>
            <w:tcMar>
              <w:top w:type="dxa" w:w="60"/>
              <w:left w:type="dxa" w:w="90"/>
              <w:bottom w:type="dxa" w:w="60"/>
              <w:right w:type="dxa" w:w="90"/>
            </w:tcMar>
          </w:tcPr>
          <w:p>
            <w:pPr>
              <w:spacing w:after="0" w:line="240"/>
            </w:pPr>
            <w:r>
              <w:rPr>
                <w:b w:val="false"/>
                <w:bCs w:val="false"/>
                <w:sz w:val="18"/>
                <w:szCs w:val="18"/>
              </w:rPr>
              <w:t xml:space="preserve">Evidence store links.</w:t>
            </w:r>
          </w:p>
        </w:tc>
        <w:tc>
          <w:tcPr>
            <w:tcW w:type="dxa" w:w="1900"/>
            <w:shd w:fill="F2F5F9" w:color="auto" w:val="clear"/>
            <w:tcMar>
              <w:top w:type="dxa" w:w="60"/>
              <w:left w:type="dxa" w:w="90"/>
              <w:bottom w:type="dxa" w:w="60"/>
              <w:right w:type="dxa" w:w="90"/>
            </w:tcMar>
          </w:tcPr>
          <w:p>
            <w:pPr>
              <w:spacing w:after="0" w:line="240"/>
            </w:pPr>
            <w:r>
              <w:rPr>
                <w:b w:val="false"/>
                <w:bCs w:val="false"/>
                <w:sz w:val="18"/>
                <w:szCs w:val="18"/>
              </w:rPr>
              <w:t xml:space="preserve">A reference is not in the evidence store.</w:t>
            </w:r>
          </w:p>
        </w:tc>
      </w:tr>
      <w:tr>
        <w:tc>
          <w:tcPr>
            <w:tcW w:type="dxa" w:w="1900"/>
            <w:tcMar>
              <w:top w:type="dxa" w:w="60"/>
              <w:left w:type="dxa" w:w="90"/>
              <w:bottom w:type="dxa" w:w="60"/>
              <w:right w:type="dxa" w:w="90"/>
            </w:tcMar>
          </w:tcPr>
          <w:p>
            <w:pPr>
              <w:spacing w:after="0" w:line="240"/>
            </w:pPr>
            <w:r>
              <w:rPr>
                <w:b/>
                <w:bCs/>
                <w:sz w:val="18"/>
                <w:szCs w:val="18"/>
              </w:rPr>
              <w:t xml:space="preserve">9  Implementation schedule</w:t>
            </w:r>
          </w:p>
        </w:tc>
        <w:tc>
          <w:tcPr>
            <w:tcW w:type="dxa" w:w="3300"/>
            <w:tcMar>
              <w:top w:type="dxa" w:w="60"/>
              <w:left w:type="dxa" w:w="90"/>
              <w:bottom w:type="dxa" w:w="60"/>
              <w:right w:type="dxa" w:w="90"/>
            </w:tcMar>
          </w:tcPr>
          <w:p>
            <w:pPr>
              <w:spacing w:after="0" w:line="240"/>
            </w:pPr>
            <w:r>
              <w:rPr>
                <w:b w:val="false"/>
                <w:bCs w:val="false"/>
                <w:sz w:val="18"/>
                <w:szCs w:val="18"/>
              </w:rPr>
              <w:t xml:space="preserve">Integrated schedule to commissioning.</w:t>
            </w:r>
          </w:p>
        </w:tc>
        <w:tc>
          <w:tcPr>
            <w:tcW w:type="dxa" w:w="2260"/>
            <w:tcMar>
              <w:top w:type="dxa" w:w="60"/>
              <w:left w:type="dxa" w:w="90"/>
              <w:bottom w:type="dxa" w:w="60"/>
              <w:right w:type="dxa" w:w="90"/>
            </w:tcMar>
          </w:tcPr>
          <w:p>
            <w:pPr>
              <w:spacing w:after="0" w:line="240"/>
            </w:pPr>
            <w:r>
              <w:rPr>
                <w:b w:val="false"/>
                <w:bCs w:val="false"/>
                <w:sz w:val="18"/>
                <w:szCs w:val="18"/>
              </w:rPr>
              <w:t xml:space="preserve">Critical path and dependencies.</w:t>
            </w:r>
          </w:p>
        </w:tc>
        <w:tc>
          <w:tcPr>
            <w:tcW w:type="dxa" w:w="1900"/>
            <w:tcMar>
              <w:top w:type="dxa" w:w="60"/>
              <w:left w:type="dxa" w:w="90"/>
              <w:bottom w:type="dxa" w:w="60"/>
              <w:right w:type="dxa" w:w="90"/>
            </w:tcMar>
          </w:tcPr>
          <w:p>
            <w:pPr>
              <w:spacing w:after="0" w:line="240"/>
            </w:pPr>
            <w:r>
              <w:rPr>
                <w:b w:val="false"/>
                <w:bCs w:val="false"/>
                <w:sz w:val="18"/>
                <w:szCs w:val="18"/>
              </w:rPr>
              <w:t xml:space="preserve">Schedule not linked to procurement and permits.</w:t>
            </w:r>
          </w:p>
        </w:tc>
      </w:tr>
      <w:tr>
        <w:tc>
          <w:tcPr>
            <w:tcW w:type="dxa" w:w="1900"/>
            <w:shd w:fill="F2F5F9" w:color="auto" w:val="clear"/>
            <w:tcMar>
              <w:top w:type="dxa" w:w="60"/>
              <w:left w:type="dxa" w:w="90"/>
              <w:bottom w:type="dxa" w:w="60"/>
              <w:right w:type="dxa" w:w="90"/>
            </w:tcMar>
          </w:tcPr>
          <w:p>
            <w:pPr>
              <w:spacing w:after="0" w:line="240"/>
            </w:pPr>
            <w:r>
              <w:rPr>
                <w:b/>
                <w:bCs/>
                <w:sz w:val="18"/>
                <w:szCs w:val="18"/>
              </w:rPr>
              <w:t xml:space="preserve">10  Governance and structure</w:t>
            </w:r>
          </w:p>
        </w:tc>
        <w:tc>
          <w:tcPr>
            <w:tcW w:type="dxa" w:w="3300"/>
            <w:shd w:fill="F2F5F9" w:color="auto" w:val="clear"/>
            <w:tcMar>
              <w:top w:type="dxa" w:w="60"/>
              <w:left w:type="dxa" w:w="90"/>
              <w:bottom w:type="dxa" w:w="60"/>
              <w:right w:type="dxa" w:w="90"/>
            </w:tcMar>
          </w:tcPr>
          <w:p>
            <w:pPr>
              <w:spacing w:after="0" w:line="240"/>
            </w:pPr>
            <w:r>
              <w:rPr>
                <w:b w:val="false"/>
                <w:bCs w:val="false"/>
                <w:sz w:val="18"/>
                <w:szCs w:val="18"/>
              </w:rPr>
              <w:t xml:space="preserve">Sponsor, SPV, roles.</w:t>
            </w:r>
          </w:p>
        </w:tc>
        <w:tc>
          <w:tcPr>
            <w:tcW w:type="dxa" w:w="2260"/>
            <w:shd w:fill="F2F5F9" w:color="auto" w:val="clear"/>
            <w:tcMar>
              <w:top w:type="dxa" w:w="60"/>
              <w:left w:type="dxa" w:w="90"/>
              <w:bottom w:type="dxa" w:w="60"/>
              <w:right w:type="dxa" w:w="90"/>
            </w:tcMar>
          </w:tcPr>
          <w:p>
            <w:pPr>
              <w:spacing w:after="0" w:line="240"/>
            </w:pPr>
            <w:r>
              <w:rPr>
                <w:b w:val="false"/>
                <w:bCs w:val="false"/>
                <w:sz w:val="18"/>
                <w:szCs w:val="18"/>
              </w:rPr>
              <w:t xml:space="preserve">Executed or draft agreements.</w:t>
            </w:r>
          </w:p>
        </w:tc>
        <w:tc>
          <w:tcPr>
            <w:tcW w:type="dxa" w:w="1900"/>
            <w:shd w:fill="F2F5F9" w:color="auto" w:val="clear"/>
            <w:tcMar>
              <w:top w:type="dxa" w:w="60"/>
              <w:left w:type="dxa" w:w="90"/>
              <w:bottom w:type="dxa" w:w="60"/>
              <w:right w:type="dxa" w:w="90"/>
            </w:tcMar>
          </w:tcPr>
          <w:p>
            <w:pPr>
              <w:spacing w:after="0" w:line="240"/>
            </w:pPr>
            <w:r>
              <w:rPr>
                <w:b w:val="false"/>
                <w:bCs w:val="false"/>
                <w:sz w:val="18"/>
                <w:szCs w:val="18"/>
              </w:rPr>
              <w:t xml:space="preserve">Sponsor undesignated.</w:t>
            </w:r>
          </w:p>
        </w:tc>
      </w:tr>
      <w:tr>
        <w:tc>
          <w:tcPr>
            <w:tcW w:type="dxa" w:w="1900"/>
            <w:tcMar>
              <w:top w:type="dxa" w:w="60"/>
              <w:left w:type="dxa" w:w="90"/>
              <w:bottom w:type="dxa" w:w="60"/>
              <w:right w:type="dxa" w:w="90"/>
            </w:tcMar>
          </w:tcPr>
          <w:p>
            <w:pPr>
              <w:spacing w:after="0" w:line="240"/>
            </w:pPr>
            <w:r>
              <w:rPr>
                <w:b/>
                <w:bCs/>
                <w:sz w:val="18"/>
                <w:szCs w:val="18"/>
              </w:rPr>
              <w:t xml:space="preserve">11  Climate and resilience</w:t>
            </w:r>
          </w:p>
        </w:tc>
        <w:tc>
          <w:tcPr>
            <w:tcW w:type="dxa" w:w="3300"/>
            <w:tcMar>
              <w:top w:type="dxa" w:w="60"/>
              <w:left w:type="dxa" w:w="90"/>
              <w:bottom w:type="dxa" w:w="60"/>
              <w:right w:type="dxa" w:w="90"/>
            </w:tcMar>
          </w:tcPr>
          <w:p>
            <w:pPr>
              <w:spacing w:after="0" w:line="240"/>
            </w:pPr>
            <w:r>
              <w:rPr>
                <w:b w:val="false"/>
                <w:bCs w:val="false"/>
                <w:sz w:val="18"/>
                <w:szCs w:val="18"/>
              </w:rPr>
              <w:t xml:space="preserve">Hazard exposure and design response.</w:t>
            </w:r>
          </w:p>
        </w:tc>
        <w:tc>
          <w:tcPr>
            <w:tcW w:type="dxa" w:w="2260"/>
            <w:tcMar>
              <w:top w:type="dxa" w:w="60"/>
              <w:left w:type="dxa" w:w="90"/>
              <w:bottom w:type="dxa" w:w="60"/>
              <w:right w:type="dxa" w:w="90"/>
            </w:tcMar>
          </w:tcPr>
          <w:p>
            <w:pPr>
              <w:spacing w:after="0" w:line="240"/>
            </w:pPr>
            <w:r>
              <w:rPr>
                <w:b w:val="false"/>
                <w:bCs w:val="false"/>
                <w:sz w:val="18"/>
                <w:szCs w:val="18"/>
              </w:rPr>
              <w:t xml:space="preserve">Named hazard dataset.</w:t>
            </w:r>
          </w:p>
        </w:tc>
        <w:tc>
          <w:tcPr>
            <w:tcW w:type="dxa" w:w="1900"/>
            <w:tcMar>
              <w:top w:type="dxa" w:w="60"/>
              <w:left w:type="dxa" w:w="90"/>
              <w:bottom w:type="dxa" w:w="60"/>
              <w:right w:type="dxa" w:w="90"/>
            </w:tcMar>
          </w:tcPr>
          <w:p>
            <w:pPr>
              <w:spacing w:after="0" w:line="240"/>
            </w:pPr>
            <w:r>
              <w:rPr>
                <w:b w:val="false"/>
                <w:bCs w:val="false"/>
                <w:sz w:val="18"/>
                <w:szCs w:val="18"/>
              </w:rPr>
              <w:t xml:space="preserve">Absent.</w:t>
            </w:r>
          </w:p>
        </w:tc>
      </w:tr>
      <w:tr>
        <w:tc>
          <w:tcPr>
            <w:tcW w:type="dxa" w:w="1900"/>
            <w:shd w:fill="F2F5F9" w:color="auto" w:val="clear"/>
            <w:tcMar>
              <w:top w:type="dxa" w:w="60"/>
              <w:left w:type="dxa" w:w="90"/>
              <w:bottom w:type="dxa" w:w="60"/>
              <w:right w:type="dxa" w:w="90"/>
            </w:tcMar>
          </w:tcPr>
          <w:p>
            <w:pPr>
              <w:spacing w:after="0" w:line="240"/>
            </w:pPr>
            <w:r>
              <w:rPr>
                <w:b/>
                <w:bCs/>
                <w:sz w:val="18"/>
                <w:szCs w:val="18"/>
              </w:rPr>
              <w:t xml:space="preserve">12  Procurement strategy</w:t>
            </w:r>
          </w:p>
        </w:tc>
        <w:tc>
          <w:tcPr>
            <w:tcW w:type="dxa" w:w="3300"/>
            <w:shd w:fill="F2F5F9" w:color="auto" w:val="clear"/>
            <w:tcMar>
              <w:top w:type="dxa" w:w="60"/>
              <w:left w:type="dxa" w:w="90"/>
              <w:bottom w:type="dxa" w:w="60"/>
              <w:right w:type="dxa" w:w="90"/>
            </w:tcMar>
          </w:tcPr>
          <w:p>
            <w:pPr>
              <w:spacing w:after="0" w:line="240"/>
            </w:pPr>
            <w:r>
              <w:rPr>
                <w:b w:val="false"/>
                <w:bCs w:val="false"/>
                <w:sz w:val="18"/>
                <w:szCs w:val="18"/>
              </w:rPr>
              <w:t xml:space="preserve">Packaging and contracting approach.</w:t>
            </w:r>
          </w:p>
        </w:tc>
        <w:tc>
          <w:tcPr>
            <w:tcW w:type="dxa" w:w="2260"/>
            <w:shd w:fill="F2F5F9" w:color="auto" w:val="clear"/>
            <w:tcMar>
              <w:top w:type="dxa" w:w="60"/>
              <w:left w:type="dxa" w:w="90"/>
              <w:bottom w:type="dxa" w:w="60"/>
              <w:right w:type="dxa" w:w="90"/>
            </w:tcMar>
          </w:tcPr>
          <w:p>
            <w:pPr>
              <w:spacing w:after="0" w:line="240"/>
            </w:pPr>
            <w:r>
              <w:rPr>
                <w:b w:val="false"/>
                <w:bCs w:val="false"/>
                <w:sz w:val="18"/>
                <w:szCs w:val="18"/>
              </w:rPr>
              <w:t xml:space="preserve">Rationale against market.</w:t>
            </w:r>
          </w:p>
        </w:tc>
        <w:tc>
          <w:tcPr>
            <w:tcW w:type="dxa" w:w="1900"/>
            <w:shd w:fill="F2F5F9" w:color="auto" w:val="clear"/>
            <w:tcMar>
              <w:top w:type="dxa" w:w="60"/>
              <w:left w:type="dxa" w:w="90"/>
              <w:bottom w:type="dxa" w:w="60"/>
              <w:right w:type="dxa" w:w="90"/>
            </w:tcMar>
          </w:tcPr>
          <w:p>
            <w:pPr>
              <w:spacing w:after="0" w:line="240"/>
            </w:pPr>
            <w:r>
              <w:rPr>
                <w:b w:val="false"/>
                <w:bCs w:val="false"/>
                <w:sz w:val="18"/>
                <w:szCs w:val="18"/>
              </w:rPr>
              <w:t xml:space="preserve">Absent.</w:t>
            </w:r>
          </w:p>
        </w:tc>
      </w:tr>
      <w:tr>
        <w:tc>
          <w:tcPr>
            <w:tcW w:type="dxa" w:w="1900"/>
            <w:tcMar>
              <w:top w:type="dxa" w:w="60"/>
              <w:left w:type="dxa" w:w="90"/>
              <w:bottom w:type="dxa" w:w="60"/>
              <w:right w:type="dxa" w:w="90"/>
            </w:tcMar>
          </w:tcPr>
          <w:p>
            <w:pPr>
              <w:spacing w:after="0" w:line="240"/>
            </w:pPr>
            <w:r>
              <w:rPr>
                <w:b/>
                <w:bCs/>
                <w:sz w:val="18"/>
                <w:szCs w:val="18"/>
              </w:rPr>
              <w:t xml:space="preserve">13  Readiness assessment</w:t>
            </w:r>
          </w:p>
        </w:tc>
        <w:tc>
          <w:tcPr>
            <w:tcW w:type="dxa" w:w="3300"/>
            <w:tcMar>
              <w:top w:type="dxa" w:w="60"/>
              <w:left w:type="dxa" w:w="90"/>
              <w:bottom w:type="dxa" w:w="60"/>
              <w:right w:type="dxa" w:w="90"/>
            </w:tcMar>
          </w:tcPr>
          <w:p>
            <w:pPr>
              <w:spacing w:after="0" w:line="240"/>
            </w:pPr>
            <w:r>
              <w:rPr>
                <w:b w:val="false"/>
                <w:bCs w:val="false"/>
                <w:sz w:val="18"/>
                <w:szCs w:val="18"/>
              </w:rPr>
              <w:t xml:space="preserve">Weighted scorecard, scored per element.</w:t>
            </w:r>
          </w:p>
        </w:tc>
        <w:tc>
          <w:tcPr>
            <w:tcW w:type="dxa" w:w="2260"/>
            <w:tcMar>
              <w:top w:type="dxa" w:w="60"/>
              <w:left w:type="dxa" w:w="90"/>
              <w:bottom w:type="dxa" w:w="60"/>
              <w:right w:type="dxa" w:w="90"/>
            </w:tcMar>
          </w:tcPr>
          <w:p>
            <w:pPr>
              <w:spacing w:after="0" w:line="240"/>
            </w:pPr>
            <w:r>
              <w:rPr>
                <w:b w:val="false"/>
                <w:bCs w:val="false"/>
                <w:sz w:val="18"/>
                <w:szCs w:val="18"/>
              </w:rPr>
              <w:t xml:space="preserve">Evidence link per element.</w:t>
            </w:r>
          </w:p>
        </w:tc>
        <w:tc>
          <w:tcPr>
            <w:tcW w:type="dxa" w:w="1900"/>
            <w:tcMar>
              <w:top w:type="dxa" w:w="60"/>
              <w:left w:type="dxa" w:w="90"/>
              <w:bottom w:type="dxa" w:w="60"/>
              <w:right w:type="dxa" w:w="90"/>
            </w:tcMar>
          </w:tcPr>
          <w:p>
            <w:pPr>
              <w:spacing w:after="0" w:line="240"/>
            </w:pPr>
            <w:r>
              <w:rPr>
                <w:b w:val="false"/>
                <w:bCs w:val="false"/>
                <w:sz w:val="18"/>
                <w:szCs w:val="18"/>
              </w:rPr>
              <w:t xml:space="preserve">A score with no evidence link.</w:t>
            </w:r>
          </w:p>
        </w:tc>
      </w:tr>
    </w:tbl>
    <w:p>
      <w:pPr>
        <w:spacing w:after="140"/>
      </w:pPr>
      <w:r>
        <w:rPr>
          <w:i/>
          <w:iCs/>
          <w:color w:val="555555"/>
          <w:sz w:val="19"/>
          <w:szCs w:val="19"/>
        </w:rPr>
        <w:t xml:space="preserve">Section 4 is where the reference template is thinnest. Its Financial and Economic Parameters section is a single cost table with no IRR, no NPV and no DSCR. That is appropriate at pre-feasibility and unacceptable at feasibility, so it is where this standard does the most work.</w:t>
      </w:r>
    </w:p>
    <w:p>
      <w:pPr>
        <w:pStyle w:val="Heading1"/>
        <w:spacing w:after="120" w:before="280"/>
      </w:pPr>
      <w:r>
        <w:rPr>
          <w:b/>
          <w:bCs/>
          <w:color w:val="1F3A5F"/>
          <w:sz w:val="26"/>
          <w:szCs w:val="26"/>
        </w:rPr>
        <w:t xml:space="preserve">7  Part C. Benchmark rules</w:t>
      </w:r>
    </w:p>
    <w:p>
      <w:pPr>
        <w:spacing w:after="120" w:line="264"/>
      </w:pPr>
      <w:r>
        <w:t xml:space="preserve">FR-4 needs values to check against. The reference document supplies the first set. Each entry is tagged with source, date and region, as FR-3 requires, and carries a confidence field, which FR-3 does not currently require but should.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2500"/>
        <w:gridCol w:w="1400"/>
        <w:gridCol w:w="1260"/>
      </w:tblGrid>
      <w:tr>
        <w:trPr>
          <w:tblHeader/>
        </w:trPr>
        <w:tc>
          <w:tcPr>
            <w:tcW w:type="dxa" w:w="2500"/>
            <w:shd w:fill="1F3A5F" w:color="auto" w:val="clear"/>
            <w:tcMar>
              <w:top w:type="dxa" w:w="60"/>
              <w:left w:type="dxa" w:w="90"/>
              <w:bottom w:type="dxa" w:w="60"/>
              <w:right w:type="dxa" w:w="90"/>
            </w:tcMar>
          </w:tcPr>
          <w:p>
            <w:pPr>
              <w:spacing w:after="0" w:line="240"/>
            </w:pPr>
            <w:r>
              <w:rPr>
                <w:b/>
                <w:bCs/>
                <w:color w:val="FFFFFF"/>
                <w:sz w:val="18"/>
                <w:szCs w:val="18"/>
              </w:rPr>
              <w:t xml:space="preserve">Metric</w:t>
            </w:r>
          </w:p>
        </w:tc>
        <w:tc>
          <w:tcPr>
            <w:tcW w:type="dxa" w:w="1700"/>
            <w:shd w:fill="1F3A5F" w:color="auto" w:val="clear"/>
            <w:tcMar>
              <w:top w:type="dxa" w:w="60"/>
              <w:left w:type="dxa" w:w="90"/>
              <w:bottom w:type="dxa" w:w="60"/>
              <w:right w:type="dxa" w:w="90"/>
            </w:tcMar>
          </w:tcPr>
          <w:p>
            <w:pPr>
              <w:spacing w:after="0" w:line="240"/>
            </w:pPr>
            <w:r>
              <w:rPr>
                <w:b/>
                <w:bCs/>
                <w:color w:val="FFFFFF"/>
                <w:sz w:val="18"/>
                <w:szCs w:val="18"/>
              </w:rPr>
              <w:t xml:space="preserve">Value</w:t>
            </w:r>
          </w:p>
        </w:tc>
        <w:tc>
          <w:tcPr>
            <w:tcW w:type="dxa" w:w="2500"/>
            <w:shd w:fill="1F3A5F" w:color="auto" w:val="clear"/>
            <w:tcMar>
              <w:top w:type="dxa" w:w="60"/>
              <w:left w:type="dxa" w:w="90"/>
              <w:bottom w:type="dxa" w:w="60"/>
              <w:right w:type="dxa" w:w="90"/>
            </w:tcMar>
          </w:tcPr>
          <w:p>
            <w:pPr>
              <w:spacing w:after="0" w:line="240"/>
            </w:pPr>
            <w:r>
              <w:rPr>
                <w:b/>
                <w:bCs/>
                <w:color w:val="FFFFFF"/>
                <w:sz w:val="18"/>
                <w:szCs w:val="18"/>
              </w:rPr>
              <w:t xml:space="preserve">Source</w:t>
            </w:r>
          </w:p>
        </w:tc>
        <w:tc>
          <w:tcPr>
            <w:tcW w:type="dxa" w:w="1400"/>
            <w:shd w:fill="1F3A5F" w:color="auto" w:val="clear"/>
            <w:tcMar>
              <w:top w:type="dxa" w:w="60"/>
              <w:left w:type="dxa" w:w="90"/>
              <w:bottom w:type="dxa" w:w="60"/>
              <w:right w:type="dxa" w:w="90"/>
            </w:tcMar>
          </w:tcPr>
          <w:p>
            <w:pPr>
              <w:spacing w:after="0" w:line="240"/>
            </w:pPr>
            <w:r>
              <w:rPr>
                <w:b/>
                <w:bCs/>
                <w:color w:val="FFFFFF"/>
                <w:sz w:val="18"/>
                <w:szCs w:val="18"/>
              </w:rPr>
              <w:t xml:space="preserve">Date / region</w:t>
            </w:r>
          </w:p>
        </w:tc>
        <w:tc>
          <w:tcPr>
            <w:tcW w:type="dxa" w:w="1260"/>
            <w:shd w:fill="1F3A5F" w:color="auto" w:val="clear"/>
            <w:tcMar>
              <w:top w:type="dxa" w:w="60"/>
              <w:left w:type="dxa" w:w="90"/>
              <w:bottom w:type="dxa" w:w="60"/>
              <w:right w:type="dxa" w:w="90"/>
            </w:tcMar>
          </w:tcPr>
          <w:p>
            <w:pPr>
              <w:spacing w:after="0" w:line="240"/>
            </w:pPr>
            <w:r>
              <w:rPr>
                <w:b/>
                <w:bCs/>
                <w:color w:val="FFFFFF"/>
                <w:sz w:val="18"/>
                <w:szCs w:val="18"/>
              </w:rPr>
              <w:t xml:space="preserve">Conf.</w:t>
            </w:r>
          </w:p>
        </w:tc>
      </w:tr>
      <w:tr>
        <w:tc>
          <w:tcPr>
            <w:tcW w:type="dxa" w:w="2500"/>
            <w:tcMar>
              <w:top w:type="dxa" w:w="60"/>
              <w:left w:type="dxa" w:w="90"/>
              <w:bottom w:type="dxa" w:w="60"/>
              <w:right w:type="dxa" w:w="90"/>
            </w:tcMar>
          </w:tcPr>
          <w:p>
            <w:pPr>
              <w:spacing w:after="0" w:line="240"/>
            </w:pPr>
            <w:r>
              <w:rPr>
                <w:b/>
                <w:bCs/>
                <w:sz w:val="18"/>
                <w:szCs w:val="18"/>
              </w:rPr>
              <w:t xml:space="preserve">132 kV double-circuit AAAC240 OHL, supply and erection</w:t>
            </w:r>
          </w:p>
        </w:tc>
        <w:tc>
          <w:tcPr>
            <w:tcW w:type="dxa" w:w="1700"/>
            <w:tcMar>
              <w:top w:type="dxa" w:w="60"/>
              <w:left w:type="dxa" w:w="90"/>
              <w:bottom w:type="dxa" w:w="60"/>
              <w:right w:type="dxa" w:w="90"/>
            </w:tcMar>
          </w:tcPr>
          <w:p>
            <w:pPr>
              <w:spacing w:after="0" w:line="240"/>
            </w:pPr>
            <w:r>
              <w:rPr>
                <w:b w:val="false"/>
                <w:bCs w:val="false"/>
                <w:sz w:val="18"/>
                <w:szCs w:val="18"/>
              </w:rPr>
              <w:t xml:space="preserve">153,846 USD/km</w:t>
            </w:r>
          </w:p>
        </w:tc>
        <w:tc>
          <w:tcPr>
            <w:tcW w:type="dxa" w:w="2500"/>
            <w:tcMar>
              <w:top w:type="dxa" w:w="60"/>
              <w:left w:type="dxa" w:w="90"/>
              <w:bottom w:type="dxa" w:w="60"/>
              <w:right w:type="dxa" w:w="90"/>
            </w:tcMar>
          </w:tcPr>
          <w:p>
            <w:pPr>
              <w:spacing w:after="0" w:line="240"/>
            </w:pPr>
            <w:r>
              <w:rPr>
                <w:b w:val="false"/>
                <w:bCs w:val="false"/>
                <w:sz w:val="18"/>
                <w:szCs w:val="18"/>
              </w:rPr>
              <w:t xml:space="preserve">Bulambuli-Moroto PFS, Table 8</w:t>
            </w:r>
          </w:p>
        </w:tc>
        <w:tc>
          <w:tcPr>
            <w:tcW w:type="dxa" w:w="1400"/>
            <w:tcMar>
              <w:top w:type="dxa" w:w="60"/>
              <w:left w:type="dxa" w:w="90"/>
              <w:bottom w:type="dxa" w:w="60"/>
              <w:right w:type="dxa" w:w="90"/>
            </w:tcMar>
          </w:tcPr>
          <w:p>
            <w:pPr>
              <w:spacing w:after="0" w:line="240"/>
            </w:pPr>
            <w:r>
              <w:rPr>
                <w:b w:val="false"/>
                <w:bCs w:val="false"/>
                <w:sz w:val="18"/>
                <w:szCs w:val="18"/>
              </w:rPr>
              <w:t xml:space="preserve">Aug 2020, Uganda</w:t>
            </w:r>
          </w:p>
        </w:tc>
        <w:tc>
          <w:tcPr>
            <w:tcW w:type="dxa" w:w="1260"/>
            <w:tcMar>
              <w:top w:type="dxa" w:w="60"/>
              <w:left w:type="dxa" w:w="90"/>
              <w:bottom w:type="dxa" w:w="60"/>
              <w:right w:type="dxa" w:w="90"/>
            </w:tcMar>
          </w:tcPr>
          <w:p>
            <w:pPr>
              <w:spacing w:after="0" w:line="240"/>
            </w:pPr>
            <w:r>
              <w:rPr>
                <w:b w:val="false"/>
                <w:bCs w:val="false"/>
                <w:sz w:val="18"/>
                <w:szCs w:val="18"/>
              </w:rPr>
              <w:t xml:space="preserve">Low</w:t>
            </w:r>
          </w:p>
        </w:tc>
      </w:tr>
      <w:tr>
        <w:tc>
          <w:tcPr>
            <w:tcW w:type="dxa" w:w="2500"/>
            <w:shd w:fill="F2F5F9" w:color="auto" w:val="clear"/>
            <w:tcMar>
              <w:top w:type="dxa" w:w="60"/>
              <w:left w:type="dxa" w:w="90"/>
              <w:bottom w:type="dxa" w:w="60"/>
              <w:right w:type="dxa" w:w="90"/>
            </w:tcMar>
          </w:tcPr>
          <w:p>
            <w:pPr>
              <w:spacing w:after="0" w:line="240"/>
            </w:pPr>
            <w:r>
              <w:rPr>
                <w:b/>
                <w:bCs/>
                <w:sz w:val="18"/>
                <w:szCs w:val="18"/>
              </w:rPr>
              <w:t xml:space="preserve">132 kV substation</w:t>
            </w:r>
          </w:p>
        </w:tc>
        <w:tc>
          <w:tcPr>
            <w:tcW w:type="dxa" w:w="1700"/>
            <w:shd w:fill="F2F5F9" w:color="auto" w:val="clear"/>
            <w:tcMar>
              <w:top w:type="dxa" w:w="60"/>
              <w:left w:type="dxa" w:w="90"/>
              <w:bottom w:type="dxa" w:w="60"/>
              <w:right w:type="dxa" w:w="90"/>
            </w:tcMar>
          </w:tcPr>
          <w:p>
            <w:pPr>
              <w:spacing w:after="0" w:line="240"/>
            </w:pPr>
            <w:r>
              <w:rPr>
                <w:b w:val="false"/>
                <w:bCs w:val="false"/>
                <w:sz w:val="18"/>
                <w:szCs w:val="18"/>
              </w:rPr>
              <w:t xml:space="preserve">5,000,000 USD lump sum</w:t>
            </w:r>
          </w:p>
        </w:tc>
        <w:tc>
          <w:tcPr>
            <w:tcW w:type="dxa" w:w="2500"/>
            <w:shd w:fill="F2F5F9" w:color="auto" w:val="clear"/>
            <w:tcMar>
              <w:top w:type="dxa" w:w="60"/>
              <w:left w:type="dxa" w:w="90"/>
              <w:bottom w:type="dxa" w:w="60"/>
              <w:right w:type="dxa" w:w="90"/>
            </w:tcMar>
          </w:tcPr>
          <w:p>
            <w:pPr>
              <w:spacing w:after="0" w:line="240"/>
            </w:pPr>
            <w:r>
              <w:rPr>
                <w:b w:val="false"/>
                <w:bCs w:val="false"/>
                <w:sz w:val="18"/>
                <w:szCs w:val="18"/>
              </w:rPr>
              <w:t xml:space="preserve">Bulambuli-Moroto PFS, Table 8</w:t>
            </w:r>
          </w:p>
        </w:tc>
        <w:tc>
          <w:tcPr>
            <w:tcW w:type="dxa" w:w="1400"/>
            <w:shd w:fill="F2F5F9" w:color="auto" w:val="clear"/>
            <w:tcMar>
              <w:top w:type="dxa" w:w="60"/>
              <w:left w:type="dxa" w:w="90"/>
              <w:bottom w:type="dxa" w:w="60"/>
              <w:right w:type="dxa" w:w="90"/>
            </w:tcMar>
          </w:tcPr>
          <w:p>
            <w:pPr>
              <w:spacing w:after="0" w:line="240"/>
            </w:pPr>
            <w:r>
              <w:rPr>
                <w:b w:val="false"/>
                <w:bCs w:val="false"/>
                <w:sz w:val="18"/>
                <w:szCs w:val="18"/>
              </w:rPr>
              <w:t xml:space="preserve">Aug 2020, Uganda</w:t>
            </w:r>
          </w:p>
        </w:tc>
        <w:tc>
          <w:tcPr>
            <w:tcW w:type="dxa" w:w="1260"/>
            <w:shd w:fill="F2F5F9" w:color="auto" w:val="clear"/>
            <w:tcMar>
              <w:top w:type="dxa" w:w="60"/>
              <w:left w:type="dxa" w:w="90"/>
              <w:bottom w:type="dxa" w:w="60"/>
              <w:right w:type="dxa" w:w="90"/>
            </w:tcMar>
          </w:tcPr>
          <w:p>
            <w:pPr>
              <w:spacing w:after="0" w:line="240"/>
            </w:pPr>
            <w:r>
              <w:rPr>
                <w:b w:val="false"/>
                <w:bCs w:val="false"/>
                <w:sz w:val="18"/>
                <w:szCs w:val="18"/>
              </w:rPr>
              <w:t xml:space="preserve">Low</w:t>
            </w:r>
          </w:p>
        </w:tc>
      </w:tr>
      <w:tr>
        <w:tc>
          <w:tcPr>
            <w:tcW w:type="dxa" w:w="2500"/>
            <w:tcMar>
              <w:top w:type="dxa" w:w="60"/>
              <w:left w:type="dxa" w:w="90"/>
              <w:bottom w:type="dxa" w:w="60"/>
              <w:right w:type="dxa" w:w="90"/>
            </w:tcMar>
          </w:tcPr>
          <w:p>
            <w:pPr>
              <w:spacing w:after="0" w:line="240"/>
            </w:pPr>
            <w:r>
              <w:rPr>
                <w:b/>
                <w:bCs/>
                <w:sz w:val="18"/>
                <w:szCs w:val="18"/>
              </w:rPr>
              <w:t xml:space="preserve">Contingency</w:t>
            </w:r>
          </w:p>
        </w:tc>
        <w:tc>
          <w:tcPr>
            <w:tcW w:type="dxa" w:w="1700"/>
            <w:tcMar>
              <w:top w:type="dxa" w:w="60"/>
              <w:left w:type="dxa" w:w="90"/>
              <w:bottom w:type="dxa" w:w="60"/>
              <w:right w:type="dxa" w:w="90"/>
            </w:tcMar>
          </w:tcPr>
          <w:p>
            <w:pPr>
              <w:spacing w:after="0" w:line="240"/>
            </w:pPr>
            <w:r>
              <w:rPr>
                <w:b w:val="false"/>
                <w:bCs w:val="false"/>
                <w:sz w:val="18"/>
                <w:szCs w:val="18"/>
              </w:rPr>
              <w:t xml:space="preserve">10% of OHL plus substation</w:t>
            </w:r>
          </w:p>
        </w:tc>
        <w:tc>
          <w:tcPr>
            <w:tcW w:type="dxa" w:w="2500"/>
            <w:tcMar>
              <w:top w:type="dxa" w:w="60"/>
              <w:left w:type="dxa" w:w="90"/>
              <w:bottom w:type="dxa" w:w="60"/>
              <w:right w:type="dxa" w:w="90"/>
            </w:tcMar>
          </w:tcPr>
          <w:p>
            <w:pPr>
              <w:spacing w:after="0" w:line="240"/>
            </w:pPr>
            <w:r>
              <w:rPr>
                <w:b w:val="false"/>
                <w:bCs w:val="false"/>
                <w:sz w:val="18"/>
                <w:szCs w:val="18"/>
              </w:rPr>
              <w:t xml:space="preserve">Bulambuli-Moroto PFS, Table 8</w:t>
            </w:r>
          </w:p>
        </w:tc>
        <w:tc>
          <w:tcPr>
            <w:tcW w:type="dxa" w:w="1400"/>
            <w:tcMar>
              <w:top w:type="dxa" w:w="60"/>
              <w:left w:type="dxa" w:w="90"/>
              <w:bottom w:type="dxa" w:w="60"/>
              <w:right w:type="dxa" w:w="90"/>
            </w:tcMar>
          </w:tcPr>
          <w:p>
            <w:pPr>
              <w:spacing w:after="0" w:line="240"/>
            </w:pPr>
            <w:r>
              <w:rPr>
                <w:b w:val="false"/>
                <w:bCs w:val="false"/>
                <w:sz w:val="18"/>
                <w:szCs w:val="18"/>
              </w:rPr>
              <w:t xml:space="preserve">Aug 2020</w:t>
            </w:r>
          </w:p>
        </w:tc>
        <w:tc>
          <w:tcPr>
            <w:tcW w:type="dxa" w:w="1260"/>
            <w:tcMar>
              <w:top w:type="dxa" w:w="60"/>
              <w:left w:type="dxa" w:w="90"/>
              <w:bottom w:type="dxa" w:w="60"/>
              <w:right w:type="dxa" w:w="90"/>
            </w:tcMar>
          </w:tcPr>
          <w:p>
            <w:pPr>
              <w:spacing w:after="0" w:line="240"/>
            </w:pPr>
            <w:r>
              <w:rPr>
                <w:b w:val="false"/>
                <w:bCs w:val="false"/>
                <w:sz w:val="18"/>
                <w:szCs w:val="18"/>
              </w:rPr>
              <w:t xml:space="preserve">Medium</w:t>
            </w:r>
          </w:p>
        </w:tc>
      </w:tr>
      <w:tr>
        <w:tc>
          <w:tcPr>
            <w:tcW w:type="dxa" w:w="2500"/>
            <w:shd w:fill="F2F5F9" w:color="auto" w:val="clear"/>
            <w:tcMar>
              <w:top w:type="dxa" w:w="60"/>
              <w:left w:type="dxa" w:w="90"/>
              <w:bottom w:type="dxa" w:w="60"/>
              <w:right w:type="dxa" w:w="90"/>
            </w:tcMar>
          </w:tcPr>
          <w:p>
            <w:pPr>
              <w:spacing w:after="0" w:line="240"/>
            </w:pPr>
            <w:r>
              <w:rPr>
                <w:b/>
                <w:bCs/>
                <w:sz w:val="18"/>
                <w:szCs w:val="18"/>
              </w:rPr>
              <w:t xml:space="preserve">Consultancy services</w:t>
            </w:r>
          </w:p>
        </w:tc>
        <w:tc>
          <w:tcPr>
            <w:tcW w:type="dxa" w:w="1700"/>
            <w:shd w:fill="F2F5F9" w:color="auto" w:val="clear"/>
            <w:tcMar>
              <w:top w:type="dxa" w:w="60"/>
              <w:left w:type="dxa" w:w="90"/>
              <w:bottom w:type="dxa" w:w="60"/>
              <w:right w:type="dxa" w:w="90"/>
            </w:tcMar>
          </w:tcPr>
          <w:p>
            <w:pPr>
              <w:spacing w:after="0" w:line="240"/>
            </w:pPr>
            <w:r>
              <w:rPr>
                <w:b w:val="false"/>
                <w:bCs w:val="false"/>
                <w:sz w:val="18"/>
                <w:szCs w:val="18"/>
              </w:rPr>
              <w:t xml:space="preserve">5% of OHL plus substation</w:t>
            </w:r>
          </w:p>
        </w:tc>
        <w:tc>
          <w:tcPr>
            <w:tcW w:type="dxa" w:w="2500"/>
            <w:shd w:fill="F2F5F9" w:color="auto" w:val="clear"/>
            <w:tcMar>
              <w:top w:type="dxa" w:w="60"/>
              <w:left w:type="dxa" w:w="90"/>
              <w:bottom w:type="dxa" w:w="60"/>
              <w:right w:type="dxa" w:w="90"/>
            </w:tcMar>
          </w:tcPr>
          <w:p>
            <w:pPr>
              <w:spacing w:after="0" w:line="240"/>
            </w:pPr>
            <w:r>
              <w:rPr>
                <w:b w:val="false"/>
                <w:bCs w:val="false"/>
                <w:sz w:val="18"/>
                <w:szCs w:val="18"/>
              </w:rPr>
              <w:t xml:space="preserve">Bulambuli-Moroto PFS, Table 8</w:t>
            </w:r>
          </w:p>
        </w:tc>
        <w:tc>
          <w:tcPr>
            <w:tcW w:type="dxa" w:w="1400"/>
            <w:shd w:fill="F2F5F9" w:color="auto" w:val="clear"/>
            <w:tcMar>
              <w:top w:type="dxa" w:w="60"/>
              <w:left w:type="dxa" w:w="90"/>
              <w:bottom w:type="dxa" w:w="60"/>
              <w:right w:type="dxa" w:w="90"/>
            </w:tcMar>
          </w:tcPr>
          <w:p>
            <w:pPr>
              <w:spacing w:after="0" w:line="240"/>
            </w:pPr>
            <w:r>
              <w:rPr>
                <w:b w:val="false"/>
                <w:bCs w:val="false"/>
                <w:sz w:val="18"/>
                <w:szCs w:val="18"/>
              </w:rPr>
              <w:t xml:space="preserve">Aug 2020</w:t>
            </w:r>
          </w:p>
        </w:tc>
        <w:tc>
          <w:tcPr>
            <w:tcW w:type="dxa" w:w="1260"/>
            <w:shd w:fill="F2F5F9" w:color="auto" w:val="clear"/>
            <w:tcMar>
              <w:top w:type="dxa" w:w="60"/>
              <w:left w:type="dxa" w:w="90"/>
              <w:bottom w:type="dxa" w:w="60"/>
              <w:right w:type="dxa" w:w="90"/>
            </w:tcMar>
          </w:tcPr>
          <w:p>
            <w:pPr>
              <w:spacing w:after="0" w:line="240"/>
            </w:pPr>
            <w:r>
              <w:rPr>
                <w:b w:val="false"/>
                <w:bCs w:val="false"/>
                <w:sz w:val="18"/>
                <w:szCs w:val="18"/>
              </w:rPr>
              <w:t xml:space="preserve">Medium</w:t>
            </w:r>
          </w:p>
        </w:tc>
      </w:tr>
      <w:tr>
        <w:tc>
          <w:tcPr>
            <w:tcW w:type="dxa" w:w="2500"/>
            <w:tcMar>
              <w:top w:type="dxa" w:w="60"/>
              <w:left w:type="dxa" w:w="90"/>
              <w:bottom w:type="dxa" w:w="60"/>
              <w:right w:type="dxa" w:w="90"/>
            </w:tcMar>
          </w:tcPr>
          <w:p>
            <w:pPr>
              <w:spacing w:after="0" w:line="240"/>
            </w:pPr>
            <w:r>
              <w:rPr>
                <w:b/>
                <w:bCs/>
                <w:sz w:val="18"/>
                <w:szCs w:val="18"/>
              </w:rPr>
              <w:t xml:space="preserve">ESIA and RAP studies</w:t>
            </w:r>
          </w:p>
        </w:tc>
        <w:tc>
          <w:tcPr>
            <w:tcW w:type="dxa" w:w="1700"/>
            <w:tcMar>
              <w:top w:type="dxa" w:w="60"/>
              <w:left w:type="dxa" w:w="90"/>
              <w:bottom w:type="dxa" w:w="60"/>
              <w:right w:type="dxa" w:w="90"/>
            </w:tcMar>
          </w:tcPr>
          <w:p>
            <w:pPr>
              <w:spacing w:after="0" w:line="240"/>
            </w:pPr>
            <w:r>
              <w:rPr>
                <w:b w:val="false"/>
                <w:bCs w:val="false"/>
                <w:sz w:val="18"/>
                <w:szCs w:val="18"/>
              </w:rPr>
              <w:t xml:space="preserve">500 USD/km of OHL</w:t>
            </w:r>
          </w:p>
        </w:tc>
        <w:tc>
          <w:tcPr>
            <w:tcW w:type="dxa" w:w="2500"/>
            <w:tcMar>
              <w:top w:type="dxa" w:w="60"/>
              <w:left w:type="dxa" w:w="90"/>
              <w:bottom w:type="dxa" w:w="60"/>
              <w:right w:type="dxa" w:w="90"/>
            </w:tcMar>
          </w:tcPr>
          <w:p>
            <w:pPr>
              <w:spacing w:after="0" w:line="240"/>
            </w:pPr>
            <w:r>
              <w:rPr>
                <w:b w:val="false"/>
                <w:bCs w:val="false"/>
                <w:sz w:val="18"/>
                <w:szCs w:val="18"/>
              </w:rPr>
              <w:t xml:space="preserve">Bulambuli-Moroto PFS, Table 8</w:t>
            </w:r>
          </w:p>
        </w:tc>
        <w:tc>
          <w:tcPr>
            <w:tcW w:type="dxa" w:w="1400"/>
            <w:tcMar>
              <w:top w:type="dxa" w:w="60"/>
              <w:left w:type="dxa" w:w="90"/>
              <w:bottom w:type="dxa" w:w="60"/>
              <w:right w:type="dxa" w:w="90"/>
            </w:tcMar>
          </w:tcPr>
          <w:p>
            <w:pPr>
              <w:spacing w:after="0" w:line="240"/>
            </w:pPr>
            <w:r>
              <w:rPr>
                <w:b w:val="false"/>
                <w:bCs w:val="false"/>
                <w:sz w:val="18"/>
                <w:szCs w:val="18"/>
              </w:rPr>
              <w:t xml:space="preserve">Aug 2020, Uganda</w:t>
            </w:r>
          </w:p>
        </w:tc>
        <w:tc>
          <w:tcPr>
            <w:tcW w:type="dxa" w:w="1260"/>
            <w:tcMar>
              <w:top w:type="dxa" w:w="60"/>
              <w:left w:type="dxa" w:w="90"/>
              <w:bottom w:type="dxa" w:w="60"/>
              <w:right w:type="dxa" w:w="90"/>
            </w:tcMar>
          </w:tcPr>
          <w:p>
            <w:pPr>
              <w:spacing w:after="0" w:line="240"/>
            </w:pPr>
            <w:r>
              <w:rPr>
                <w:b w:val="false"/>
                <w:bCs w:val="false"/>
                <w:sz w:val="18"/>
                <w:szCs w:val="18"/>
              </w:rPr>
              <w:t xml:space="preserve">Low</w:t>
            </w:r>
          </w:p>
        </w:tc>
      </w:tr>
      <w:tr>
        <w:tc>
          <w:tcPr>
            <w:tcW w:type="dxa" w:w="2500"/>
            <w:shd w:fill="F2F5F9" w:color="auto" w:val="clear"/>
            <w:tcMar>
              <w:top w:type="dxa" w:w="60"/>
              <w:left w:type="dxa" w:w="90"/>
              <w:bottom w:type="dxa" w:w="60"/>
              <w:right w:type="dxa" w:w="90"/>
            </w:tcMar>
          </w:tcPr>
          <w:p>
            <w:pPr>
              <w:spacing w:after="0" w:line="240"/>
            </w:pPr>
            <w:r>
              <w:rPr>
                <w:b/>
                <w:bCs/>
                <w:sz w:val="18"/>
                <w:szCs w:val="18"/>
              </w:rPr>
              <w:t xml:space="preserve">Land take</w:t>
            </w:r>
          </w:p>
        </w:tc>
        <w:tc>
          <w:tcPr>
            <w:tcW w:type="dxa" w:w="1700"/>
            <w:shd w:fill="F2F5F9" w:color="auto" w:val="clear"/>
            <w:tcMar>
              <w:top w:type="dxa" w:w="60"/>
              <w:left w:type="dxa" w:w="90"/>
              <w:bottom w:type="dxa" w:w="60"/>
              <w:right w:type="dxa" w:w="90"/>
            </w:tcMar>
          </w:tcPr>
          <w:p>
            <w:pPr>
              <w:spacing w:after="0" w:line="240"/>
            </w:pPr>
            <w:r>
              <w:rPr>
                <w:b w:val="false"/>
                <w:bCs w:val="false"/>
                <w:sz w:val="18"/>
                <w:szCs w:val="18"/>
              </w:rPr>
              <w:t xml:space="preserve">8.65 acres/km, about a 35 m effective corridor</w:t>
            </w:r>
          </w:p>
        </w:tc>
        <w:tc>
          <w:tcPr>
            <w:tcW w:type="dxa" w:w="2500"/>
            <w:shd w:fill="F2F5F9" w:color="auto" w:val="clear"/>
            <w:tcMar>
              <w:top w:type="dxa" w:w="60"/>
              <w:left w:type="dxa" w:w="90"/>
              <w:bottom w:type="dxa" w:w="60"/>
              <w:right w:type="dxa" w:w="90"/>
            </w:tcMar>
          </w:tcPr>
          <w:p>
            <w:pPr>
              <w:spacing w:after="0" w:line="240"/>
            </w:pPr>
            <w:r>
              <w:rPr>
                <w:b w:val="false"/>
                <w:bCs w:val="false"/>
                <w:sz w:val="18"/>
                <w:szCs w:val="18"/>
              </w:rPr>
              <w:t xml:space="preserve">Derived across all three options</w:t>
            </w:r>
          </w:p>
        </w:tc>
        <w:tc>
          <w:tcPr>
            <w:tcW w:type="dxa" w:w="1400"/>
            <w:shd w:fill="F2F5F9" w:color="auto" w:val="clear"/>
            <w:tcMar>
              <w:top w:type="dxa" w:w="60"/>
              <w:left w:type="dxa" w:w="90"/>
              <w:bottom w:type="dxa" w:w="60"/>
              <w:right w:type="dxa" w:w="90"/>
            </w:tcMar>
          </w:tcPr>
          <w:p>
            <w:pPr>
              <w:spacing w:after="0" w:line="240"/>
            </w:pPr>
            <w:r>
              <w:rPr>
                <w:b w:val="false"/>
                <w:bCs w:val="false"/>
                <w:sz w:val="18"/>
                <w:szCs w:val="18"/>
              </w:rPr>
              <w:t xml:space="preserve">Aug 2020, Uganda</w:t>
            </w:r>
          </w:p>
        </w:tc>
        <w:tc>
          <w:tcPr>
            <w:tcW w:type="dxa" w:w="1260"/>
            <w:shd w:fill="F2F5F9" w:color="auto" w:val="clear"/>
            <w:tcMar>
              <w:top w:type="dxa" w:w="60"/>
              <w:left w:type="dxa" w:w="90"/>
              <w:bottom w:type="dxa" w:w="60"/>
              <w:right w:type="dxa" w:w="90"/>
            </w:tcMar>
          </w:tcPr>
          <w:p>
            <w:pPr>
              <w:spacing w:after="0" w:line="240"/>
            </w:pPr>
            <w:r>
              <w:rPr>
                <w:b w:val="false"/>
                <w:bCs w:val="false"/>
                <w:sz w:val="18"/>
                <w:szCs w:val="18"/>
              </w:rPr>
              <w:t xml:space="preserve">Medium</w:t>
            </w:r>
          </w:p>
        </w:tc>
      </w:tr>
      <w:tr>
        <w:tc>
          <w:tcPr>
            <w:tcW w:type="dxa" w:w="2500"/>
            <w:tcMar>
              <w:top w:type="dxa" w:w="60"/>
              <w:left w:type="dxa" w:w="90"/>
              <w:bottom w:type="dxa" w:w="60"/>
              <w:right w:type="dxa" w:w="90"/>
            </w:tcMar>
          </w:tcPr>
          <w:p>
            <w:pPr>
              <w:spacing w:after="0" w:line="240"/>
            </w:pPr>
            <w:r>
              <w:rPr>
                <w:b/>
                <w:bCs/>
                <w:sz w:val="18"/>
                <w:szCs w:val="18"/>
              </w:rPr>
              <w:t xml:space="preserve">Compensation</w:t>
            </w:r>
          </w:p>
        </w:tc>
        <w:tc>
          <w:tcPr>
            <w:tcW w:type="dxa" w:w="1700"/>
            <w:tcMar>
              <w:top w:type="dxa" w:w="60"/>
              <w:left w:type="dxa" w:w="90"/>
              <w:bottom w:type="dxa" w:w="60"/>
              <w:right w:type="dxa" w:w="90"/>
            </w:tcMar>
          </w:tcPr>
          <w:p>
            <w:pPr>
              <w:spacing w:after="0" w:line="240"/>
            </w:pPr>
            <w:r>
              <w:rPr>
                <w:b w:val="false"/>
                <w:bCs w:val="false"/>
                <w:sz w:val="18"/>
                <w:szCs w:val="18"/>
              </w:rPr>
              <w:t xml:space="preserve">1,000 USD/acre</w:t>
            </w:r>
          </w:p>
        </w:tc>
        <w:tc>
          <w:tcPr>
            <w:tcW w:type="dxa" w:w="2500"/>
            <w:tcMar>
              <w:top w:type="dxa" w:w="60"/>
              <w:left w:type="dxa" w:w="90"/>
              <w:bottom w:type="dxa" w:w="60"/>
              <w:right w:type="dxa" w:w="90"/>
            </w:tcMar>
          </w:tcPr>
          <w:p>
            <w:pPr>
              <w:spacing w:after="0" w:line="240"/>
            </w:pPr>
            <w:r>
              <w:rPr>
                <w:b w:val="false"/>
                <w:bCs w:val="false"/>
                <w:sz w:val="18"/>
                <w:szCs w:val="18"/>
              </w:rPr>
              <w:t xml:space="preserve">Bulambuli-Moroto PFS, Table 8</w:t>
            </w:r>
          </w:p>
        </w:tc>
        <w:tc>
          <w:tcPr>
            <w:tcW w:type="dxa" w:w="1400"/>
            <w:tcMar>
              <w:top w:type="dxa" w:w="60"/>
              <w:left w:type="dxa" w:w="90"/>
              <w:bottom w:type="dxa" w:w="60"/>
              <w:right w:type="dxa" w:w="90"/>
            </w:tcMar>
          </w:tcPr>
          <w:p>
            <w:pPr>
              <w:spacing w:after="0" w:line="240"/>
            </w:pPr>
            <w:r>
              <w:rPr>
                <w:b w:val="false"/>
                <w:bCs w:val="false"/>
                <w:sz w:val="18"/>
                <w:szCs w:val="18"/>
              </w:rPr>
              <w:t xml:space="preserve">Aug 2020, Uganda</w:t>
            </w:r>
          </w:p>
        </w:tc>
        <w:tc>
          <w:tcPr>
            <w:tcW w:type="dxa" w:w="1260"/>
            <w:tcMar>
              <w:top w:type="dxa" w:w="60"/>
              <w:left w:type="dxa" w:w="90"/>
              <w:bottom w:type="dxa" w:w="60"/>
              <w:right w:type="dxa" w:w="90"/>
            </w:tcMar>
          </w:tcPr>
          <w:p>
            <w:pPr>
              <w:spacing w:after="0" w:line="240"/>
            </w:pPr>
            <w:r>
              <w:rPr>
                <w:b w:val="false"/>
                <w:bCs w:val="false"/>
                <w:sz w:val="18"/>
                <w:szCs w:val="18"/>
              </w:rPr>
              <w:t xml:space="preserve">Low</w:t>
            </w:r>
          </w:p>
        </w:tc>
      </w:tr>
      <w:tr>
        <w:tc>
          <w:tcPr>
            <w:tcW w:type="dxa" w:w="2500"/>
            <w:shd w:fill="F2F5F9" w:color="auto" w:val="clear"/>
            <w:tcMar>
              <w:top w:type="dxa" w:w="60"/>
              <w:left w:type="dxa" w:w="90"/>
              <w:bottom w:type="dxa" w:w="60"/>
              <w:right w:type="dxa" w:w="90"/>
            </w:tcMar>
          </w:tcPr>
          <w:p>
            <w:pPr>
              <w:spacing w:after="0" w:line="240"/>
            </w:pPr>
            <w:r>
              <w:rPr>
                <w:b/>
                <w:bCs/>
                <w:sz w:val="18"/>
                <w:szCs w:val="18"/>
              </w:rPr>
              <w:t xml:space="preserve">400 kV single-circuit HVAC, total capex</w:t>
            </w:r>
          </w:p>
        </w:tc>
        <w:tc>
          <w:tcPr>
            <w:tcW w:type="dxa" w:w="1700"/>
            <w:shd w:fill="F2F5F9" w:color="auto" w:val="clear"/>
            <w:tcMar>
              <w:top w:type="dxa" w:w="60"/>
              <w:left w:type="dxa" w:w="90"/>
              <w:bottom w:type="dxa" w:w="60"/>
              <w:right w:type="dxa" w:w="90"/>
            </w:tcMar>
          </w:tcPr>
          <w:p>
            <w:pPr>
              <w:spacing w:after="0" w:line="240"/>
            </w:pPr>
            <w:r>
              <w:rPr>
                <w:b w:val="false"/>
                <w:bCs w:val="false"/>
                <w:sz w:val="18"/>
                <w:szCs w:val="18"/>
              </w:rPr>
              <w:t xml:space="preserve">about 1.50 M USD/km</w:t>
            </w:r>
          </w:p>
        </w:tc>
        <w:tc>
          <w:tcPr>
            <w:tcW w:type="dxa" w:w="2500"/>
            <w:shd w:fill="F2F5F9" w:color="auto" w:val="clear"/>
            <w:tcMar>
              <w:top w:type="dxa" w:w="60"/>
              <w:left w:type="dxa" w:w="90"/>
              <w:bottom w:type="dxa" w:w="60"/>
              <w:right w:type="dxa" w:w="90"/>
            </w:tcMar>
          </w:tcPr>
          <w:p>
            <w:pPr>
              <w:spacing w:after="0" w:line="240"/>
            </w:pPr>
            <w:r>
              <w:rPr>
                <w:b w:val="false"/>
                <w:bCs w:val="false"/>
                <w:sz w:val="18"/>
                <w:szCs w:val="18"/>
              </w:rPr>
              <w:t xml:space="preserve">Ghanzi-Gobabis pre-feasibility, 432 M USD over 288.47 km</w:t>
            </w:r>
          </w:p>
        </w:tc>
        <w:tc>
          <w:tcPr>
            <w:tcW w:type="dxa" w:w="1400"/>
            <w:shd w:fill="F2F5F9" w:color="auto" w:val="clear"/>
            <w:tcMar>
              <w:top w:type="dxa" w:w="60"/>
              <w:left w:type="dxa" w:w="90"/>
              <w:bottom w:type="dxa" w:w="60"/>
              <w:right w:type="dxa" w:w="90"/>
            </w:tcMar>
          </w:tcPr>
          <w:p>
            <w:pPr>
              <w:spacing w:after="0" w:line="240"/>
            </w:pPr>
            <w:r>
              <w:rPr>
                <w:b w:val="false"/>
                <w:bCs w:val="false"/>
                <w:sz w:val="18"/>
                <w:szCs w:val="18"/>
              </w:rPr>
              <w:t xml:space="preserve">2026, Botswana-Namibia</w:t>
            </w:r>
          </w:p>
        </w:tc>
        <w:tc>
          <w:tcPr>
            <w:tcW w:type="dxa" w:w="1260"/>
            <w:shd w:fill="F2F5F9" w:color="auto" w:val="clear"/>
            <w:tcMar>
              <w:top w:type="dxa" w:w="60"/>
              <w:left w:type="dxa" w:w="90"/>
              <w:bottom w:type="dxa" w:w="60"/>
              <w:right w:type="dxa" w:w="90"/>
            </w:tcMar>
          </w:tcPr>
          <w:p>
            <w:pPr>
              <w:spacing w:after="0" w:line="240"/>
            </w:pPr>
            <w:r>
              <w:rPr>
                <w:b w:val="false"/>
                <w:bCs w:val="false"/>
                <w:sz w:val="18"/>
                <w:szCs w:val="18"/>
              </w:rPr>
              <w:t xml:space="preserve">Low</w:t>
            </w:r>
          </w:p>
        </w:tc>
      </w:tr>
    </w:tbl>
    <w:p>
      <w:pPr>
        <w:pStyle w:val="Heading2"/>
        <w:spacing w:after="90" w:before="200"/>
      </w:pPr>
      <w:r>
        <w:rPr>
          <w:b/>
          <w:bCs/>
          <w:color w:val="1F3A5F"/>
          <w:sz w:val="22"/>
          <w:szCs w:val="22"/>
        </w:rPr>
        <w:t xml:space="preserve">7.1  What this set is, honestly</w:t>
      </w:r>
    </w:p>
    <w:p>
      <w:pPr>
        <w:spacing w:after="120" w:line="264"/>
      </w:pPr>
      <w:r>
        <w:t xml:space="preserve">This is one project plus one adjacent data point. It is a seed, not a benchmark library, and the standard should say so internally rather than let a threshold imply a confidence that is not there. Four specific weaknesses:</w:t>
      </w:r>
    </w:p>
    <w:p>
      <w:pPr>
        <w:pStyle w:val="ListParagraph"/>
        <w:numPr>
          <w:ilvl w:val="0"/>
          <w:numId w:val="2"/>
        </w:numPr>
        <w:spacing w:after="80" w:line="264"/>
      </w:pPr>
      <w:r>
        <w:t xml:space="preserve">The rates are August 2020 and have not been escalated.</w:t>
      </w:r>
    </w:p>
    <w:p>
      <w:pPr>
        <w:pStyle w:val="ListParagraph"/>
        <w:numPr>
          <w:ilvl w:val="0"/>
          <w:numId w:val="2"/>
        </w:numPr>
        <w:spacing w:after="80" w:line="264"/>
      </w:pPr>
      <w:r>
        <w:t xml:space="preserve">The per-km rate is flat across all three route options, from 123 km to 152 km. That is a pre-feasibility simplification, so it benchmarks pre-feasibility practice rather than feasibility practice. Real per-km cost varies with terrain, which is precisely what the Mt. Elgon foothills section of this corridor would show.</w:t>
      </w:r>
    </w:p>
    <w:p>
      <w:pPr>
        <w:pStyle w:val="ListParagraph"/>
        <w:numPr>
          <w:ilvl w:val="0"/>
          <w:numId w:val="2"/>
        </w:numPr>
        <w:spacing w:after="80" w:line="264"/>
      </w:pPr>
      <w:r>
        <w:t xml:space="preserve">The substation figure is identical across all three options, so it is a placeholder rather than a costed design.</w:t>
      </w:r>
    </w:p>
    <w:p>
      <w:pPr>
        <w:pStyle w:val="ListParagraph"/>
        <w:numPr>
          <w:ilvl w:val="0"/>
          <w:numId w:val="2"/>
        </w:numPr>
        <w:spacing w:after="80" w:line="264"/>
      </w:pPr>
      <w:r>
        <w:t xml:space="preserve">Supply and erection are not separated, so the benchmark cannot isolate a rate movement in either.</w:t>
      </w:r>
    </w:p>
    <w:p>
      <w:pPr>
        <w:spacing w:after="120" w:line="264"/>
      </w:pPr>
      <w:r>
        <w:rPr>
          <w:b/>
          <w:bCs/>
        </w:rPr>
        <w:t xml:space="preserve">Recommendation. </w:t>
      </w:r>
      <w:r>
        <w:t xml:space="preserve">Before launch, escalate the 2020 rates to current prices, add at least three comparable projects per metric, and separate supply from erection. Until a metric has three or more sources, a deviation against it should raise an Advisory flag at most, never Material. This is the direct answer to the Platform PRD's own open question about what happens when the reference data is itself outdated or inapplicable: the confidence field decides the maximum severity, and the provenance tags let the PM team dismiss the flag in one look.</w:t>
      </w:r>
    </w:p>
    <w:p>
      <w:pPr>
        <w:pStyle w:val="Heading1"/>
        <w:spacing w:after="120" w:before="280"/>
      </w:pPr>
      <w:r>
        <w:rPr>
          <w:b/>
          <w:bCs/>
          <w:color w:val="1F3A5F"/>
          <w:sz w:val="26"/>
          <w:szCs w:val="26"/>
        </w:rPr>
        <w:t xml:space="preserve">8  Part D. Worked example, from the reference document</w:t>
      </w:r>
    </w:p>
    <w:p>
      <w:pPr>
        <w:spacing w:after="120" w:line="264"/>
      </w:pPr>
      <w:r>
        <w:t xml:space="preserve">Table 8 of the reference PFS gives a live example of a check that pays for itself, and it is a good candidate for the Saturday demo because it is real, verifiable and already in the data room.</w:t>
      </w:r>
    </w:p>
    <w:p>
      <w:pPr>
        <w:spacing w:after="120" w:line="264"/>
      </w:pPr>
      <w:r>
        <w:t xml:space="preserve">Recomputing Option 1 (152 km) from the table's own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80"/>
        <w:gridCol w:w="2480"/>
      </w:tblGrid>
      <w:tr>
        <w:trPr>
          <w:tblHeader/>
        </w:trPr>
        <w:tc>
          <w:tcPr>
            <w:tcW w:type="dxa" w:w="4400"/>
            <w:shd w:fill="1F3A5F" w:color="auto" w:val="clear"/>
            <w:tcMar>
              <w:top w:type="dxa" w:w="60"/>
              <w:left w:type="dxa" w:w="90"/>
              <w:bottom w:type="dxa" w:w="60"/>
              <w:right w:type="dxa" w:w="90"/>
            </w:tcMar>
          </w:tcPr>
          <w:p>
            <w:pPr>
              <w:spacing w:after="0" w:line="240"/>
            </w:pPr>
            <w:r>
              <w:rPr>
                <w:b/>
                <w:bCs/>
                <w:color w:val="FFFFFF"/>
                <w:sz w:val="18"/>
                <w:szCs w:val="18"/>
              </w:rPr>
              <w:t xml:space="preserve">Component</w:t>
            </w:r>
          </w:p>
        </w:tc>
        <w:tc>
          <w:tcPr>
            <w:tcW w:type="dxa" w:w="2480"/>
            <w:shd w:fill="1F3A5F" w:color="auto" w:val="clear"/>
            <w:tcMar>
              <w:top w:type="dxa" w:w="60"/>
              <w:left w:type="dxa" w:w="90"/>
              <w:bottom w:type="dxa" w:w="60"/>
              <w:right w:type="dxa" w:w="90"/>
            </w:tcMar>
          </w:tcPr>
          <w:p>
            <w:pPr>
              <w:spacing w:after="0" w:line="240"/>
            </w:pPr>
            <w:r>
              <w:rPr>
                <w:b/>
                <w:bCs/>
                <w:color w:val="FFFFFF"/>
                <w:sz w:val="18"/>
                <w:szCs w:val="18"/>
              </w:rPr>
              <w:t xml:space="preserve">Stated</w:t>
            </w:r>
          </w:p>
        </w:tc>
        <w:tc>
          <w:tcPr>
            <w:tcW w:type="dxa" w:w="2480"/>
            <w:shd w:fill="1F3A5F" w:color="auto" w:val="clear"/>
            <w:tcMar>
              <w:top w:type="dxa" w:w="60"/>
              <w:left w:type="dxa" w:w="90"/>
              <w:bottom w:type="dxa" w:w="60"/>
              <w:right w:type="dxa" w:w="90"/>
            </w:tcMar>
          </w:tcPr>
          <w:p>
            <w:pPr>
              <w:spacing w:after="0" w:line="240"/>
            </w:pPr>
            <w:r>
              <w:rPr>
                <w:b/>
                <w:bCs/>
                <w:color w:val="FFFFFF"/>
                <w:sz w:val="18"/>
                <w:szCs w:val="18"/>
              </w:rPr>
              <w:t xml:space="preserve">Check</w:t>
            </w:r>
          </w:p>
        </w:tc>
      </w:tr>
      <w:tr>
        <w:tc>
          <w:tcPr>
            <w:tcW w:type="dxa" w:w="4400"/>
            <w:tcMar>
              <w:top w:type="dxa" w:w="60"/>
              <w:left w:type="dxa" w:w="90"/>
              <w:bottom w:type="dxa" w:w="60"/>
              <w:right w:type="dxa" w:w="90"/>
            </w:tcMar>
          </w:tcPr>
          <w:p>
            <w:pPr>
              <w:spacing w:after="0" w:line="240"/>
            </w:pPr>
            <w:r>
              <w:rPr>
                <w:b/>
                <w:bCs/>
                <w:sz w:val="18"/>
                <w:szCs w:val="18"/>
              </w:rPr>
              <w:t xml:space="preserve">OHL supply and erection</w:t>
            </w:r>
          </w:p>
        </w:tc>
        <w:tc>
          <w:tcPr>
            <w:tcW w:type="dxa" w:w="2480"/>
            <w:tcMar>
              <w:top w:type="dxa" w:w="60"/>
              <w:left w:type="dxa" w:w="90"/>
              <w:bottom w:type="dxa" w:w="60"/>
              <w:right w:type="dxa" w:w="90"/>
            </w:tcMar>
          </w:tcPr>
          <w:p>
            <w:pPr>
              <w:spacing w:after="0" w:line="240"/>
            </w:pPr>
            <w:r>
              <w:rPr>
                <w:b w:val="false"/>
                <w:bCs w:val="false"/>
                <w:sz w:val="18"/>
                <w:szCs w:val="18"/>
              </w:rPr>
              <w:t xml:space="preserve">23,384,615</w:t>
            </w:r>
          </w:p>
        </w:tc>
        <w:tc>
          <w:tcPr>
            <w:tcW w:type="dxa" w:w="2480"/>
            <w:tcMar>
              <w:top w:type="dxa" w:w="60"/>
              <w:left w:type="dxa" w:w="90"/>
              <w:bottom w:type="dxa" w:w="60"/>
              <w:right w:type="dxa" w:w="90"/>
            </w:tcMar>
          </w:tcPr>
          <w:p>
            <w:pPr>
              <w:spacing w:after="0" w:line="240"/>
            </w:pPr>
            <w:r>
              <w:rPr>
                <w:b w:val="false"/>
                <w:bCs w:val="false"/>
                <w:sz w:val="18"/>
                <w:szCs w:val="18"/>
              </w:rPr>
              <w:t xml:space="preserve">153,846 USD/km x 152 km</w:t>
            </w:r>
          </w:p>
        </w:tc>
      </w:tr>
      <w:tr>
        <w:tc>
          <w:tcPr>
            <w:tcW w:type="dxa" w:w="4400"/>
            <w:shd w:fill="F2F5F9" w:color="auto" w:val="clear"/>
            <w:tcMar>
              <w:top w:type="dxa" w:w="60"/>
              <w:left w:type="dxa" w:w="90"/>
              <w:bottom w:type="dxa" w:w="60"/>
              <w:right w:type="dxa" w:w="90"/>
            </w:tcMar>
          </w:tcPr>
          <w:p>
            <w:pPr>
              <w:spacing w:after="0" w:line="240"/>
            </w:pPr>
            <w:r>
              <w:rPr>
                <w:b/>
                <w:bCs/>
                <w:sz w:val="18"/>
                <w:szCs w:val="18"/>
              </w:rPr>
              <w:t xml:space="preserve">Bulambuli substation</w:t>
            </w:r>
          </w:p>
        </w:tc>
        <w:tc>
          <w:tcPr>
            <w:tcW w:type="dxa" w:w="2480"/>
            <w:shd w:fill="F2F5F9" w:color="auto" w:val="clear"/>
            <w:tcMar>
              <w:top w:type="dxa" w:w="60"/>
              <w:left w:type="dxa" w:w="90"/>
              <w:bottom w:type="dxa" w:w="60"/>
              <w:right w:type="dxa" w:w="90"/>
            </w:tcMar>
          </w:tcPr>
          <w:p>
            <w:pPr>
              <w:spacing w:after="0" w:line="240"/>
            </w:pPr>
            <w:r>
              <w:rPr>
                <w:b w:val="false"/>
                <w:bCs w:val="false"/>
                <w:sz w:val="18"/>
                <w:szCs w:val="18"/>
              </w:rPr>
              <w:t xml:space="preserve">5,000,000</w:t>
            </w:r>
          </w:p>
        </w:tc>
        <w:tc>
          <w:tcPr>
            <w:tcW w:type="dxa" w:w="2480"/>
            <w:shd w:fill="F2F5F9" w:color="auto" w:val="clear"/>
            <w:tcMar>
              <w:top w:type="dxa" w:w="60"/>
              <w:left w:type="dxa" w:w="90"/>
              <w:bottom w:type="dxa" w:w="60"/>
              <w:right w:type="dxa" w:w="90"/>
            </w:tcMar>
          </w:tcPr>
          <w:p>
            <w:pPr>
              <w:spacing w:after="0" w:line="240"/>
            </w:pPr>
            <w:r>
              <w:rPr>
                <w:b w:val="false"/>
                <w:bCs w:val="false"/>
                <w:sz w:val="18"/>
                <w:szCs w:val="18"/>
              </w:rPr>
              <w:t xml:space="preserve">lump sum</w:t>
            </w:r>
          </w:p>
        </w:tc>
      </w:tr>
      <w:tr>
        <w:tc>
          <w:tcPr>
            <w:tcW w:type="dxa" w:w="4400"/>
            <w:tcMar>
              <w:top w:type="dxa" w:w="60"/>
              <w:left w:type="dxa" w:w="90"/>
              <w:bottom w:type="dxa" w:w="60"/>
              <w:right w:type="dxa" w:w="90"/>
            </w:tcMar>
          </w:tcPr>
          <w:p>
            <w:pPr>
              <w:spacing w:after="0" w:line="240"/>
            </w:pPr>
            <w:r>
              <w:rPr>
                <w:b/>
                <w:bCs/>
                <w:sz w:val="18"/>
                <w:szCs w:val="18"/>
              </w:rPr>
              <w:t xml:space="preserve">Contingencies 10%</w:t>
            </w:r>
          </w:p>
        </w:tc>
        <w:tc>
          <w:tcPr>
            <w:tcW w:type="dxa" w:w="2480"/>
            <w:tcMar>
              <w:top w:type="dxa" w:w="60"/>
              <w:left w:type="dxa" w:w="90"/>
              <w:bottom w:type="dxa" w:w="60"/>
              <w:right w:type="dxa" w:w="90"/>
            </w:tcMar>
          </w:tcPr>
          <w:p>
            <w:pPr>
              <w:spacing w:after="0" w:line="240"/>
            </w:pPr>
            <w:r>
              <w:rPr>
                <w:b w:val="false"/>
                <w:bCs w:val="false"/>
                <w:sz w:val="18"/>
                <w:szCs w:val="18"/>
              </w:rPr>
              <w:t xml:space="preserve">2,838,461.50</w:t>
            </w:r>
          </w:p>
        </w:tc>
        <w:tc>
          <w:tcPr>
            <w:tcW w:type="dxa" w:w="2480"/>
            <w:tcMar>
              <w:top w:type="dxa" w:w="60"/>
              <w:left w:type="dxa" w:w="90"/>
              <w:bottom w:type="dxa" w:w="60"/>
              <w:right w:type="dxa" w:w="90"/>
            </w:tcMar>
          </w:tcPr>
          <w:p>
            <w:pPr>
              <w:spacing w:after="0" w:line="240"/>
            </w:pPr>
            <w:r>
              <w:rPr>
                <w:b w:val="false"/>
                <w:bCs w:val="false"/>
                <w:sz w:val="18"/>
                <w:szCs w:val="18"/>
              </w:rPr>
              <w:t xml:space="preserve">10.00% of 28,384,615. Correct.</w:t>
            </w:r>
          </w:p>
        </w:tc>
      </w:tr>
      <w:tr>
        <w:tc>
          <w:tcPr>
            <w:tcW w:type="dxa" w:w="4400"/>
            <w:shd w:fill="F2F5F9" w:color="auto" w:val="clear"/>
            <w:tcMar>
              <w:top w:type="dxa" w:w="60"/>
              <w:left w:type="dxa" w:w="90"/>
              <w:bottom w:type="dxa" w:w="60"/>
              <w:right w:type="dxa" w:w="90"/>
            </w:tcMar>
          </w:tcPr>
          <w:p>
            <w:pPr>
              <w:spacing w:after="0" w:line="240"/>
            </w:pPr>
            <w:r>
              <w:rPr>
                <w:b/>
                <w:bCs/>
                <w:sz w:val="18"/>
                <w:szCs w:val="18"/>
              </w:rPr>
              <w:t xml:space="preserve">Consultancy services 5%</w:t>
            </w:r>
          </w:p>
        </w:tc>
        <w:tc>
          <w:tcPr>
            <w:tcW w:type="dxa" w:w="2480"/>
            <w:shd w:fill="F2F5F9" w:color="auto" w:val="clear"/>
            <w:tcMar>
              <w:top w:type="dxa" w:w="60"/>
              <w:left w:type="dxa" w:w="90"/>
              <w:bottom w:type="dxa" w:w="60"/>
              <w:right w:type="dxa" w:w="90"/>
            </w:tcMar>
          </w:tcPr>
          <w:p>
            <w:pPr>
              <w:spacing w:after="0" w:line="240"/>
            </w:pPr>
            <w:r>
              <w:rPr>
                <w:b w:val="false"/>
                <w:bCs w:val="false"/>
                <w:sz w:val="18"/>
                <w:szCs w:val="18"/>
              </w:rPr>
              <w:t xml:space="preserve">1,419,230.75</w:t>
            </w:r>
          </w:p>
        </w:tc>
        <w:tc>
          <w:tcPr>
            <w:tcW w:type="dxa" w:w="2480"/>
            <w:shd w:fill="F2F5F9" w:color="auto" w:val="clear"/>
            <w:tcMar>
              <w:top w:type="dxa" w:w="60"/>
              <w:left w:type="dxa" w:w="90"/>
              <w:bottom w:type="dxa" w:w="60"/>
              <w:right w:type="dxa" w:w="90"/>
            </w:tcMar>
          </w:tcPr>
          <w:p>
            <w:pPr>
              <w:spacing w:after="0" w:line="240"/>
            </w:pPr>
            <w:r>
              <w:rPr>
                <w:b w:val="false"/>
                <w:bCs w:val="false"/>
                <w:sz w:val="18"/>
                <w:szCs w:val="18"/>
              </w:rPr>
              <w:t xml:space="preserve">5.00% of 28,384,615. Correct.</w:t>
            </w:r>
          </w:p>
        </w:tc>
      </w:tr>
      <w:tr>
        <w:tc>
          <w:tcPr>
            <w:tcW w:type="dxa" w:w="4400"/>
            <w:tcMar>
              <w:top w:type="dxa" w:w="60"/>
              <w:left w:type="dxa" w:w="90"/>
              <w:bottom w:type="dxa" w:w="60"/>
              <w:right w:type="dxa" w:w="90"/>
            </w:tcMar>
          </w:tcPr>
          <w:p>
            <w:pPr>
              <w:spacing w:after="0" w:line="240"/>
            </w:pPr>
            <w:r>
              <w:rPr>
                <w:b/>
                <w:bCs/>
                <w:sz w:val="18"/>
                <w:szCs w:val="18"/>
              </w:rPr>
              <w:t xml:space="preserve">ESIA and RAP studies</w:t>
            </w:r>
          </w:p>
        </w:tc>
        <w:tc>
          <w:tcPr>
            <w:tcW w:type="dxa" w:w="2480"/>
            <w:tcMar>
              <w:top w:type="dxa" w:w="60"/>
              <w:left w:type="dxa" w:w="90"/>
              <w:bottom w:type="dxa" w:w="60"/>
              <w:right w:type="dxa" w:w="90"/>
            </w:tcMar>
          </w:tcPr>
          <w:p>
            <w:pPr>
              <w:spacing w:after="0" w:line="240"/>
            </w:pPr>
            <w:r>
              <w:rPr>
                <w:b w:val="false"/>
                <w:bCs w:val="false"/>
                <w:sz w:val="18"/>
                <w:szCs w:val="18"/>
              </w:rPr>
              <w:t xml:space="preserve">76,000</w:t>
            </w:r>
          </w:p>
        </w:tc>
        <w:tc>
          <w:tcPr>
            <w:tcW w:type="dxa" w:w="2480"/>
            <w:tcMar>
              <w:top w:type="dxa" w:w="60"/>
              <w:left w:type="dxa" w:w="90"/>
              <w:bottom w:type="dxa" w:w="60"/>
              <w:right w:type="dxa" w:w="90"/>
            </w:tcMar>
          </w:tcPr>
          <w:p>
            <w:pPr>
              <w:spacing w:after="0" w:line="240"/>
            </w:pPr>
            <w:r>
              <w:rPr>
                <w:b w:val="false"/>
                <w:bCs w:val="false"/>
                <w:sz w:val="18"/>
                <w:szCs w:val="18"/>
              </w:rPr>
              <w:t xml:space="preserve">500 USD/km x 152 km. Correct.</w:t>
            </w:r>
          </w:p>
        </w:tc>
      </w:tr>
      <w:tr>
        <w:tc>
          <w:tcPr>
            <w:tcW w:type="dxa" w:w="4400"/>
            <w:shd w:fill="F2F5F9" w:color="auto" w:val="clear"/>
            <w:tcMar>
              <w:top w:type="dxa" w:w="60"/>
              <w:left w:type="dxa" w:w="90"/>
              <w:bottom w:type="dxa" w:w="60"/>
              <w:right w:type="dxa" w:w="90"/>
            </w:tcMar>
          </w:tcPr>
          <w:p>
            <w:pPr>
              <w:spacing w:after="0" w:line="240"/>
            </w:pPr>
            <w:r>
              <w:rPr>
                <w:b/>
                <w:bCs/>
                <w:sz w:val="18"/>
                <w:szCs w:val="18"/>
              </w:rPr>
              <w:t xml:space="preserve">Compensation</w:t>
            </w:r>
          </w:p>
        </w:tc>
        <w:tc>
          <w:tcPr>
            <w:tcW w:type="dxa" w:w="2480"/>
            <w:shd w:fill="F2F5F9" w:color="auto" w:val="clear"/>
            <w:tcMar>
              <w:top w:type="dxa" w:w="60"/>
              <w:left w:type="dxa" w:w="90"/>
              <w:bottom w:type="dxa" w:w="60"/>
              <w:right w:type="dxa" w:w="90"/>
            </w:tcMar>
          </w:tcPr>
          <w:p>
            <w:pPr>
              <w:spacing w:after="0" w:line="240"/>
            </w:pPr>
            <w:r>
              <w:rPr>
                <w:b w:val="false"/>
                <w:bCs w:val="false"/>
                <w:sz w:val="18"/>
                <w:szCs w:val="18"/>
              </w:rPr>
              <w:t xml:space="preserve">1,315,000</w:t>
            </w:r>
          </w:p>
        </w:tc>
        <w:tc>
          <w:tcPr>
            <w:tcW w:type="dxa" w:w="2480"/>
            <w:shd w:fill="F2F5F9" w:color="auto" w:val="clear"/>
            <w:tcMar>
              <w:top w:type="dxa" w:w="60"/>
              <w:left w:type="dxa" w:w="90"/>
              <w:bottom w:type="dxa" w:w="60"/>
              <w:right w:type="dxa" w:w="90"/>
            </w:tcMar>
          </w:tcPr>
          <w:p>
            <w:pPr>
              <w:spacing w:after="0" w:line="240"/>
            </w:pPr>
            <w:r>
              <w:rPr>
                <w:b w:val="false"/>
                <w:bCs w:val="false"/>
                <w:sz w:val="18"/>
                <w:szCs w:val="18"/>
              </w:rPr>
              <w:t xml:space="preserve">1,000 USD/acre x 1,315 acres. Correct.</w:t>
            </w:r>
          </w:p>
        </w:tc>
      </w:tr>
      <w:tr>
        <w:tc>
          <w:tcPr>
            <w:tcW w:type="dxa" w:w="4400"/>
            <w:tcMar>
              <w:top w:type="dxa" w:w="60"/>
              <w:left w:type="dxa" w:w="90"/>
              <w:bottom w:type="dxa" w:w="60"/>
              <w:right w:type="dxa" w:w="90"/>
            </w:tcMar>
          </w:tcPr>
          <w:p>
            <w:pPr>
              <w:spacing w:after="0" w:line="240"/>
            </w:pPr>
            <w:r>
              <w:rPr>
                <w:b/>
                <w:bCs/>
                <w:sz w:val="18"/>
                <w:szCs w:val="18"/>
              </w:rPr>
              <w:t xml:space="preserve">Sum of the currency rows</w:t>
            </w:r>
          </w:p>
        </w:tc>
        <w:tc>
          <w:tcPr>
            <w:tcW w:type="dxa" w:w="2480"/>
            <w:tcMar>
              <w:top w:type="dxa" w:w="60"/>
              <w:left w:type="dxa" w:w="90"/>
              <w:bottom w:type="dxa" w:w="60"/>
              <w:right w:type="dxa" w:w="90"/>
            </w:tcMar>
          </w:tcPr>
          <w:p>
            <w:pPr>
              <w:spacing w:after="0" w:line="240"/>
            </w:pPr>
            <w:r>
              <w:rPr>
                <w:b w:val="false"/>
                <w:bCs w:val="false"/>
                <w:sz w:val="18"/>
                <w:szCs w:val="18"/>
              </w:rPr>
              <w:t xml:space="preserve">34,033,307.25</w:t>
            </w:r>
          </w:p>
        </w:tc>
        <w:tc>
          <w:tcPr>
            <w:tcW w:type="dxa" w:w="2480"/>
            <w:tcMar>
              <w:top w:type="dxa" w:w="60"/>
              <w:left w:type="dxa" w:w="90"/>
              <w:bottom w:type="dxa" w:w="60"/>
              <w:right w:type="dxa" w:w="90"/>
            </w:tcMar>
          </w:tcPr>
          <w:p>
            <w:pPr>
              <w:spacing w:after="0" w:line="240"/>
            </w:pPr>
            <w:r>
              <w:rPr>
                <w:b w:val="false"/>
                <w:bCs w:val="false"/>
                <w:sz w:val="18"/>
                <w:szCs w:val="18"/>
              </w:rPr>
              <w:t xml:space="preserve"/>
            </w:r>
          </w:p>
        </w:tc>
      </w:tr>
      <w:tr>
        <w:tc>
          <w:tcPr>
            <w:tcW w:type="dxa" w:w="4400"/>
            <w:shd w:fill="F2F5F9" w:color="auto" w:val="clear"/>
            <w:tcMar>
              <w:top w:type="dxa" w:w="60"/>
              <w:left w:type="dxa" w:w="90"/>
              <w:bottom w:type="dxa" w:w="60"/>
              <w:right w:type="dxa" w:w="90"/>
            </w:tcMar>
          </w:tcPr>
          <w:p>
            <w:pPr>
              <w:spacing w:after="0" w:line="240"/>
            </w:pPr>
            <w:r>
              <w:rPr>
                <w:b/>
                <w:bCs/>
                <w:sz w:val="18"/>
                <w:szCs w:val="18"/>
              </w:rPr>
              <w:t xml:space="preserve">Total stated in the table</w:t>
            </w:r>
          </w:p>
        </w:tc>
        <w:tc>
          <w:tcPr>
            <w:tcW w:type="dxa" w:w="2480"/>
            <w:shd w:fill="F2F5F9" w:color="auto" w:val="clear"/>
            <w:tcMar>
              <w:top w:type="dxa" w:w="60"/>
              <w:left w:type="dxa" w:w="90"/>
              <w:bottom w:type="dxa" w:w="60"/>
              <w:right w:type="dxa" w:w="90"/>
            </w:tcMar>
          </w:tcPr>
          <w:p>
            <w:pPr>
              <w:spacing w:after="0" w:line="240"/>
            </w:pPr>
            <w:r>
              <w:rPr>
                <w:b w:val="false"/>
                <w:bCs w:val="false"/>
                <w:sz w:val="18"/>
                <w:szCs w:val="18"/>
              </w:rPr>
              <w:t xml:space="preserve">34,034,622</w:t>
            </w:r>
          </w:p>
        </w:tc>
        <w:tc>
          <w:tcPr>
            <w:tcW w:type="dxa" w:w="2480"/>
            <w:shd w:fill="F2F5F9" w:color="auto" w:val="clear"/>
            <w:tcMar>
              <w:top w:type="dxa" w:w="60"/>
              <w:left w:type="dxa" w:w="90"/>
              <w:bottom w:type="dxa" w:w="60"/>
              <w:right w:type="dxa" w:w="90"/>
            </w:tcMar>
          </w:tcPr>
          <w:p>
            <w:pPr>
              <w:spacing w:after="0" w:line="240"/>
            </w:pPr>
            <w:r>
              <w:rPr>
                <w:b w:val="false"/>
                <w:bCs w:val="false"/>
                <w:sz w:val="18"/>
                <w:szCs w:val="18"/>
              </w:rPr>
              <w:t xml:space="preserve">Differs by 1,314.75</w:t>
            </w:r>
          </w:p>
        </w:tc>
      </w:tr>
    </w:tbl>
    <w:p>
      <w:pPr>
        <w:spacing w:after="120" w:line="264"/>
      </w:pPr>
      <w:r>
        <w:t xml:space="preserve">The difference of 1,314.75 is the row above it: Land requirement in acres, 1,315. The acres figure has been summed into the dollar total. The same holds on the other two options: Option 2 differs by 1,219 against an acres figure of 1,219, and Option 3 differs by 1,064 against an acres figure of 1,064. On all three, adding the acres row to the currency rows reproduces the stated total exactly.</w:t>
      </w:r>
    </w:p>
    <w:p>
      <w:pPr>
        <w:spacing w:after="120" w:line="264"/>
      </w:pPr>
      <w:r>
        <w:rPr>
          <w:b/>
          <w:bCs/>
        </w:rPr>
        <w:t xml:space="preserve">Why this is the right demo flag. </w:t>
      </w:r>
      <w:r>
        <w:t xml:space="preserve">It is financially immaterial, about 1,300 USD on 34 M, and that is the point. It is not a judgement about anyone's engineering. It is check U-2, a non-currency quantity summed into a currency total, and check U-3, a total that does not recompute. A machine catches it on submission in milliseconds and shows the source. A reviewer reading a PDF table generally does not, and should not have to. That is the PM-team argument made concretely: the platform takes the arithmetic hygiene so the PM team's time goes to the engineering.</w:t>
      </w:r>
    </w:p>
    <w:p>
      <w:pPr>
        <w:spacing w:after="140"/>
      </w:pPr>
      <w:r>
        <w:rPr>
          <w:i/>
          <w:iCs/>
          <w:color w:val="555555"/>
          <w:sz w:val="19"/>
          <w:szCs w:val="19"/>
        </w:rPr>
        <w:t xml:space="preserve">Confirm this against the source table before using it externally. The reconstruction above is from the PDF text layer.</w:t>
      </w:r>
    </w:p>
    <w:p>
      <w:pPr>
        <w:pStyle w:val="Heading1"/>
        <w:spacing w:after="120" w:before="280"/>
      </w:pPr>
      <w:r>
        <w:rPr>
          <w:b/>
          <w:bCs/>
          <w:color w:val="1F3A5F"/>
          <w:sz w:val="26"/>
          <w:szCs w:val="26"/>
        </w:rPr>
        <w:t xml:space="preserve">9  Deliverable mapping</w:t>
      </w:r>
    </w:p>
    <w:p>
      <w:pPr>
        <w:spacing w:after="120" w:line="264"/>
      </w:pPr>
      <w:r>
        <w:t xml:space="preserve">FR-7 tracks deliverables D1 to D11 against the timing in TOR Section 8.1. That TOR is not in hand here, so the mapping of this standard to each deliverable is left open rather than guessed at. To complete it, list for each of D1 to D11 which Part B sections apply and which Part C benchmarks can fire. An earlier version of the development TOR ran to D1 to D9, so the deliverable set has changed and should be read from the issued document rather than from precedent.</w:t>
      </w:r>
    </w:p>
    <w:p>
      <w:pPr>
        <w:pStyle w:val="Heading1"/>
        <w:spacing w:after="120" w:before="280"/>
      </w:pPr>
      <w:r>
        <w:rPr>
          <w:b/>
          <w:bCs/>
          <w:color w:val="1F3A5F"/>
          <w:sz w:val="26"/>
          <w:szCs w:val="26"/>
        </w:rPr>
        <w:t xml:space="preserve">10  Cost reconciliation, project-specific</w:t>
      </w:r>
    </w:p>
    <w:p>
      <w:pPr>
        <w:spacing w:after="120" w:line="264"/>
      </w:pPr>
      <w:r>
        <w:t xml:space="preserve">The reference PFS costs the line and substation at 28.6 M to 34.0 M USD depending on route option. Project records indicate a Total Project Cost of about 70.58 M USD in the Developer's Project Cost Model, with a development-phase budget of about 5.76 M USD and an Owner's Advisers envelope of about 1.81 M USD.</w:t>
      </w:r>
    </w:p>
    <w:p>
      <w:pPr>
        <w:spacing w:after="120" w:line="264"/>
      </w:pPr>
      <w:r>
        <w:t xml:space="preserve">These are different scopes rather than a contradiction. The PFS figure is construction scope. The Total Project Cost is the whole project including development, advisers and financing. The standard requires the FS to publish the bridge between them, itemised as surfaced cost against added scope, because that is the first question a lender asks and the gap is large enough to invite it.</w:t>
      </w:r>
    </w:p>
    <w:p>
      <w:pPr>
        <w:spacing w:after="140"/>
      </w:pPr>
      <w:r>
        <w:rPr>
          <w:i/>
          <w:iCs/>
          <w:color w:val="555555"/>
          <w:sz w:val="19"/>
          <w:szCs w:val="19"/>
        </w:rPr>
        <w:t xml:space="preserve">Confirm both figures against the Project Cost Model before use. They come from project records rather than from the PFS itself.</w:t>
      </w:r>
    </w:p>
    <w:p>
      <w:pPr>
        <w:pStyle w:val="Heading1"/>
        <w:spacing w:after="120" w:before="280"/>
      </w:pPr>
      <w:r>
        <w:rPr>
          <w:b/>
          <w:bCs/>
          <w:color w:val="1F3A5F"/>
          <w:sz w:val="26"/>
          <w:szCs w:val="26"/>
        </w:rPr>
        <w:t xml:space="preserve">11  Disclosure</w:t>
      </w:r>
    </w:p>
    <w:p>
      <w:pPr>
        <w:spacing w:after="120" w:line="264"/>
      </w:pPr>
      <w:r>
        <w:t xml:space="preserve">This standard splits cleanly into a layer that benefits from being published and a layer that must not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1F3A5F" w:color="auto" w:val="clear"/>
            <w:tcMar>
              <w:top w:type="dxa" w:w="60"/>
              <w:left w:type="dxa" w:w="90"/>
              <w:bottom w:type="dxa" w:w="60"/>
              <w:right w:type="dxa" w:w="90"/>
            </w:tcMar>
          </w:tcPr>
          <w:p>
            <w:pPr>
              <w:spacing w:after="0" w:line="240"/>
            </w:pPr>
            <w:r>
              <w:rPr>
                <w:b/>
                <w:bCs/>
                <w:color w:val="FFFFFF"/>
                <w:sz w:val="18"/>
                <w:szCs w:val="18"/>
              </w:rPr>
              <w:t xml:space="preserve">Layer</w:t>
            </w:r>
          </w:p>
        </w:tc>
        <w:tc>
          <w:tcPr>
            <w:tcW w:type="dxa" w:w="7260"/>
            <w:shd w:fill="1F3A5F" w:color="auto" w:val="clear"/>
            <w:tcMar>
              <w:top w:type="dxa" w:w="60"/>
              <w:left w:type="dxa" w:w="90"/>
              <w:bottom w:type="dxa" w:w="60"/>
              <w:right w:type="dxa" w:w="90"/>
            </w:tcMar>
          </w:tcPr>
          <w:p>
            <w:pPr>
              <w:spacing w:after="0" w:line="240"/>
            </w:pPr>
            <w:r>
              <w:rPr>
                <w:b/>
                <w:bCs/>
                <w:color w:val="FFFFFF"/>
                <w:sz w:val="18"/>
                <w:szCs w:val="18"/>
              </w:rPr>
              <w:t xml:space="preserve">Handling</w:t>
            </w:r>
          </w:p>
        </w:tc>
      </w:tr>
      <w:tr>
        <w:tc>
          <w:tcPr>
            <w:tcW w:type="dxa" w:w="2100"/>
            <w:tcMar>
              <w:top w:type="dxa" w:w="60"/>
              <w:left w:type="dxa" w:w="90"/>
              <w:bottom w:type="dxa" w:w="60"/>
              <w:right w:type="dxa" w:w="90"/>
            </w:tcMar>
          </w:tcPr>
          <w:p>
            <w:pPr>
              <w:spacing w:after="0" w:line="240"/>
            </w:pPr>
            <w:r>
              <w:rPr>
                <w:b/>
                <w:bCs/>
                <w:sz w:val="18"/>
                <w:szCs w:val="18"/>
              </w:rPr>
              <w:t xml:space="preserve">Part A and Part B</w:t>
            </w:r>
          </w:p>
        </w:tc>
        <w:tc>
          <w:tcPr>
            <w:tcW w:type="dxa" w:w="7260"/>
            <w:tcMar>
              <w:top w:type="dxa" w:w="60"/>
              <w:left w:type="dxa" w:w="90"/>
              <w:bottom w:type="dxa" w:w="60"/>
              <w:right w:type="dxa" w:w="90"/>
            </w:tcMar>
          </w:tcPr>
          <w:p>
            <w:pPr>
              <w:spacing w:after="0" w:line="240"/>
            </w:pPr>
            <w:r>
              <w:rPr>
                <w:b w:val="false"/>
                <w:bCs w:val="false"/>
                <w:sz w:val="18"/>
                <w:szCs w:val="18"/>
              </w:rPr>
              <w:t xml:space="preserve">Safe to share with bidders and the Consultant, if the Developer chooses. Telling a consultant what a deliverable must contain raises the quality of what arrives and reduces rework. It also delivers the deliverable-standards idea from the original six proposals without reopening the RFP evaluation criteria, which the 15 July call deferred.</w:t>
            </w:r>
          </w:p>
        </w:tc>
      </w:tr>
      <w:tr>
        <w:tc>
          <w:tcPr>
            <w:tcW w:type="dxa" w:w="2100"/>
            <w:shd w:fill="F2F5F9" w:color="auto" w:val="clear"/>
            <w:tcMar>
              <w:top w:type="dxa" w:w="60"/>
              <w:left w:type="dxa" w:w="90"/>
              <w:bottom w:type="dxa" w:w="60"/>
              <w:right w:type="dxa" w:w="90"/>
            </w:tcMar>
          </w:tcPr>
          <w:p>
            <w:pPr>
              <w:spacing w:after="0" w:line="240"/>
            </w:pPr>
            <w:r>
              <w:rPr>
                <w:b/>
                <w:bCs/>
                <w:sz w:val="18"/>
                <w:szCs w:val="18"/>
              </w:rPr>
              <w:t xml:space="preserve">Part C</w:t>
            </w:r>
          </w:p>
        </w:tc>
        <w:tc>
          <w:tcPr>
            <w:tcW w:type="dxa" w:w="7260"/>
            <w:shd w:fill="F2F5F9" w:color="auto" w:val="clear"/>
            <w:tcMar>
              <w:top w:type="dxa" w:w="60"/>
              <w:left w:type="dxa" w:w="90"/>
              <w:bottom w:type="dxa" w:w="60"/>
              <w:right w:type="dxa" w:w="90"/>
            </w:tcMar>
          </w:tcPr>
          <w:p>
            <w:pPr>
              <w:spacing w:after="0" w:line="240"/>
            </w:pPr>
            <w:r>
              <w:rPr>
                <w:b w:val="false"/>
                <w:bCs w:val="false"/>
                <w:sz w:val="18"/>
                <w:szCs w:val="18"/>
              </w:rPr>
              <w:t xml:space="preserve">Internal only. The benchmark values, their provenance and their confidence fields are AfCEN's asset.</w:t>
            </w:r>
          </w:p>
        </w:tc>
      </w:tr>
      <w:tr>
        <w:tc>
          <w:tcPr>
            <w:tcW w:type="dxa" w:w="2100"/>
            <w:tcMar>
              <w:top w:type="dxa" w:w="60"/>
              <w:left w:type="dxa" w:w="90"/>
              <w:bottom w:type="dxa" w:w="60"/>
              <w:right w:type="dxa" w:w="90"/>
            </w:tcMar>
          </w:tcPr>
          <w:p>
            <w:pPr>
              <w:spacing w:after="0" w:line="240"/>
            </w:pPr>
            <w:r>
              <w:rPr>
                <w:b/>
                <w:bCs/>
                <w:sz w:val="18"/>
                <w:szCs w:val="18"/>
              </w:rPr>
              <w:t xml:space="preserve">Accumulation across projects</w:t>
            </w:r>
          </w:p>
        </w:tc>
        <w:tc>
          <w:tcPr>
            <w:tcW w:type="dxa" w:w="7260"/>
            <w:tcMar>
              <w:top w:type="dxa" w:w="60"/>
              <w:left w:type="dxa" w:w="90"/>
              <w:bottom w:type="dxa" w:w="60"/>
              <w:right w:type="dxa" w:w="90"/>
            </w:tcMar>
          </w:tcPr>
          <w:p>
            <w:pPr>
              <w:spacing w:after="0" w:line="240"/>
            </w:pPr>
            <w:r>
              <w:rPr>
                <w:b w:val="false"/>
                <w:bCs w:val="false"/>
                <w:sz w:val="18"/>
                <w:szCs w:val="18"/>
              </w:rPr>
              <w:t xml:space="preserve">Internal only, per FR-11 and the Platform PRD's own instruction. Externally, if described at all, this is version tracking and quality assurance.</w:t>
            </w:r>
          </w:p>
        </w:tc>
      </w:tr>
    </w:tbl>
    <w:p>
      <w:pPr>
        <w:spacing w:after="120" w:line="264"/>
      </w:pPr>
      <w:r>
        <w:rPr>
          <w:b/>
          <w:bCs/>
        </w:rPr>
        <w:t xml:space="preserve">One tension worth naming. </w:t>
      </w:r>
      <w:r>
        <w:t xml:space="preserve">Publishing Part B raises the obvious next question from a competent bidder: checked against what. That makes the Platform PRD's open question on consultant disclosure sharper rather than softer, and it is better to decide it deliberately now than to answer it under pressure in a bidder clarification. The recommendation is to resolve it before Phase C, as the Platform PRD already suggests.</w:t>
      </w:r>
    </w:p>
    <w:p>
      <w:pPr>
        <w:pStyle w:val="Heading1"/>
        <w:spacing w:after="120" w:before="280"/>
      </w:pPr>
      <w:r>
        <w:rPr>
          <w:b/>
          <w:bCs/>
          <w:color w:val="1F3A5F"/>
          <w:sz w:val="26"/>
          <w:szCs w:val="26"/>
        </w:rPr>
        <w:t xml:space="preserve">12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400"/>
        <w:gridCol w:w="3460"/>
      </w:tblGrid>
      <w:tr>
        <w:trPr>
          <w:tblHeader/>
        </w:trPr>
        <w:tc>
          <w:tcPr>
            <w:tcW w:type="dxa" w:w="500"/>
            <w:shd w:fill="1F3A5F" w:color="auto" w:val="clear"/>
            <w:tcMar>
              <w:top w:type="dxa" w:w="60"/>
              <w:left w:type="dxa" w:w="90"/>
              <w:bottom w:type="dxa" w:w="60"/>
              <w:right w:type="dxa" w:w="90"/>
            </w:tcMar>
          </w:tcPr>
          <w:p>
            <w:pPr>
              <w:spacing w:after="0" w:line="240"/>
            </w:pPr>
            <w:r>
              <w:rPr>
                <w:b/>
                <w:bCs/>
                <w:color w:val="FFFFFF"/>
                <w:sz w:val="18"/>
                <w:szCs w:val="18"/>
              </w:rPr>
              <w:t xml:space="preserve">#</w:t>
            </w:r>
          </w:p>
        </w:tc>
        <w:tc>
          <w:tcPr>
            <w:tcW w:type="dxa" w:w="5400"/>
            <w:shd w:fill="1F3A5F" w:color="auto" w:val="clear"/>
            <w:tcMar>
              <w:top w:type="dxa" w:w="60"/>
              <w:left w:type="dxa" w:w="90"/>
              <w:bottom w:type="dxa" w:w="60"/>
              <w:right w:type="dxa" w:w="90"/>
            </w:tcMar>
          </w:tcPr>
          <w:p>
            <w:pPr>
              <w:spacing w:after="0" w:line="240"/>
            </w:pPr>
            <w:r>
              <w:rPr>
                <w:b/>
                <w:bCs/>
                <w:color w:val="FFFFFF"/>
                <w:sz w:val="18"/>
                <w:szCs w:val="18"/>
              </w:rPr>
              <w:t xml:space="preserve">Question</w:t>
            </w:r>
          </w:p>
        </w:tc>
        <w:tc>
          <w:tcPr>
            <w:tcW w:type="dxa" w:w="3460"/>
            <w:shd w:fill="1F3A5F" w:color="auto" w:val="clear"/>
            <w:tcMar>
              <w:top w:type="dxa" w:w="60"/>
              <w:left w:type="dxa" w:w="90"/>
              <w:bottom w:type="dxa" w:w="60"/>
              <w:right w:type="dxa" w:w="90"/>
            </w:tcMar>
          </w:tcPr>
          <w:p>
            <w:pPr>
              <w:spacing w:after="0" w:line="240"/>
            </w:pPr>
            <w:r>
              <w:rPr>
                <w:b/>
                <w:bCs/>
                <w:color w:val="FFFFFF"/>
                <w:sz w:val="18"/>
                <w:szCs w:val="18"/>
              </w:rPr>
              <w:t xml:space="preserve">Recommendation</w:t>
            </w:r>
          </w:p>
        </w:tc>
      </w:tr>
      <w:tr>
        <w:tc>
          <w:tcPr>
            <w:tcW w:type="dxa" w:w="500"/>
            <w:tcMar>
              <w:top w:type="dxa" w:w="60"/>
              <w:left w:type="dxa" w:w="90"/>
              <w:bottom w:type="dxa" w:w="60"/>
              <w:right w:type="dxa" w:w="90"/>
            </w:tcMar>
          </w:tcPr>
          <w:p>
            <w:pPr>
              <w:spacing w:after="0" w:line="240"/>
            </w:pPr>
            <w:r>
              <w:rPr>
                <w:b/>
                <w:bCs/>
                <w:sz w:val="18"/>
                <w:szCs w:val="18"/>
              </w:rPr>
              <w:t xml:space="preserve">1</w:t>
            </w:r>
          </w:p>
        </w:tc>
        <w:tc>
          <w:tcPr>
            <w:tcW w:type="dxa" w:w="5400"/>
            <w:tcMar>
              <w:top w:type="dxa" w:w="60"/>
              <w:left w:type="dxa" w:w="90"/>
              <w:bottom w:type="dxa" w:w="60"/>
              <w:right w:type="dxa" w:w="90"/>
            </w:tcMar>
          </w:tcPr>
          <w:p>
            <w:pPr>
              <w:spacing w:after="0" w:line="240"/>
            </w:pPr>
            <w:r>
              <w:rPr>
                <w:b w:val="false"/>
                <w:bCs w:val="false"/>
                <w:sz w:val="18"/>
                <w:szCs w:val="18"/>
              </w:rPr>
              <w:t xml:space="preserve">What deviation threshold triggers a flag, and who sets it?</w:t>
            </w:r>
          </w:p>
        </w:tc>
        <w:tc>
          <w:tcPr>
            <w:tcW w:type="dxa" w:w="3460"/>
            <w:tcMar>
              <w:top w:type="dxa" w:w="60"/>
              <w:left w:type="dxa" w:w="90"/>
              <w:bottom w:type="dxa" w:w="60"/>
              <w:right w:type="dxa" w:w="90"/>
            </w:tcMar>
          </w:tcPr>
          <w:p>
            <w:pPr>
              <w:spacing w:after="0" w:line="240"/>
            </w:pPr>
            <w:r>
              <w:rPr>
                <w:b w:val="false"/>
                <w:bCs w:val="false"/>
                <w:sz w:val="18"/>
                <w:szCs w:val="18"/>
              </w:rPr>
              <w:t xml:space="preserve">PM team sets, AfCEN proposes. It is the PM team's noise budget, and their acceptance rate is the metric.</w:t>
            </w:r>
          </w:p>
        </w:tc>
      </w:tr>
      <w:tr>
        <w:tc>
          <w:tcPr>
            <w:tcW w:type="dxa" w:w="500"/>
            <w:shd w:fill="F2F5F9" w:color="auto" w:val="clear"/>
            <w:tcMar>
              <w:top w:type="dxa" w:w="60"/>
              <w:left w:type="dxa" w:w="90"/>
              <w:bottom w:type="dxa" w:w="60"/>
              <w:right w:type="dxa" w:w="90"/>
            </w:tcMar>
          </w:tcPr>
          <w:p>
            <w:pPr>
              <w:spacing w:after="0" w:line="240"/>
            </w:pPr>
            <w:r>
              <w:rPr>
                <w:b/>
                <w:bCs/>
                <w:sz w:val="18"/>
                <w:szCs w:val="18"/>
              </w:rPr>
              <w:t xml:space="preserve">2</w:t>
            </w:r>
          </w:p>
        </w:tc>
        <w:tc>
          <w:tcPr>
            <w:tcW w:type="dxa" w:w="5400"/>
            <w:shd w:fill="F2F5F9" w:color="auto" w:val="clear"/>
            <w:tcMar>
              <w:top w:type="dxa" w:w="60"/>
              <w:left w:type="dxa" w:w="90"/>
              <w:bottom w:type="dxa" w:w="60"/>
              <w:right w:type="dxa" w:w="90"/>
            </w:tcMar>
          </w:tcPr>
          <w:p>
            <w:pPr>
              <w:spacing w:after="0" w:line="240"/>
            </w:pPr>
            <w:r>
              <w:rPr>
                <w:b w:val="false"/>
                <w:bCs w:val="false"/>
                <w:sz w:val="18"/>
                <w:szCs w:val="18"/>
              </w:rPr>
              <w:t xml:space="preserve">Which Part B sections and Part C benchmarks map to each of D1 to D11?</w:t>
            </w:r>
          </w:p>
        </w:tc>
        <w:tc>
          <w:tcPr>
            <w:tcW w:type="dxa" w:w="3460"/>
            <w:shd w:fill="F2F5F9" w:color="auto" w:val="clear"/>
            <w:tcMar>
              <w:top w:type="dxa" w:w="60"/>
              <w:left w:type="dxa" w:w="90"/>
              <w:bottom w:type="dxa" w:w="60"/>
              <w:right w:type="dxa" w:w="90"/>
            </w:tcMar>
          </w:tcPr>
          <w:p>
            <w:pPr>
              <w:spacing w:after="0" w:line="240"/>
            </w:pPr>
            <w:r>
              <w:rPr>
                <w:b w:val="false"/>
                <w:bCs w:val="false"/>
                <w:sz w:val="18"/>
                <w:szCs w:val="18"/>
              </w:rPr>
              <w:t xml:space="preserve">Complete from TOR Section 8.1 before the demo, if it is to show a real deliverable.</w:t>
            </w:r>
          </w:p>
        </w:tc>
      </w:tr>
      <w:tr>
        <w:tc>
          <w:tcPr>
            <w:tcW w:type="dxa" w:w="500"/>
            <w:tcMar>
              <w:top w:type="dxa" w:w="60"/>
              <w:left w:type="dxa" w:w="90"/>
              <w:bottom w:type="dxa" w:w="60"/>
              <w:right w:type="dxa" w:w="90"/>
            </w:tcMar>
          </w:tcPr>
          <w:p>
            <w:pPr>
              <w:spacing w:after="0" w:line="240"/>
            </w:pPr>
            <w:r>
              <w:rPr>
                <w:b/>
                <w:bCs/>
                <w:sz w:val="18"/>
                <w:szCs w:val="18"/>
              </w:rPr>
              <w:t xml:space="preserve">3</w:t>
            </w:r>
          </w:p>
        </w:tc>
        <w:tc>
          <w:tcPr>
            <w:tcW w:type="dxa" w:w="5400"/>
            <w:tcMar>
              <w:top w:type="dxa" w:w="60"/>
              <w:left w:type="dxa" w:w="90"/>
              <w:bottom w:type="dxa" w:w="60"/>
              <w:right w:type="dxa" w:w="90"/>
            </w:tcMar>
          </w:tcPr>
          <w:p>
            <w:pPr>
              <w:spacing w:after="0" w:line="240"/>
            </w:pPr>
            <w:r>
              <w:rPr>
                <w:b w:val="false"/>
                <w:bCs w:val="false"/>
                <w:sz w:val="18"/>
                <w:szCs w:val="18"/>
              </w:rPr>
              <w:t xml:space="preserve">Is Part B published to bidders?</w:t>
            </w:r>
          </w:p>
        </w:tc>
        <w:tc>
          <w:tcPr>
            <w:tcW w:type="dxa" w:w="3460"/>
            <w:tcMar>
              <w:top w:type="dxa" w:w="60"/>
              <w:left w:type="dxa" w:w="90"/>
              <w:bottom w:type="dxa" w:w="60"/>
              <w:right w:type="dxa" w:w="90"/>
            </w:tcMar>
          </w:tcPr>
          <w:p>
            <w:pPr>
              <w:spacing w:after="0" w:line="240"/>
            </w:pPr>
            <w:r>
              <w:rPr>
                <w:b w:val="false"/>
                <w:bCs w:val="false"/>
                <w:sz w:val="18"/>
                <w:szCs w:val="18"/>
              </w:rPr>
              <w:t xml:space="preserve">Developer's call. Note it needs no RFP change if issued as a PM-side standard.</w:t>
            </w:r>
          </w:p>
        </w:tc>
      </w:tr>
      <w:tr>
        <w:tc>
          <w:tcPr>
            <w:tcW w:type="dxa" w:w="500"/>
            <w:shd w:fill="F2F5F9" w:color="auto" w:val="clear"/>
            <w:tcMar>
              <w:top w:type="dxa" w:w="60"/>
              <w:left w:type="dxa" w:w="90"/>
              <w:bottom w:type="dxa" w:w="60"/>
              <w:right w:type="dxa" w:w="90"/>
            </w:tcMar>
          </w:tcPr>
          <w:p>
            <w:pPr>
              <w:spacing w:after="0" w:line="240"/>
            </w:pPr>
            <w:r>
              <w:rPr>
                <w:b/>
                <w:bCs/>
                <w:sz w:val="18"/>
                <w:szCs w:val="18"/>
              </w:rPr>
              <w:t xml:space="preserve">4</w:t>
            </w:r>
          </w:p>
        </w:tc>
        <w:tc>
          <w:tcPr>
            <w:tcW w:type="dxa" w:w="5400"/>
            <w:shd w:fill="F2F5F9" w:color="auto" w:val="clear"/>
            <w:tcMar>
              <w:top w:type="dxa" w:w="60"/>
              <w:left w:type="dxa" w:w="90"/>
              <w:bottom w:type="dxa" w:w="60"/>
              <w:right w:type="dxa" w:w="90"/>
            </w:tcMar>
          </w:tcPr>
          <w:p>
            <w:pPr>
              <w:spacing w:after="0" w:line="240"/>
            </w:pPr>
            <w:r>
              <w:rPr>
                <w:b w:val="false"/>
                <w:bCs w:val="false"/>
                <w:sz w:val="18"/>
                <w:szCs w:val="18"/>
              </w:rPr>
              <w:t xml:space="preserve">May a low-confidence benchmark raise a Material flag?</w:t>
            </w:r>
          </w:p>
        </w:tc>
        <w:tc>
          <w:tcPr>
            <w:tcW w:type="dxa" w:w="3460"/>
            <w:shd w:fill="F2F5F9" w:color="auto" w:val="clear"/>
            <w:tcMar>
              <w:top w:type="dxa" w:w="60"/>
              <w:left w:type="dxa" w:w="90"/>
              <w:bottom w:type="dxa" w:w="60"/>
              <w:right w:type="dxa" w:w="90"/>
            </w:tcMar>
          </w:tcPr>
          <w:p>
            <w:pPr>
              <w:spacing w:after="0" w:line="240"/>
            </w:pPr>
            <w:r>
              <w:rPr>
                <w:b w:val="false"/>
                <w:bCs w:val="false"/>
                <w:sz w:val="18"/>
                <w:szCs w:val="18"/>
              </w:rPr>
              <w:t xml:space="preserve">No. Advisory at most until a metric has three or more sources.</w:t>
            </w:r>
          </w:p>
        </w:tc>
      </w:tr>
      <w:tr>
        <w:tc>
          <w:tcPr>
            <w:tcW w:type="dxa" w:w="500"/>
            <w:tcMar>
              <w:top w:type="dxa" w:w="60"/>
              <w:left w:type="dxa" w:w="90"/>
              <w:bottom w:type="dxa" w:w="60"/>
              <w:right w:type="dxa" w:w="90"/>
            </w:tcMar>
          </w:tcPr>
          <w:p>
            <w:pPr>
              <w:spacing w:after="0" w:line="240"/>
            </w:pPr>
            <w:r>
              <w:rPr>
                <w:b/>
                <w:bCs/>
                <w:sz w:val="18"/>
                <w:szCs w:val="18"/>
              </w:rPr>
              <w:t xml:space="preserve">5</w:t>
            </w:r>
          </w:p>
        </w:tc>
        <w:tc>
          <w:tcPr>
            <w:tcW w:type="dxa" w:w="5400"/>
            <w:tcMar>
              <w:top w:type="dxa" w:w="60"/>
              <w:left w:type="dxa" w:w="90"/>
              <w:bottom w:type="dxa" w:w="60"/>
              <w:right w:type="dxa" w:w="90"/>
            </w:tcMar>
          </w:tcPr>
          <w:p>
            <w:pPr>
              <w:spacing w:after="0" w:line="240"/>
            </w:pPr>
            <w:r>
              <w:rPr>
                <w:b w:val="false"/>
                <w:bCs w:val="false"/>
                <w:sz w:val="18"/>
                <w:szCs w:val="18"/>
              </w:rPr>
              <w:t xml:space="preserve">Who escalates the 2020 rates to current prices before launch?</w:t>
            </w:r>
          </w:p>
        </w:tc>
        <w:tc>
          <w:tcPr>
            <w:tcW w:type="dxa" w:w="3460"/>
            <w:tcMar>
              <w:top w:type="dxa" w:w="60"/>
              <w:left w:type="dxa" w:w="90"/>
              <w:bottom w:type="dxa" w:w="60"/>
              <w:right w:type="dxa" w:w="90"/>
            </w:tcMar>
          </w:tcPr>
          <w:p>
            <w:pPr>
              <w:spacing w:after="0" w:line="240"/>
            </w:pPr>
            <w:r>
              <w:rPr>
                <w:b w:val="false"/>
                <w:bCs w:val="false"/>
                <w:sz w:val="18"/>
                <w:szCs w:val="18"/>
              </w:rPr>
              <w:t xml:space="preserve">Needs an owner. Nothing in Part C is usable at a Material threshold until this is done.</w:t>
            </w:r>
          </w:p>
        </w:tc>
      </w:tr>
      <w:tr>
        <w:tc>
          <w:tcPr>
            <w:tcW w:type="dxa" w:w="500"/>
            <w:shd w:fill="F2F5F9" w:color="auto" w:val="clear"/>
            <w:tcMar>
              <w:top w:type="dxa" w:w="60"/>
              <w:left w:type="dxa" w:w="90"/>
              <w:bottom w:type="dxa" w:w="60"/>
              <w:right w:type="dxa" w:w="90"/>
            </w:tcMar>
          </w:tcPr>
          <w:p>
            <w:pPr>
              <w:spacing w:after="0" w:line="240"/>
            </w:pPr>
            <w:r>
              <w:rPr>
                <w:b/>
                <w:bCs/>
                <w:sz w:val="18"/>
                <w:szCs w:val="18"/>
              </w:rPr>
              <w:t xml:space="preserve">6</w:t>
            </w:r>
          </w:p>
        </w:tc>
        <w:tc>
          <w:tcPr>
            <w:tcW w:type="dxa" w:w="5400"/>
            <w:shd w:fill="F2F5F9" w:color="auto" w:val="clear"/>
            <w:tcMar>
              <w:top w:type="dxa" w:w="60"/>
              <w:left w:type="dxa" w:w="90"/>
              <w:bottom w:type="dxa" w:w="60"/>
              <w:right w:type="dxa" w:w="90"/>
            </w:tcMar>
          </w:tcPr>
          <w:p>
            <w:pPr>
              <w:spacing w:after="0" w:line="240"/>
            </w:pPr>
            <w:r>
              <w:rPr>
                <w:b w:val="false"/>
                <w:bCs w:val="false"/>
                <w:sz w:val="18"/>
                <w:szCs w:val="18"/>
              </w:rPr>
              <w:t xml:space="preserve">Are the Consultant's own model files checkable at launch, or only reported figures?</w:t>
            </w:r>
          </w:p>
        </w:tc>
        <w:tc>
          <w:tcPr>
            <w:tcW w:type="dxa" w:w="3460"/>
            <w:shd w:fill="F2F5F9" w:color="auto" w:val="clear"/>
            <w:tcMar>
              <w:top w:type="dxa" w:w="60"/>
              <w:left w:type="dxa" w:w="90"/>
              <w:bottom w:type="dxa" w:w="60"/>
              <w:right w:type="dxa" w:w="90"/>
            </w:tcMar>
          </w:tcPr>
          <w:p>
            <w:pPr>
              <w:spacing w:after="0" w:line="240"/>
            </w:pPr>
            <w:r>
              <w:rPr>
                <w:b w:val="false"/>
                <w:bCs w:val="false"/>
                <w:sz w:val="18"/>
                <w:szCs w:val="18"/>
              </w:rPr>
              <w:t xml:space="preserve">Reported figures at launch. Model-file checks depend on FR-9 and FR-10 and are a Phase B question.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2026-07-15T12:54:25.279Z</dcterms:created>
  <dcterms:modified xsi:type="dcterms:W3CDTF">2026-07-15T12:54:25.294Z</dcterms:modified>
</cp:coreProperties>
</file>

<file path=docProps/custom.xml><?xml version="1.0" encoding="utf-8"?>
<Properties xmlns="http://schemas.openxmlformats.org/officeDocument/2006/custom-properties" xmlns:vt="http://schemas.openxmlformats.org/officeDocument/2006/docPropsVTypes"/>
</file>