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8B9331">
      <w:pPr>
        <w:spacing w:before="120" w:beforeLines="50" w:after="0" w:line="360" w:lineRule="auto"/>
        <w:rPr>
          <w:rFonts w:hint="eastAsia" w:ascii="楷体" w:hAnsi="楷体" w:eastAsia="楷体"/>
          <w:b/>
          <w:sz w:val="28"/>
          <w:szCs w:val="28"/>
        </w:rPr>
      </w:pPr>
      <w:bookmarkStart w:id="0" w:name="X70b05d853d4fa9792796eb42f80fdfe406636cc"/>
      <w:r>
        <w:rPr>
          <w:rFonts w:ascii="楷体" w:hAnsi="楷体" w:eastAsia="楷体"/>
          <w:b/>
          <w:bCs/>
          <w:sz w:val="28"/>
          <w:szCs w:val="28"/>
        </w:rPr>
        <w:t>2026年中国研究生数学建模竞赛</w:t>
      </w:r>
      <w:r>
        <w:rPr>
          <w:rFonts w:hint="eastAsia" w:ascii="楷体" w:hAnsi="楷体" w:eastAsia="楷体"/>
          <w:b/>
          <w:bCs/>
          <w:sz w:val="28"/>
          <w:szCs w:val="28"/>
        </w:rPr>
        <w:t>F</w:t>
      </w:r>
      <w:r>
        <w:rPr>
          <w:rFonts w:ascii="楷体" w:hAnsi="楷体" w:eastAsia="楷体"/>
          <w:b/>
          <w:bCs/>
          <w:sz w:val="28"/>
          <w:szCs w:val="28"/>
        </w:rPr>
        <w:t>题</w:t>
      </w:r>
    </w:p>
    <w:p w14:paraId="5C2476C6">
      <w:pPr>
        <w:pStyle w:val="2"/>
        <w:spacing w:before="120" w:beforeLines="50"/>
        <w:jc w:val="center"/>
        <w:rPr>
          <w:rFonts w:hint="eastAsia"/>
        </w:rPr>
      </w:pPr>
      <w:r>
        <w:rPr>
          <w:rFonts w:hint="eastAsia"/>
        </w:rPr>
        <w:t>算力约束下提升大语言模型能力的资源配置建模</w:t>
      </w:r>
    </w:p>
    <w:p w14:paraId="7DED6963">
      <w:pPr>
        <w:pStyle w:val="5"/>
        <w:spacing w:before="50"/>
        <w:rPr>
          <w:rFonts w:hint="eastAsia" w:ascii="宋体" w:hAnsi="宋体" w:eastAsia="宋体"/>
          <w:b/>
          <w:bCs/>
          <w:sz w:val="24"/>
          <w:szCs w:val="24"/>
        </w:rPr>
      </w:pPr>
      <w:bookmarkStart w:id="1" w:name="ux4e00ux8d5bux9898ux80ccux666f"/>
      <w:r>
        <w:rPr>
          <w:rFonts w:hint="eastAsia" w:ascii="宋体" w:hAnsi="宋体" w:eastAsia="宋体"/>
          <w:b/>
          <w:bCs/>
          <w:sz w:val="24"/>
          <w:szCs w:val="24"/>
        </w:rPr>
        <w:t>一、赛题背景</w:t>
      </w:r>
    </w:p>
    <w:p w14:paraId="17F0E48B">
      <w:pPr>
        <w:pStyle w:val="25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近年来，以大语言模型（Large</w:t>
      </w:r>
      <w:r>
        <w:rPr>
          <w:rFonts w:ascii="宋体" w:hAnsi="宋体"/>
          <w:sz w:val="24"/>
          <w:szCs w:val="24"/>
        </w:rPr>
        <w:t xml:space="preserve"> Language Models, </w:t>
      </w:r>
      <w:r>
        <w:rPr>
          <w:rFonts w:hint="eastAsia" w:ascii="宋体" w:hAnsi="宋体"/>
          <w:sz w:val="24"/>
          <w:szCs w:val="24"/>
        </w:rPr>
        <w:t>LLMs）为代表的人工智能技术发展迅速。为了便于理解，可将大模型训练类比为培养一名高质量学生：参数量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相当于脑容量，训练数据量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D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相当于阅读量，计算量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C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相当于教育经费，数据质量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Q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相当于教材质量，领域配比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p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相当于各科课时分配。</w:t>
      </w:r>
    </w:p>
    <w:p w14:paraId="0F7C596D">
      <w:pPr>
        <w:pStyle w:val="3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color w:val="FF0000"/>
          <w:sz w:val="24"/>
          <w:szCs w:val="24"/>
        </w:rPr>
        <w:t>标度律（Scaling</w:t>
      </w:r>
      <w:r>
        <w:rPr>
          <w:rFonts w:ascii="宋体" w:hAnsi="宋体"/>
          <w:color w:val="FF0000"/>
          <w:sz w:val="24"/>
          <w:szCs w:val="24"/>
        </w:rPr>
        <w:t xml:space="preserve"> </w:t>
      </w:r>
      <w:r>
        <w:rPr>
          <w:rFonts w:hint="eastAsia" w:ascii="宋体" w:hAnsi="宋体"/>
          <w:color w:val="FF0000"/>
          <w:sz w:val="24"/>
          <w:szCs w:val="24"/>
        </w:rPr>
        <w:t>Laws）</w:t>
      </w:r>
      <w:r>
        <w:rPr>
          <w:rFonts w:hint="eastAsia" w:ascii="宋体" w:hAnsi="宋体"/>
          <w:sz w:val="24"/>
          <w:szCs w:val="24"/>
        </w:rPr>
        <w:t>刻画模型损失随规模变化的经验关系，常见形式之一为</w:t>
      </w:r>
    </w:p>
    <w:p w14:paraId="307F7587">
      <w:pPr>
        <w:pStyle w:val="3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m:rPr/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α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β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4CC8819">
      <w:pPr>
        <w:pStyle w:val="25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其中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L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(</m:t>
        </m:r>
        <m:r>
          <m:rPr/>
          <w:rPr>
            <w:rFonts w:ascii="Cambria Math" w:hAnsi="Cambria Math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m:rPr/>
          <w:rPr>
            <w:rFonts w:ascii="Cambria Math" w:hAnsi="Cambria Math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为损失，</w:t>
      </w:r>
      <m:oMath>
        <m:r>
          <m:rPr/>
          <w:rPr>
            <w:rFonts w:ascii="Cambria Math" w:hAnsi="Cambria Math"/>
            <w:sz w:val="24"/>
            <w:szCs w:val="24"/>
          </w:rPr>
          <m:t>E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为不可约损失，</w:t>
      </w:r>
      <m:oMath>
        <m:r>
          <m:rPr/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m:rPr/>
          <w:rPr>
            <w:rFonts w:ascii="Cambria Math" w:hAnsi="Cambria Math"/>
            <w:sz w:val="24"/>
            <w:szCs w:val="24"/>
          </w:rPr>
          <m:t>α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m:rPr/>
          <w:rPr>
            <w:rFonts w:ascii="Cambria Math" w:hAnsi="Cambria Math"/>
            <w:sz w:val="24"/>
            <w:szCs w:val="24"/>
          </w:rPr>
          <m:t>B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m:rPr/>
          <w:rPr>
            <w:rFonts w:ascii="Cambria Math" w:hAnsi="Cambria Math"/>
            <w:sz w:val="24"/>
            <w:szCs w:val="24"/>
          </w:rPr>
          <m:t>β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为待估参数；下文所述</w:t>
      </w:r>
      <w:r>
        <w:rPr>
          <w:rFonts w:ascii="宋体" w:hAnsi="宋体"/>
          <w:sz w:val="24"/>
          <w:szCs w:val="24"/>
        </w:rPr>
        <w:t xml:space="preserve"> Loss </w:t>
      </w:r>
      <w:r>
        <w:rPr>
          <w:rFonts w:hint="eastAsia" w:ascii="宋体" w:hAnsi="宋体"/>
          <w:sz w:val="24"/>
          <w:szCs w:val="24"/>
        </w:rPr>
        <w:t>均指验证集</w:t>
      </w:r>
      <w:r>
        <w:rPr>
          <w:rFonts w:hint="eastAsia" w:ascii="宋体" w:hAnsi="宋体"/>
          <w:color w:val="FF0000"/>
          <w:sz w:val="24"/>
          <w:szCs w:val="24"/>
        </w:rPr>
        <w:t>交叉熵损失</w:t>
      </w:r>
      <w:r>
        <w:rPr>
          <w:rFonts w:hint="eastAsia" w:ascii="宋体" w:hAnsi="宋体"/>
          <w:sz w:val="24"/>
          <w:szCs w:val="24"/>
        </w:rPr>
        <w:t>。模型能力通常还通过下游多维</w:t>
      </w:r>
      <w:r>
        <w:rPr>
          <w:rFonts w:hint="eastAsia" w:ascii="宋体" w:hAnsi="宋体"/>
          <w:color w:val="FF0000"/>
          <w:sz w:val="24"/>
          <w:szCs w:val="24"/>
        </w:rPr>
        <w:t>评测基准（Benchmarks）</w:t>
      </w:r>
      <w:r>
        <w:rPr>
          <w:rFonts w:hint="eastAsia" w:ascii="宋体" w:hAnsi="宋体"/>
          <w:sz w:val="24"/>
          <w:szCs w:val="24"/>
        </w:rPr>
        <w:t>衡量，</w:t>
      </w:r>
      <w:r>
        <w:rPr>
          <w:rFonts w:hint="eastAsia" w:ascii="宋体" w:hAnsi="宋体"/>
          <w:sz w:val="24"/>
          <w:szCs w:val="24"/>
          <w:u w:val="single"/>
        </w:rPr>
        <w:t>二者相关但不等价</w:t>
      </w:r>
      <w:r>
        <w:rPr>
          <w:rFonts w:hint="eastAsia" w:ascii="宋体" w:hAnsi="宋体"/>
          <w:sz w:val="24"/>
          <w:szCs w:val="24"/>
        </w:rPr>
        <w:t>。</w:t>
      </w:r>
    </w:p>
    <w:p w14:paraId="558DE892">
      <w:pPr>
        <w:pStyle w:val="3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随着人工智能对高质量语料的需求持续增长，能够满足需求的干净数据日益稀缺，数据污染问题也日趋严重，数据墙（Data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Wall）问题日益突出。2026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年</w:t>
      </w:r>
      <w:r>
        <w:rPr>
          <w:rFonts w:ascii="宋体" w:hAnsi="宋体"/>
          <w:sz w:val="24"/>
          <w:szCs w:val="24"/>
        </w:rPr>
        <w:t xml:space="preserve"> 2 </w:t>
      </w:r>
      <w:r>
        <w:rPr>
          <w:rFonts w:hint="eastAsia" w:ascii="宋体" w:hAnsi="宋体"/>
          <w:sz w:val="24"/>
          <w:szCs w:val="24"/>
        </w:rPr>
        <w:t>月《Nature》发表的一项研究指出，在引文准确率、降低幻觉等若干任务上，一个仅有</w:t>
      </w:r>
      <w:r>
        <w:rPr>
          <w:rFonts w:ascii="宋体" w:hAnsi="宋体"/>
          <w:sz w:val="24"/>
          <w:szCs w:val="24"/>
        </w:rPr>
        <w:t xml:space="preserve"> 80 </w:t>
      </w:r>
      <w:r>
        <w:rPr>
          <w:rFonts w:hint="eastAsia" w:ascii="宋体" w:hAnsi="宋体"/>
          <w:sz w:val="24"/>
          <w:szCs w:val="24"/>
        </w:rPr>
        <w:t>亿参数的“小个子”模型</w:t>
      </w:r>
      <w:r>
        <w:rPr>
          <w:rFonts w:ascii="宋体" w:hAnsi="宋体"/>
          <w:sz w:val="24"/>
          <w:szCs w:val="24"/>
        </w:rPr>
        <w:t xml:space="preserve"> OpenScholar-8B </w:t>
      </w:r>
      <w:r>
        <w:rPr>
          <w:rFonts w:hint="eastAsia" w:ascii="宋体" w:hAnsi="宋体"/>
          <w:sz w:val="24"/>
          <w:szCs w:val="24"/>
        </w:rPr>
        <w:t>的表现优于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GPT-4o，表明数据质量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Q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与领域配比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p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对模型能力具有不可忽视的作用。</w:t>
      </w:r>
    </w:p>
    <w:p w14:paraId="401FF970">
      <w:pPr>
        <w:pStyle w:val="3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扩大</w:t>
      </w:r>
      <w:r>
        <w:rPr>
          <w:rFonts w:hint="eastAsia" w:ascii="宋体" w:hAnsi="宋体"/>
          <w:b w:val="0"/>
          <w:bCs w:val="0"/>
          <w:sz w:val="24"/>
          <w:szCs w:val="24"/>
        </w:rPr>
        <w:t>模型规模</w:t>
      </w:r>
      <w:r>
        <w:rPr>
          <w:rFonts w:hint="eastAsia" w:ascii="宋体" w:hAnsi="宋体"/>
          <w:sz w:val="24"/>
          <w:szCs w:val="24"/>
        </w:rPr>
        <w:t>、提升</w:t>
      </w:r>
      <w:r>
        <w:rPr>
          <w:rFonts w:hint="eastAsia" w:ascii="宋体" w:hAnsi="宋体"/>
          <w:b w:val="0"/>
          <w:bCs w:val="0"/>
          <w:sz w:val="24"/>
          <w:szCs w:val="24"/>
        </w:rPr>
        <w:t>数据质量</w:t>
      </w:r>
      <w:r>
        <w:rPr>
          <w:rFonts w:hint="eastAsia" w:ascii="宋体" w:hAnsi="宋体"/>
          <w:sz w:val="24"/>
          <w:szCs w:val="24"/>
        </w:rPr>
        <w:t>与延长</w:t>
      </w:r>
      <w:r>
        <w:rPr>
          <w:rFonts w:hint="eastAsia" w:ascii="宋体" w:hAnsi="宋体"/>
          <w:b w:val="0"/>
          <w:bCs w:val="0"/>
          <w:sz w:val="24"/>
          <w:szCs w:val="24"/>
        </w:rPr>
        <w:t>上下文长度</w:t>
      </w:r>
      <w:r>
        <w:rPr>
          <w:rFonts w:hint="eastAsia" w:ascii="宋体" w:hAnsi="宋体"/>
          <w:sz w:val="24"/>
          <w:szCs w:val="24"/>
        </w:rPr>
        <w:t>均需付出</w:t>
      </w:r>
      <w:r>
        <w:rPr>
          <w:rFonts w:hint="eastAsia" w:ascii="宋体" w:hAnsi="宋体"/>
          <w:b w:val="0"/>
          <w:bCs w:val="0"/>
          <w:sz w:val="24"/>
          <w:szCs w:val="24"/>
        </w:rPr>
        <w:t>算力</w:t>
      </w:r>
      <w:r>
        <w:rPr>
          <w:rFonts w:hint="eastAsia" w:ascii="宋体" w:hAnsi="宋体"/>
          <w:sz w:val="24"/>
          <w:szCs w:val="24"/>
        </w:rPr>
        <w:t>代价；但算力有限。其中上下文长度越大，注意力计算与</w:t>
      </w:r>
      <w:r>
        <w:rPr>
          <w:rFonts w:ascii="宋体" w:hAnsi="宋体"/>
          <w:sz w:val="24"/>
          <w:szCs w:val="24"/>
        </w:rPr>
        <w:t xml:space="preserve"> KV </w:t>
      </w:r>
      <w:r>
        <w:rPr>
          <w:rFonts w:hint="eastAsia" w:ascii="宋体" w:hAnsi="宋体"/>
          <w:sz w:val="24"/>
          <w:szCs w:val="24"/>
        </w:rPr>
        <w:t>缓存等序列相关开销越高，因而会挤压可用于参数、数据或质量提升的预算。调整</w:t>
      </w:r>
      <w:r>
        <w:rPr>
          <w:rFonts w:hint="eastAsia" w:ascii="宋体" w:hAnsi="宋体"/>
          <w:b w:val="0"/>
          <w:bCs w:val="0"/>
          <w:sz w:val="24"/>
          <w:szCs w:val="24"/>
        </w:rPr>
        <w:t>领域配比</w:t>
      </w:r>
      <w:r>
        <w:rPr>
          <w:rFonts w:hint="eastAsia" w:ascii="宋体" w:hAnsi="宋体"/>
          <w:sz w:val="24"/>
          <w:szCs w:val="24"/>
        </w:rPr>
        <w:t>虽不增加算力总开销，却会改变算力在各领域间的分配效果。四者之间存在取舍。本赛题要求参赛队伍利用</w:t>
      </w:r>
      <w:r>
        <w:rPr>
          <w:rFonts w:hint="eastAsia" w:ascii="宋体" w:hAnsi="宋体"/>
          <w:b/>
          <w:bCs/>
          <w:color w:val="FF0000"/>
          <w:sz w:val="24"/>
          <w:szCs w:val="24"/>
        </w:rPr>
        <w:t>真实</w:t>
      </w:r>
      <w:r>
        <w:rPr>
          <w:rFonts w:hint="eastAsia" w:ascii="宋体" w:hAnsi="宋体"/>
          <w:color w:val="FF0000"/>
          <w:sz w:val="24"/>
          <w:szCs w:val="24"/>
        </w:rPr>
        <w:t>公开数据</w:t>
      </w:r>
      <w:r>
        <w:rPr>
          <w:rFonts w:hint="eastAsia" w:ascii="宋体" w:hAnsi="宋体"/>
          <w:sz w:val="24"/>
          <w:szCs w:val="24"/>
        </w:rPr>
        <w:t>及</w:t>
      </w:r>
      <w:r>
        <w:rPr>
          <w:rFonts w:hint="eastAsia" w:ascii="宋体" w:hAnsi="宋体"/>
          <w:color w:val="FF0000"/>
          <w:sz w:val="24"/>
          <w:szCs w:val="24"/>
        </w:rPr>
        <w:t>已明确标注的</w:t>
      </w:r>
      <w:r>
        <w:rPr>
          <w:rFonts w:hint="eastAsia" w:ascii="宋体" w:hAnsi="宋体"/>
          <w:b/>
          <w:bCs/>
          <w:color w:val="FF0000"/>
          <w:sz w:val="24"/>
          <w:szCs w:val="24"/>
        </w:rPr>
        <w:t>半合成补充</w:t>
      </w:r>
      <w:r>
        <w:rPr>
          <w:rFonts w:hint="eastAsia" w:ascii="宋体" w:hAnsi="宋体"/>
          <w:color w:val="FF0000"/>
          <w:sz w:val="24"/>
          <w:szCs w:val="24"/>
        </w:rPr>
        <w:t>数据</w:t>
      </w:r>
      <w:r>
        <w:rPr>
          <w:rFonts w:hint="eastAsia" w:ascii="宋体" w:hAnsi="宋体"/>
          <w:sz w:val="24"/>
          <w:szCs w:val="24"/>
        </w:rPr>
        <w:t>，建立数学模型，找到</w:t>
      </w:r>
      <w:r>
        <w:rPr>
          <w:rFonts w:hint="eastAsia" w:ascii="宋体" w:hAnsi="宋体"/>
          <w:b/>
          <w:bCs/>
          <w:sz w:val="24"/>
          <w:szCs w:val="24"/>
        </w:rPr>
        <w:t>参数规模、数据规模、数据质量、领域配比</w:t>
      </w:r>
      <w:r>
        <w:rPr>
          <w:rFonts w:hint="eastAsia" w:ascii="宋体" w:hAnsi="宋体"/>
          <w:sz w:val="24"/>
          <w:szCs w:val="24"/>
        </w:rPr>
        <w:t>与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Loss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之间的关系，并研究</w:t>
      </w:r>
      <w:r>
        <w:rPr>
          <w:rFonts w:hint="eastAsia" w:ascii="宋体" w:hAnsi="宋体"/>
          <w:color w:val="FF0000"/>
          <w:sz w:val="24"/>
          <w:szCs w:val="24"/>
        </w:rPr>
        <w:t>算力约束</w:t>
      </w:r>
      <w:r>
        <w:rPr>
          <w:rFonts w:hint="eastAsia" w:ascii="宋体" w:hAnsi="宋体"/>
          <w:sz w:val="24"/>
          <w:szCs w:val="24"/>
        </w:rPr>
        <w:t>下的资源配置问题，</w:t>
      </w:r>
      <w:r>
        <w:rPr>
          <w:rFonts w:hint="eastAsia" w:ascii="宋体" w:hAnsi="宋体"/>
          <w:color w:val="FF0000"/>
          <w:sz w:val="24"/>
          <w:szCs w:val="24"/>
        </w:rPr>
        <w:t>参赛者无须具备底层系统开发或大规模训练经验</w:t>
      </w:r>
      <w:r>
        <w:rPr>
          <w:rFonts w:hint="eastAsia" w:ascii="宋体" w:hAnsi="宋体"/>
          <w:sz w:val="24"/>
          <w:szCs w:val="24"/>
        </w:rPr>
        <w:t>。</w:t>
      </w:r>
    </w:p>
    <w:bookmarkEnd w:id="1"/>
    <w:p w14:paraId="25B113B5">
      <w:pPr>
        <w:pStyle w:val="5"/>
        <w:rPr>
          <w:rFonts w:hint="eastAsia" w:ascii="宋体" w:hAnsi="宋体" w:eastAsia="宋体"/>
          <w:b/>
          <w:bCs/>
          <w:sz w:val="24"/>
          <w:szCs w:val="24"/>
        </w:rPr>
      </w:pPr>
      <w:bookmarkStart w:id="2" w:name="Xa27d08791e0b75e3449e4c95d5437a9ee56ce4b"/>
      <w:r>
        <w:rPr>
          <w:rFonts w:hint="eastAsia" w:ascii="宋体" w:hAnsi="宋体" w:eastAsia="宋体"/>
          <w:b/>
          <w:bCs/>
          <w:sz w:val="24"/>
          <w:szCs w:val="24"/>
        </w:rPr>
        <w:t>二、领域知识速查</w:t>
      </w:r>
    </w:p>
    <w:tbl>
      <w:tblPr>
        <w:tblStyle w:val="43"/>
        <w:tblW w:w="940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1"/>
        <w:gridCol w:w="4939"/>
        <w:gridCol w:w="1986"/>
      </w:tblGrid>
      <w:tr w14:paraId="30B4ED18">
        <w:trPr>
          <w:tblHeader/>
        </w:trPr>
        <w:tc>
          <w:tcPr>
            <w:tcW w:w="248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154DCE50">
            <w:pPr>
              <w:pStyle w:val="26"/>
            </w:pPr>
            <w:r>
              <w:rPr>
                <w:rFonts w:hint="eastAsia"/>
              </w:rPr>
              <w:t>概念</w:t>
            </w:r>
          </w:p>
        </w:tc>
        <w:tc>
          <w:tcPr>
            <w:tcW w:w="493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4F09872">
            <w:pPr>
              <w:pStyle w:val="26"/>
            </w:pPr>
            <w:r>
              <w:rPr>
                <w:rFonts w:hint="eastAsia"/>
              </w:rPr>
              <w:t>说明</w:t>
            </w:r>
          </w:p>
        </w:tc>
        <w:tc>
          <w:tcPr>
            <w:tcW w:w="1986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D152EE4">
            <w:pPr>
              <w:pStyle w:val="26"/>
            </w:pPr>
            <w:r>
              <w:rPr>
                <w:rFonts w:hint="eastAsia"/>
              </w:rPr>
              <w:t>数学角色</w:t>
            </w:r>
          </w:p>
        </w:tc>
      </w:tr>
      <w:tr w14:paraId="3AB1B0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1" w:type="dxa"/>
            <w:tcBorders>
              <w:top w:val="single" w:color="auto" w:sz="4" w:space="0"/>
            </w:tcBorders>
          </w:tcPr>
          <w:p w14:paraId="27F88CC2">
            <w:pPr>
              <w:pStyle w:val="26"/>
            </w:pPr>
            <w:r>
              <w:rPr>
                <w:rFonts w:hint="eastAsia"/>
              </w:rPr>
              <w:t>交叉熵损失（Loss）</w:t>
            </w:r>
          </w:p>
        </w:tc>
        <w:tc>
          <w:tcPr>
            <w:tcW w:w="4939" w:type="dxa"/>
            <w:tcBorders>
              <w:top w:val="single" w:color="auto" w:sz="4" w:space="0"/>
            </w:tcBorders>
          </w:tcPr>
          <w:p w14:paraId="053CBC8E">
            <w:pPr>
              <w:pStyle w:val="26"/>
            </w:pPr>
            <w:r>
              <w:rPr>
                <w:rFonts w:hint="eastAsia"/>
              </w:rPr>
              <w:t>模型对正确结果的不确定程度，取值越低越好</w:t>
            </w:r>
          </w:p>
        </w:tc>
        <w:tc>
          <w:tcPr>
            <w:tcW w:w="1986" w:type="dxa"/>
            <w:tcBorders>
              <w:top w:val="single" w:color="auto" w:sz="4" w:space="0"/>
            </w:tcBorders>
          </w:tcPr>
          <w:p w14:paraId="061A5168">
            <w:pPr>
              <w:pStyle w:val="26"/>
            </w:pPr>
            <w:r>
              <w:rPr>
                <w:rFonts w:hint="eastAsia"/>
              </w:rPr>
              <w:t>因变量</w:t>
            </w:r>
          </w:p>
        </w:tc>
      </w:tr>
      <w:tr w14:paraId="33DF8F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1" w:type="dxa"/>
          </w:tcPr>
          <w:p w14:paraId="4DD23D59">
            <w:pPr>
              <w:pStyle w:val="26"/>
            </w:pPr>
            <w:r>
              <w:rPr>
                <w:rFonts w:hint="eastAsia"/>
              </w:rPr>
              <w:t>标度律（Scaling</w:t>
            </w:r>
            <w:r>
              <w:t xml:space="preserve"> </w:t>
            </w:r>
            <w:r>
              <w:rPr>
                <w:rFonts w:hint="eastAsia"/>
              </w:rPr>
              <w:t>Law）</w:t>
            </w:r>
          </w:p>
        </w:tc>
        <w:tc>
          <w:tcPr>
            <w:tcW w:w="4939" w:type="dxa"/>
          </w:tcPr>
          <w:p w14:paraId="15885AE6">
            <w:pPr>
              <w:pStyle w:val="26"/>
            </w:pPr>
            <w:r>
              <w:t xml:space="preserve">Loss </w:t>
            </w:r>
            <w:r>
              <w:rPr>
                <w:rFonts w:hint="eastAsia"/>
              </w:rPr>
              <w:t>随</w:t>
            </w:r>
            <w: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N</m:t>
              </m:r>
            </m:oMath>
            <w:r>
              <w:t>、</w:t>
            </w:r>
            <m:oMath>
              <m:r>
                <m:rPr/>
                <w:rPr>
                  <w:rFonts w:ascii="Cambria Math" w:hAnsi="Cambria Math"/>
                </w:rPr>
                <m:t>D</m:t>
              </m:r>
            </m:oMath>
            <w:r>
              <w:t xml:space="preserve"> </w:t>
            </w:r>
            <w:r>
              <w:rPr>
                <w:rFonts w:hint="eastAsia"/>
              </w:rPr>
              <w:t>按幂函数变化的经验规律</w:t>
            </w:r>
          </w:p>
        </w:tc>
        <w:tc>
          <w:tcPr>
            <w:tcW w:w="1986" w:type="dxa"/>
          </w:tcPr>
          <w:p w14:paraId="2B13DBAF">
            <w:pPr>
              <w:pStyle w:val="26"/>
            </w:pPr>
            <w:r>
              <w:rPr>
                <w:rFonts w:hint="eastAsia"/>
              </w:rPr>
              <w:t>核心关系</w:t>
            </w:r>
          </w:p>
        </w:tc>
      </w:tr>
      <w:tr w14:paraId="0150C1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1" w:type="dxa"/>
          </w:tcPr>
          <w:p w14:paraId="22A08E20">
            <w:pPr>
              <w:pStyle w:val="26"/>
            </w:pPr>
            <w:r>
              <w:rPr>
                <w:rFonts w:hint="eastAsia"/>
              </w:rPr>
              <w:t>数据质量（</w:t>
            </w:r>
            <m:oMath>
              <m:r>
                <m:rPr/>
                <w:rPr>
                  <w:rFonts w:ascii="Cambria Math" w:hAnsi="Cambria Math"/>
                </w:rPr>
                <m:t>Q</m:t>
              </m:r>
            </m:oMath>
            <w:r>
              <w:rPr>
                <w:rFonts w:hint="eastAsia"/>
              </w:rPr>
              <w:t>）</w:t>
            </w:r>
          </w:p>
        </w:tc>
        <w:tc>
          <w:tcPr>
            <w:tcW w:w="4939" w:type="dxa"/>
          </w:tcPr>
          <w:p w14:paraId="0479291C">
            <w:pPr>
              <w:pStyle w:val="26"/>
            </w:pPr>
            <w:r>
              <w:rPr>
                <w:rFonts w:hint="eastAsia"/>
              </w:rPr>
              <w:t>训练数据的优劣程度，须定义到</w:t>
            </w:r>
            <w:r>
              <w:rPr>
                <w:rFonts w:hint="eastAsia"/>
                <w:color w:val="FF0000"/>
              </w:rPr>
              <w:t>可比较</w:t>
            </w:r>
            <w:r>
              <w:rPr>
                <w:rFonts w:hint="eastAsia"/>
              </w:rPr>
              <w:t>的尺度</w:t>
            </w:r>
          </w:p>
        </w:tc>
        <w:tc>
          <w:tcPr>
            <w:tcW w:w="1986" w:type="dxa"/>
          </w:tcPr>
          <w:p w14:paraId="372AD597">
            <w:pPr>
              <w:pStyle w:val="26"/>
            </w:pPr>
            <w:r>
              <w:rPr>
                <w:rFonts w:hint="eastAsia"/>
              </w:rPr>
              <w:t>自变量</w:t>
            </w:r>
          </w:p>
        </w:tc>
      </w:tr>
      <w:tr w14:paraId="0BAADD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1" w:type="dxa"/>
          </w:tcPr>
          <w:p w14:paraId="120C9B40">
            <w:pPr>
              <w:pStyle w:val="26"/>
            </w:pPr>
            <w:r>
              <w:rPr>
                <w:rFonts w:hint="eastAsia"/>
              </w:rPr>
              <w:t>领域配比（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oMath>
            <w:r>
              <w:rPr>
                <w:rFonts w:hint="eastAsia"/>
              </w:rPr>
              <w:t>）</w:t>
            </w:r>
          </w:p>
        </w:tc>
        <w:tc>
          <w:tcPr>
            <w:tcW w:w="4939" w:type="dxa"/>
          </w:tcPr>
          <w:p w14:paraId="08AC9E73">
            <w:pPr>
              <w:pStyle w:val="26"/>
            </w:pPr>
            <w:r>
              <w:rPr>
                <w:rFonts w:hint="eastAsia"/>
              </w:rPr>
              <w:t>各领域数据所占比例，分量非负且和为</w:t>
            </w:r>
            <w:r>
              <w:t xml:space="preserve"> 1</w:t>
            </w:r>
          </w:p>
        </w:tc>
        <w:tc>
          <w:tcPr>
            <w:tcW w:w="1986" w:type="dxa"/>
          </w:tcPr>
          <w:p w14:paraId="61476998">
            <w:pPr>
              <w:pStyle w:val="26"/>
            </w:pPr>
            <w:r>
              <w:rPr>
                <w:rFonts w:hint="eastAsia"/>
              </w:rPr>
              <w:t>向量自变量</w:t>
            </w:r>
          </w:p>
        </w:tc>
      </w:tr>
      <w:tr w14:paraId="48FD6B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1" w:type="dxa"/>
          </w:tcPr>
          <w:p w14:paraId="34F3C730">
            <w:pPr>
              <w:pStyle w:val="26"/>
            </w:pPr>
            <w:r>
              <w:t>FLOPs</w:t>
            </w:r>
          </w:p>
        </w:tc>
        <w:tc>
          <w:tcPr>
            <w:tcW w:w="4939" w:type="dxa"/>
          </w:tcPr>
          <w:p w14:paraId="072D4CFD">
            <w:pPr>
              <w:pStyle w:val="26"/>
            </w:pPr>
            <w:r>
              <w:rPr>
                <w:rFonts w:hint="eastAsia"/>
              </w:rPr>
              <w:t>浮点运算次数，常用近似</w:t>
            </w:r>
            <w: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m:rPr/>
                <w:rPr>
                  <w:rFonts w:ascii="Cambria Math" w:hAnsi="Cambria Math"/>
                </w:rPr>
                <m:t>6</m:t>
              </m:r>
              <m:r>
                <m:rPr/>
                <w:rPr>
                  <w:rFonts w:ascii="Cambria Math" w:hAnsi="Cambria Math"/>
                  <w:color w:val="FF0000"/>
                </w:rPr>
                <m:t>N</m:t>
              </m:r>
              <m:r>
                <m:rPr/>
                <w:rPr>
                  <w:rFonts w:ascii="Cambria Math" w:hAnsi="Cambria Math"/>
                </w:rPr>
                <m:t>D</m:t>
              </m:r>
            </m:oMath>
          </w:p>
        </w:tc>
        <w:tc>
          <w:tcPr>
            <w:tcW w:w="1986" w:type="dxa"/>
          </w:tcPr>
          <w:p w14:paraId="6FEF4380">
            <w:pPr>
              <w:pStyle w:val="26"/>
            </w:pPr>
            <w:r>
              <w:rPr>
                <w:rFonts w:hint="eastAsia"/>
              </w:rPr>
              <w:t>约束</w:t>
            </w:r>
          </w:p>
        </w:tc>
      </w:tr>
      <w:tr w14:paraId="017C62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1" w:type="dxa"/>
          </w:tcPr>
          <w:p w14:paraId="3D0589EB">
            <w:pPr>
              <w:pStyle w:val="26"/>
            </w:pPr>
            <w:r>
              <w:t>Token</w:t>
            </w:r>
          </w:p>
        </w:tc>
        <w:tc>
          <w:tcPr>
            <w:tcW w:w="4939" w:type="dxa"/>
          </w:tcPr>
          <w:p w14:paraId="1888DDC8">
            <w:pPr>
              <w:pStyle w:val="26"/>
            </w:pPr>
            <w:r>
              <w:rPr>
                <w:rFonts w:hint="eastAsia"/>
              </w:rPr>
              <w:t>文本计量单位，用于表示</w:t>
            </w:r>
            <w:r>
              <w:rPr>
                <w:rFonts w:hint="eastAsia"/>
                <w:color w:val="FF0000"/>
              </w:rPr>
              <w:t>数据量</w:t>
            </w:r>
            <w:r>
              <w:rPr>
                <w:color w:val="FF0000"/>
              </w:rPr>
              <w:t xml:space="preserve"> </w:t>
            </w:r>
            <m:oMath>
              <m:r>
                <m:rPr/>
                <w:rPr>
                  <w:rFonts w:ascii="Cambria Math" w:hAnsi="Cambria Math"/>
                  <w:color w:val="FF0000"/>
                </w:rPr>
                <m:t>D</m:t>
              </m:r>
            </m:oMath>
          </w:p>
        </w:tc>
        <w:tc>
          <w:tcPr>
            <w:tcW w:w="1986" w:type="dxa"/>
          </w:tcPr>
          <w:p w14:paraId="55B0FA3A">
            <w:pPr>
              <w:pStyle w:val="26"/>
            </w:pPr>
            <w:r>
              <w:rPr>
                <w:rFonts w:hint="eastAsia"/>
              </w:rPr>
              <w:t>数据量单位</w:t>
            </w:r>
          </w:p>
        </w:tc>
      </w:tr>
      <w:tr w14:paraId="2232DF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1" w:type="dxa"/>
            <w:tcBorders>
              <w:bottom w:val="single" w:color="auto" w:sz="4" w:space="0"/>
            </w:tcBorders>
          </w:tcPr>
          <w:p w14:paraId="1BD13F23">
            <w:pPr>
              <w:pStyle w:val="26"/>
            </w:pPr>
            <w:r>
              <w:t>Benchmark</w:t>
            </w:r>
          </w:p>
        </w:tc>
        <w:tc>
          <w:tcPr>
            <w:tcW w:w="4939" w:type="dxa"/>
            <w:tcBorders>
              <w:bottom w:val="single" w:color="auto" w:sz="4" w:space="0"/>
            </w:tcBorders>
          </w:tcPr>
          <w:p w14:paraId="456FE30E">
            <w:pPr>
              <w:pStyle w:val="26"/>
            </w:pPr>
            <w:r>
              <w:rPr>
                <w:rFonts w:hint="eastAsia"/>
              </w:rPr>
              <w:t>标准化下游评测，得分常为</w:t>
            </w:r>
            <w:r>
              <w:rPr>
                <w:color w:val="FF0000"/>
              </w:rPr>
              <w:t xml:space="preserve"> 0–100</w:t>
            </w:r>
          </w:p>
        </w:tc>
        <w:tc>
          <w:tcPr>
            <w:tcW w:w="1986" w:type="dxa"/>
            <w:tcBorders>
              <w:bottom w:val="single" w:color="auto" w:sz="4" w:space="0"/>
            </w:tcBorders>
          </w:tcPr>
          <w:p w14:paraId="70665E0C">
            <w:pPr>
              <w:pStyle w:val="26"/>
            </w:pPr>
            <w:r>
              <w:rPr>
                <w:rFonts w:hint="eastAsia"/>
              </w:rPr>
              <w:t>能力指标</w:t>
            </w:r>
          </w:p>
        </w:tc>
      </w:tr>
    </w:tbl>
    <w:p w14:paraId="14AD9160"/>
    <w:bookmarkEnd w:id="2"/>
    <w:p w14:paraId="61AEC1C7">
      <w:pPr>
        <w:pStyle w:val="5"/>
        <w:rPr>
          <w:rFonts w:hint="eastAsia" w:ascii="宋体" w:hAnsi="宋体" w:eastAsia="宋体"/>
          <w:b/>
          <w:bCs/>
          <w:sz w:val="24"/>
          <w:szCs w:val="24"/>
        </w:rPr>
      </w:pPr>
      <w:bookmarkStart w:id="3" w:name="ux4e09ux5efaux6a21ux4efbux52a1"/>
      <w:r>
        <w:rPr>
          <w:rFonts w:hint="eastAsia" w:ascii="宋体" w:hAnsi="宋体" w:eastAsia="宋体"/>
          <w:b/>
          <w:bCs/>
          <w:sz w:val="24"/>
          <w:szCs w:val="24"/>
        </w:rPr>
        <w:t>三、建模任务</w:t>
      </w:r>
    </w:p>
    <w:p w14:paraId="084CC816">
      <w:pPr>
        <w:pStyle w:val="25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四问构成一条递进主线：问题一刻画数据本身的</w:t>
      </w:r>
      <w:r>
        <w:rPr>
          <w:rFonts w:hint="eastAsia" w:ascii="宋体" w:hAnsi="宋体"/>
          <w:color w:val="FF0000"/>
          <w:sz w:val="24"/>
          <w:szCs w:val="24"/>
        </w:rPr>
        <w:t>质量与配比</w:t>
      </w:r>
      <w:r>
        <w:rPr>
          <w:rFonts w:hint="eastAsia" w:ascii="宋体" w:hAnsi="宋体"/>
          <w:sz w:val="24"/>
          <w:szCs w:val="24"/>
        </w:rPr>
        <w:t>，问题二把数据因素纳入</w:t>
      </w:r>
      <w:r>
        <w:rPr>
          <w:rFonts w:hint="eastAsia" w:ascii="宋体" w:hAnsi="宋体"/>
          <w:color w:val="FF0000"/>
          <w:sz w:val="24"/>
          <w:szCs w:val="24"/>
        </w:rPr>
        <w:t>标度律</w:t>
      </w:r>
      <w:r>
        <w:rPr>
          <w:rFonts w:hint="eastAsia" w:ascii="宋体" w:hAnsi="宋体"/>
          <w:sz w:val="24"/>
          <w:szCs w:val="24"/>
        </w:rPr>
        <w:t>，问题三在</w:t>
      </w:r>
      <w:r>
        <w:rPr>
          <w:rFonts w:hint="eastAsia" w:ascii="宋体" w:hAnsi="宋体"/>
          <w:color w:val="FF0000"/>
          <w:sz w:val="24"/>
          <w:szCs w:val="24"/>
        </w:rPr>
        <w:t>算力预算</w:t>
      </w:r>
      <w:r>
        <w:rPr>
          <w:rFonts w:hint="eastAsia" w:ascii="宋体" w:hAnsi="宋体"/>
          <w:sz w:val="24"/>
          <w:szCs w:val="24"/>
        </w:rPr>
        <w:t>下求解最优配置，问题四用</w:t>
      </w:r>
      <w:r>
        <w:rPr>
          <w:rFonts w:hint="eastAsia" w:ascii="宋体" w:hAnsi="宋体"/>
          <w:color w:val="FF0000"/>
          <w:sz w:val="24"/>
          <w:szCs w:val="24"/>
        </w:rPr>
        <w:t>历史评测数据检验规律并预测能力前沿</w:t>
      </w:r>
      <w:r>
        <w:rPr>
          <w:rFonts w:hint="eastAsia" w:ascii="宋体" w:hAnsi="宋体"/>
          <w:sz w:val="24"/>
          <w:szCs w:val="24"/>
        </w:rPr>
        <w:t>；</w:t>
      </w:r>
      <w:r>
        <w:rPr>
          <w:rFonts w:hint="eastAsia" w:ascii="宋体" w:hAnsi="宋体"/>
          <w:b/>
          <w:bCs/>
          <w:color w:val="FF0000"/>
          <w:sz w:val="24"/>
          <w:szCs w:val="24"/>
        </w:rPr>
        <w:t>前一问的输出是后一问的输入</w:t>
      </w:r>
      <w:r>
        <w:rPr>
          <w:rFonts w:hint="eastAsia" w:ascii="宋体" w:hAnsi="宋体"/>
          <w:sz w:val="24"/>
          <w:szCs w:val="24"/>
        </w:rPr>
        <w:t>。</w:t>
      </w:r>
    </w:p>
    <w:p w14:paraId="04A4B0D7">
      <w:pPr>
        <w:pStyle w:val="3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请结合附件数据建立数学模型，完成下列问题。除题中明确给出的定义、公式与数据要求外，</w:t>
      </w:r>
      <w:r>
        <w:rPr>
          <w:rFonts w:hint="eastAsia" w:ascii="宋体" w:hAnsi="宋体"/>
          <w:color w:val="FF0000"/>
          <w:sz w:val="24"/>
          <w:szCs w:val="24"/>
        </w:rPr>
        <w:t>预处理方式、模型形式、求解方法与评价指标</w:t>
      </w:r>
      <w:r>
        <w:rPr>
          <w:rFonts w:hint="eastAsia" w:ascii="宋体" w:hAnsi="宋体"/>
          <w:sz w:val="24"/>
          <w:szCs w:val="24"/>
        </w:rPr>
        <w:t>均由参赛队伍自行确定，并</w:t>
      </w:r>
      <w:r>
        <w:rPr>
          <w:rFonts w:hint="eastAsia" w:ascii="宋体" w:hAnsi="宋体"/>
          <w:color w:val="FF0000"/>
          <w:sz w:val="24"/>
          <w:szCs w:val="24"/>
        </w:rPr>
        <w:t>说明依据</w:t>
      </w:r>
      <w:r>
        <w:rPr>
          <w:rFonts w:hint="eastAsia" w:ascii="宋体" w:hAnsi="宋体"/>
          <w:sz w:val="24"/>
          <w:szCs w:val="24"/>
        </w:rPr>
        <w:t>。各数据文件以编号</w:t>
      </w:r>
      <w:r>
        <w:rPr>
          <w:rFonts w:ascii="宋体" w:hAnsi="宋体"/>
          <w:sz w:val="24"/>
          <w:szCs w:val="24"/>
        </w:rPr>
        <w:t xml:space="preserve"> A1–A18、B1–B12、C1–C10 </w:t>
      </w:r>
      <w:r>
        <w:rPr>
          <w:rFonts w:hint="eastAsia" w:ascii="宋体" w:hAnsi="宋体"/>
          <w:sz w:val="24"/>
          <w:szCs w:val="24"/>
        </w:rPr>
        <w:t>指代，编号与文件名的对照见《数据说明》；各问的数据使用要求见附录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A</w:t>
      </w:r>
      <w:r>
        <w:rPr>
          <w:rFonts w:hint="eastAsia" w:ascii="宋体" w:hAnsi="宋体"/>
          <w:sz w:val="24"/>
          <w:szCs w:val="24"/>
          <w:lang w:val="en-US" w:eastAsia="zh-CN"/>
        </w:rPr>
        <w:t xml:space="preserve"> （本文）</w:t>
      </w:r>
      <w:r>
        <w:rPr>
          <w:rFonts w:hint="eastAsia" w:ascii="宋体" w:hAnsi="宋体"/>
          <w:sz w:val="24"/>
          <w:szCs w:val="24"/>
        </w:rPr>
        <w:t>，</w:t>
      </w:r>
      <w:r>
        <w:rPr>
          <w:rFonts w:hint="eastAsia" w:ascii="宋体" w:hAnsi="宋体"/>
          <w:color w:val="FF0000"/>
          <w:sz w:val="24"/>
          <w:szCs w:val="24"/>
        </w:rPr>
        <w:t>问题三的成本函数</w:t>
      </w:r>
      <w:r>
        <w:rPr>
          <w:rFonts w:hint="eastAsia" w:ascii="宋体" w:hAnsi="宋体"/>
          <w:sz w:val="24"/>
          <w:szCs w:val="24"/>
        </w:rPr>
        <w:t>参数见附录</w:t>
      </w:r>
      <w:r>
        <w:rPr>
          <w:rFonts w:ascii="宋体" w:hAnsi="宋体"/>
          <w:sz w:val="24"/>
          <w:szCs w:val="24"/>
        </w:rPr>
        <w:t xml:space="preserve"> B</w:t>
      </w:r>
      <w:r>
        <w:rPr>
          <w:rFonts w:hint="eastAsia" w:ascii="宋体" w:hAnsi="宋体"/>
          <w:sz w:val="24"/>
          <w:szCs w:val="24"/>
          <w:lang w:val="en-US" w:eastAsia="zh-CN"/>
        </w:rPr>
        <w:t xml:space="preserve"> （本文）</w:t>
      </w:r>
      <w:r>
        <w:rPr>
          <w:rFonts w:ascii="宋体" w:hAnsi="宋体"/>
          <w:sz w:val="24"/>
          <w:szCs w:val="24"/>
        </w:rPr>
        <w:t>。</w:t>
      </w:r>
    </w:p>
    <w:p w14:paraId="3D20C81A">
      <w:pPr>
        <w:pStyle w:val="6"/>
        <w:rPr>
          <w:rFonts w:hint="eastAsia" w:ascii="宋体" w:hAnsi="宋体" w:eastAsia="宋体"/>
          <w:b/>
          <w:bCs/>
          <w:i w:val="0"/>
          <w:iCs w:val="0"/>
          <w:sz w:val="24"/>
          <w:szCs w:val="24"/>
        </w:rPr>
      </w:pPr>
      <w:bookmarkStart w:id="4" w:name="ux95eeux9898ux4e00"/>
      <w:r>
        <w:rPr>
          <w:rFonts w:hint="eastAsia" w:ascii="宋体" w:hAnsi="宋体" w:eastAsia="宋体"/>
          <w:b/>
          <w:bCs/>
          <w:i w:val="0"/>
          <w:iCs w:val="0"/>
          <w:sz w:val="24"/>
          <w:szCs w:val="24"/>
        </w:rPr>
        <w:t>问题一：数据质量评价、质量冲突消解与领域配比建模</w:t>
      </w:r>
    </w:p>
    <w:p w14:paraId="2DA9566D">
      <w:pPr>
        <w:pStyle w:val="13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b/>
          <w:bCs/>
        </w:rPr>
        <w:t>通俗理解：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好比教育研究员要从</w:t>
      </w:r>
      <w:r>
        <w:rPr>
          <w:rFonts w:ascii="宋体" w:hAnsi="宋体" w:eastAsia="宋体"/>
        </w:rPr>
        <w:t xml:space="preserve"> 22 </w:t>
      </w:r>
      <w:r>
        <w:rPr>
          <w:rFonts w:hint="eastAsia" w:ascii="宋体" w:hAnsi="宋体" w:eastAsia="宋体"/>
        </w:rPr>
        <w:t>个维度（如教育价值、流畅度、广告含量等）给一批教材打分，先把这些维度合成一个“质量分</w:t>
      </w:r>
      <w:r>
        <w:rPr>
          <w:rFonts w:ascii="宋体" w:hAnsi="宋体" w:eastAsia="宋体"/>
        </w:rPr>
        <w:t xml:space="preserve"> </w:t>
      </w:r>
      <m:oMath>
        <m:r>
          <m:rPr>
            <m:sty m:val="p"/>
          </m:rPr>
          <w:rPr>
            <w:rFonts w:ascii="Cambria Math" w:hAnsi="Cambria Math" w:eastAsia="宋体"/>
          </w:rPr>
          <m:t>Q</m:t>
        </m:r>
      </m:oMath>
      <w:r>
        <w:rPr>
          <w:rFonts w:ascii="宋体" w:hAnsi="宋体" w:eastAsia="宋体"/>
        </w:rPr>
        <w:t>”</w:t>
      </w:r>
      <w:r>
        <w:rPr>
          <w:rFonts w:hint="eastAsia" w:ascii="宋体" w:hAnsi="宋体" w:eastAsia="宋体"/>
        </w:rPr>
        <w:t>，再研究“语文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30%、数学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40%、英语</w:t>
      </w:r>
      <w:r>
        <w:rPr>
          <w:rFonts w:ascii="宋体" w:hAnsi="宋体" w:eastAsia="宋体"/>
        </w:rPr>
        <w:t xml:space="preserve"> 30%”</w:t>
      </w:r>
      <w:r>
        <w:rPr>
          <w:rFonts w:hint="eastAsia" w:ascii="宋体" w:hAnsi="宋体" w:eastAsia="宋体"/>
        </w:rPr>
        <w:t>这类课时分配（17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域配比）与考试扣分（Loss）之间的关系。原始指标的优劣方向不同：例如教育价值越高越好，广告含量越低越好。建模前须把所有指标</w:t>
      </w:r>
      <w:r>
        <w:rPr>
          <w:rFonts w:hint="eastAsia" w:ascii="宋体" w:hAnsi="宋体" w:eastAsia="宋体"/>
          <w:color w:val="FF0000"/>
        </w:rPr>
        <w:t>统一转换为“越高越好”</w:t>
      </w:r>
      <w:r>
        <w:rPr>
          <w:rFonts w:hint="eastAsia" w:ascii="宋体" w:hAnsi="宋体" w:eastAsia="宋体"/>
        </w:rPr>
        <w:t>（例如对广告含量等负向指标做补转换，即</w:t>
      </w:r>
      <w:r>
        <w:rPr>
          <w:rFonts w:ascii="宋体" w:hAnsi="宋体" w:eastAsia="宋体"/>
        </w:rPr>
        <w:t xml:space="preserve"> Min-Max </w:t>
      </w:r>
      <w:r>
        <w:rPr>
          <w:rFonts w:hint="eastAsia" w:ascii="宋体" w:hAnsi="宋体" w:eastAsia="宋体"/>
        </w:rPr>
        <w:t>归一化后的</w:t>
      </w:r>
      <w:r>
        <w:rPr>
          <w:rFonts w:ascii="宋体" w:hAnsi="宋体" w:eastAsia="宋体"/>
        </w:rPr>
        <w:t xml:space="preserve"> </w:t>
      </w:r>
      <m:oMath>
        <m:r>
          <m:rPr>
            <m:sty m:val="p"/>
          </m:rPr>
          <w:rPr>
            <w:rFonts w:ascii="Cambria Math" w:hAnsi="Cambria Math" w:eastAsia="宋体"/>
          </w:rPr>
          <m:t>x</m:t>
        </m:r>
      </m:oMath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改为</w:t>
      </w:r>
      <w:r>
        <w:rPr>
          <w:rFonts w:ascii="宋体" w:hAnsi="宋体" w:eastAsia="宋体"/>
        </w:rPr>
        <w:t xml:space="preserve"> </w:t>
      </w:r>
      <m:oMath>
        <m:r>
          <m:rPr>
            <m:sty m:val="p"/>
          </m:rPr>
          <w:rPr>
            <w:rFonts w:ascii="Cambria Math" w:hAnsi="Cambria Math" w:eastAsia="宋体"/>
          </w:rPr>
          <m:t>1−x</m:t>
        </m:r>
      </m:oMath>
      <w:r>
        <w:rPr>
          <w:rFonts w:hint="eastAsia" w:ascii="宋体" w:hAnsi="宋体" w:eastAsia="宋体"/>
        </w:rPr>
        <w:t>）；当“教育价值高”与“广告含量高”同时出现在同一本教材上，还须</w:t>
      </w:r>
      <w:r>
        <w:rPr>
          <w:rFonts w:hint="eastAsia" w:ascii="宋体" w:hAnsi="宋体" w:eastAsia="宋体"/>
          <w:color w:val="FF0000"/>
        </w:rPr>
        <w:t>定义“冲突”并给出消解规则</w:t>
      </w:r>
      <w:r>
        <w:rPr>
          <w:rFonts w:hint="eastAsia" w:ascii="宋体" w:hAnsi="宋体" w:eastAsia="宋体"/>
        </w:rPr>
        <w:t>。最后用原始教材内容</w:t>
      </w:r>
      <w:r>
        <w:rPr>
          <w:rFonts w:hint="eastAsia" w:ascii="宋体" w:hAnsi="宋体" w:eastAsia="宋体"/>
          <w:color w:val="FF0000"/>
        </w:rPr>
        <w:t>检验评分是否可靠</w:t>
      </w:r>
      <w:r>
        <w:rPr>
          <w:rFonts w:hint="eastAsia" w:ascii="宋体" w:hAnsi="宋体" w:eastAsia="宋体"/>
        </w:rPr>
        <w:t>。</w:t>
      </w:r>
    </w:p>
    <w:p w14:paraId="54656A4A">
      <w:pPr>
        <w:pStyle w:val="25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附件</w:t>
      </w:r>
      <w:r>
        <w:rPr>
          <w:rFonts w:ascii="宋体" w:hAnsi="宋体"/>
          <w:sz w:val="24"/>
          <w:szCs w:val="24"/>
        </w:rPr>
        <w:t xml:space="preserve"> A </w:t>
      </w:r>
      <w:r>
        <w:rPr>
          <w:rFonts w:hint="eastAsia" w:ascii="宋体" w:hAnsi="宋体"/>
          <w:sz w:val="24"/>
          <w:szCs w:val="24"/>
        </w:rPr>
        <w:t>提供两类数据：质量信号数据（</w:t>
      </w:r>
      <w:r>
        <w:rPr>
          <w:rFonts w:ascii="宋体" w:hAnsi="宋体"/>
          <w:b/>
          <w:bCs/>
          <w:sz w:val="24"/>
          <w:szCs w:val="24"/>
        </w:rPr>
        <w:t>A1–A3</w:t>
      </w:r>
      <w:r>
        <w:rPr>
          <w:rFonts w:hint="eastAsia" w:ascii="宋体" w:hAnsi="宋体"/>
          <w:sz w:val="24"/>
          <w:szCs w:val="24"/>
        </w:rPr>
        <w:t>），用于质量评价与冲突分析；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配方实验数据（</w:t>
      </w:r>
      <w:r>
        <w:rPr>
          <w:rFonts w:ascii="宋体" w:hAnsi="宋体"/>
          <w:b/>
          <w:bCs/>
          <w:sz w:val="24"/>
          <w:szCs w:val="24"/>
        </w:rPr>
        <w:t>A4–A15</w:t>
      </w:r>
      <w:r>
        <w:rPr>
          <w:rFonts w:hint="eastAsia" w:ascii="宋体" w:hAnsi="宋体"/>
          <w:sz w:val="24"/>
          <w:szCs w:val="24"/>
        </w:rPr>
        <w:t>），用于配比建模。二者的</w:t>
      </w:r>
      <w:r>
        <w:rPr>
          <w:rFonts w:hint="eastAsia" w:ascii="宋体" w:hAnsi="宋体"/>
          <w:color w:val="FF0000"/>
          <w:sz w:val="24"/>
          <w:szCs w:val="24"/>
        </w:rPr>
        <w:t>域分类体系</w:t>
      </w:r>
      <w:r>
        <w:rPr>
          <w:rFonts w:hint="eastAsia" w:ascii="宋体" w:hAnsi="宋体"/>
          <w:sz w:val="24"/>
          <w:szCs w:val="24"/>
        </w:rPr>
        <w:t>不同，若需将质量信息引入配比建模，应自行建立</w:t>
      </w:r>
      <w:r>
        <w:rPr>
          <w:rFonts w:hint="eastAsia" w:ascii="宋体" w:hAnsi="宋体"/>
          <w:color w:val="FF0000"/>
          <w:sz w:val="24"/>
          <w:szCs w:val="24"/>
        </w:rPr>
        <w:t>跨体系关联并说明规则与假设</w:t>
      </w:r>
      <w:r>
        <w:rPr>
          <w:rFonts w:hint="eastAsia" w:ascii="宋体" w:hAnsi="宋体"/>
          <w:sz w:val="24"/>
          <w:szCs w:val="24"/>
        </w:rPr>
        <w:t>（</w:t>
      </w:r>
      <w:r>
        <w:rPr>
          <w:rFonts w:ascii="宋体" w:hAnsi="宋体"/>
          <w:b/>
          <w:bCs/>
          <w:sz w:val="24"/>
          <w:szCs w:val="24"/>
        </w:rPr>
        <w:t>A16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给出参考映射）。请完成以下三项：</w:t>
      </w:r>
    </w:p>
    <w:p w14:paraId="51AB78CA">
      <w:pPr>
        <w:numPr>
          <w:ilvl w:val="0"/>
          <w:numId w:val="1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数据质量评价。对质量指标进行必要</w:t>
      </w:r>
      <w:r>
        <w:rPr>
          <w:rFonts w:hint="eastAsia" w:ascii="宋体" w:hAnsi="宋体"/>
          <w:color w:val="FF0000"/>
          <w:sz w:val="24"/>
          <w:szCs w:val="24"/>
        </w:rPr>
        <w:t>预处理</w:t>
      </w:r>
      <w:r>
        <w:rPr>
          <w:rFonts w:hint="eastAsia" w:ascii="宋体" w:hAnsi="宋体"/>
          <w:sz w:val="24"/>
          <w:szCs w:val="24"/>
        </w:rPr>
        <w:t>，建立</w:t>
      </w:r>
      <w:r>
        <w:rPr>
          <w:rFonts w:hint="eastAsia" w:ascii="宋体" w:hAnsi="宋体"/>
          <w:b w:val="0"/>
          <w:bCs w:val="0"/>
          <w:color w:val="FF0000"/>
          <w:sz w:val="24"/>
          <w:szCs w:val="24"/>
        </w:rPr>
        <w:t>综合</w:t>
      </w:r>
      <w:r>
        <w:rPr>
          <w:rFonts w:hint="eastAsia" w:ascii="宋体" w:hAnsi="宋体"/>
          <w:color w:val="FF0000"/>
          <w:sz w:val="24"/>
          <w:szCs w:val="24"/>
        </w:rPr>
        <w:t>评价模型</w:t>
      </w:r>
      <w:r>
        <w:rPr>
          <w:rFonts w:hint="eastAsia" w:ascii="宋体" w:hAnsi="宋体"/>
          <w:sz w:val="24"/>
          <w:szCs w:val="24"/>
        </w:rPr>
        <w:t>，给出</w:t>
      </w:r>
      <w:r>
        <w:rPr>
          <w:rFonts w:hint="eastAsia" w:ascii="宋体" w:hAnsi="宋体"/>
          <w:color w:val="FF0000"/>
          <w:sz w:val="24"/>
          <w:szCs w:val="24"/>
        </w:rPr>
        <w:t>样本级、语料级或领域级</w:t>
      </w:r>
      <w:r>
        <w:rPr>
          <w:rFonts w:hint="eastAsia" w:ascii="宋体" w:hAnsi="宋体"/>
          <w:sz w:val="24"/>
          <w:szCs w:val="24"/>
        </w:rPr>
        <w:t>的质量评分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Q</m:t>
        </m:r>
      </m:oMath>
      <w:r>
        <w:rPr>
          <w:rFonts w:hint="eastAsia" w:ascii="宋体" w:hAnsi="宋体"/>
          <w:sz w:val="24"/>
          <w:szCs w:val="24"/>
        </w:rPr>
        <w:t>，并说明由样本向语料或领域</w:t>
      </w:r>
      <w:r>
        <w:rPr>
          <w:rFonts w:hint="eastAsia" w:ascii="宋体" w:hAnsi="宋体"/>
          <w:color w:val="FF0000"/>
          <w:sz w:val="24"/>
          <w:szCs w:val="24"/>
        </w:rPr>
        <w:t>聚合的方式</w:t>
      </w:r>
      <w:r>
        <w:rPr>
          <w:rFonts w:hint="eastAsia" w:ascii="宋体" w:hAnsi="宋体"/>
          <w:sz w:val="24"/>
          <w:szCs w:val="24"/>
        </w:rPr>
        <w:t>；指标方向须统一为“</w:t>
      </w:r>
      <w:r>
        <w:rPr>
          <w:rFonts w:hint="eastAsia" w:ascii="宋体" w:hAnsi="宋体"/>
          <w:color w:val="FF0000"/>
          <w:sz w:val="24"/>
          <w:szCs w:val="24"/>
        </w:rPr>
        <w:t>越高越好</w:t>
      </w:r>
      <w:r>
        <w:rPr>
          <w:rFonts w:hint="eastAsia" w:ascii="宋体" w:hAnsi="宋体"/>
          <w:sz w:val="24"/>
          <w:szCs w:val="24"/>
        </w:rPr>
        <w:t>”。须使用全量质量信号，即抽样集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A1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与扩展集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A2、A3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的全部记录，并给出其域级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Q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且与抽样集结果</w:t>
      </w:r>
      <w:r>
        <w:rPr>
          <w:rFonts w:hint="eastAsia" w:ascii="宋体" w:hAnsi="宋体"/>
          <w:color w:val="FF0000"/>
          <w:sz w:val="24"/>
          <w:szCs w:val="24"/>
        </w:rPr>
        <w:t>对照</w:t>
      </w:r>
      <w:r>
        <w:rPr>
          <w:rFonts w:hint="eastAsia" w:ascii="宋体" w:hAnsi="宋体"/>
          <w:sz w:val="24"/>
          <w:szCs w:val="24"/>
        </w:rPr>
        <w:t>。</w:t>
      </w:r>
    </w:p>
    <w:p w14:paraId="3A45CA67">
      <w:pPr>
        <w:numPr>
          <w:ilvl w:val="0"/>
          <w:numId w:val="1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质量冲突消解。当不同质量指标对同一文本给出显著不一致的评价时，应定义</w:t>
      </w:r>
      <w:r>
        <w:rPr>
          <w:rFonts w:hint="eastAsia" w:ascii="宋体" w:hAnsi="宋体"/>
          <w:color w:val="FF0000"/>
          <w:sz w:val="24"/>
          <w:szCs w:val="24"/>
        </w:rPr>
        <w:t>冲突</w:t>
      </w:r>
      <w:r>
        <w:rPr>
          <w:rFonts w:hint="eastAsia" w:ascii="宋体" w:hAnsi="宋体"/>
          <w:sz w:val="24"/>
          <w:szCs w:val="24"/>
        </w:rPr>
        <w:t>、分析其成因，并建立相应的</w:t>
      </w:r>
      <w:r>
        <w:rPr>
          <w:rFonts w:hint="eastAsia" w:ascii="宋体" w:hAnsi="宋体"/>
          <w:color w:val="FF0000"/>
          <w:sz w:val="24"/>
          <w:szCs w:val="24"/>
        </w:rPr>
        <w:t>综合评价模型</w:t>
      </w:r>
      <w:r>
        <w:rPr>
          <w:rFonts w:hint="eastAsia" w:ascii="宋体" w:hAnsi="宋体"/>
          <w:sz w:val="24"/>
          <w:szCs w:val="24"/>
        </w:rPr>
        <w:t>。冲突分析</w:t>
      </w:r>
      <w:r>
        <w:rPr>
          <w:rFonts w:hint="eastAsia" w:ascii="宋体" w:hAnsi="宋体"/>
          <w:color w:val="FF0000"/>
          <w:sz w:val="24"/>
          <w:szCs w:val="24"/>
        </w:rPr>
        <w:t>应覆盖</w:t>
      </w:r>
      <w:r>
        <w:rPr>
          <w:rFonts w:hint="eastAsia" w:ascii="宋体" w:hAnsi="宋体"/>
          <w:sz w:val="24"/>
          <w:szCs w:val="24"/>
        </w:rPr>
        <w:t>抽样集，并在扩展集上</w:t>
      </w:r>
      <w:r>
        <w:rPr>
          <w:rFonts w:hint="eastAsia" w:ascii="宋体" w:hAnsi="宋体"/>
          <w:color w:val="FF0000"/>
          <w:sz w:val="24"/>
          <w:szCs w:val="24"/>
        </w:rPr>
        <w:t>检验</w:t>
      </w:r>
      <w:r>
        <w:rPr>
          <w:rFonts w:hint="eastAsia" w:ascii="宋体" w:hAnsi="宋体"/>
          <w:sz w:val="24"/>
          <w:szCs w:val="24"/>
        </w:rPr>
        <w:t>主要结论是否同样成立。</w:t>
      </w:r>
    </w:p>
    <w:p w14:paraId="2272B646">
      <w:pPr>
        <w:numPr>
          <w:ilvl w:val="0"/>
          <w:numId w:val="1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领域配比建模。利用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A4–A15</w:t>
      </w:r>
      <w:r>
        <w:rPr>
          <w:rFonts w:hint="eastAsia" w:ascii="宋体" w:hAnsi="宋体"/>
          <w:sz w:val="24"/>
          <w:szCs w:val="24"/>
        </w:rPr>
        <w:t>，建立</w:t>
      </w:r>
      <w:r>
        <w:rPr>
          <w:rFonts w:ascii="宋体" w:hAnsi="宋体"/>
          <w:sz w:val="24"/>
          <w:szCs w:val="24"/>
        </w:rPr>
        <w:t xml:space="preserve"> 17 </w:t>
      </w:r>
      <w:r>
        <w:rPr>
          <w:rFonts w:hint="eastAsia" w:ascii="宋体" w:hAnsi="宋体"/>
          <w:sz w:val="24"/>
          <w:szCs w:val="24"/>
        </w:rPr>
        <w:t>域配比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p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与</w:t>
      </w:r>
      <w:r>
        <w:rPr>
          <w:rFonts w:hint="eastAsia" w:ascii="宋体" w:hAnsi="宋体"/>
          <w:b w:val="0"/>
          <w:bCs w:val="0"/>
          <w:color w:val="FF0000"/>
          <w:sz w:val="24"/>
          <w:szCs w:val="24"/>
        </w:rPr>
        <w:t>交叉熵损失</w:t>
      </w:r>
      <w:r>
        <w:rPr>
          <w:rFonts w:hint="eastAsia" w:ascii="宋体" w:hAnsi="宋体"/>
          <w:sz w:val="24"/>
          <w:szCs w:val="24"/>
        </w:rPr>
        <w:t>的定量关系，并分析各</w:t>
      </w:r>
      <w:r>
        <w:rPr>
          <w:rFonts w:hint="eastAsia" w:ascii="宋体" w:hAnsi="宋体"/>
          <w:color w:val="FF0000"/>
          <w:sz w:val="24"/>
          <w:szCs w:val="24"/>
        </w:rPr>
        <w:t>领域及其组合对性能的影响</w:t>
      </w:r>
      <w:r>
        <w:rPr>
          <w:rFonts w:hint="eastAsia" w:ascii="宋体" w:hAnsi="宋体"/>
          <w:sz w:val="24"/>
          <w:szCs w:val="24"/>
        </w:rPr>
        <w:t>；</w:t>
      </w:r>
      <w:r>
        <w:rPr>
          <w:rFonts w:hint="eastAsia" w:ascii="宋体" w:hAnsi="宋体"/>
          <w:color w:val="FF0000"/>
          <w:sz w:val="24"/>
          <w:szCs w:val="24"/>
        </w:rPr>
        <w:t>是否以及如何引入质量评分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Q</m:t>
        </m:r>
      </m:oMath>
      <w:r>
        <w:rPr>
          <w:rFonts w:hint="eastAsia" w:ascii="宋体" w:hAnsi="宋体"/>
          <w:sz w:val="24"/>
          <w:szCs w:val="24"/>
        </w:rPr>
        <w:t>，由参赛队伍论证。配比满足单纯形约束</w:t>
      </w:r>
    </w:p>
    <w:p w14:paraId="25C761A4">
      <w:pPr>
        <w:pStyle w:val="3"/>
        <w:rPr>
          <w:rFonts w:ascii="宋体" w:hAnsi="宋体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p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≥</m:t>
          </m:r>
          <m:r>
            <m:rPr/>
            <w:rPr>
              <w:rFonts w:ascii="Cambria Math" w:hAnsi="Cambria Math"/>
              <w:sz w:val="24"/>
              <w:szCs w:val="24"/>
            </w:rPr>
            <m:t>0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m:rPr/>
            <w:rPr>
              <w:rFonts w:ascii="Cambria Math" w:hAnsi="Cambria Math"/>
              <w:sz w:val="24"/>
              <w:szCs w:val="24"/>
            </w:rPr>
            <m:t>  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​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m:rPr/>
            <w:rPr>
              <w:rFonts w:ascii="Cambria Math" w:hAnsi="Cambria Math"/>
              <w:sz w:val="24"/>
              <w:szCs w:val="24"/>
            </w:rPr>
            <m:t>1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</m:oMath>
      </m:oMathPara>
    </w:p>
    <w:p w14:paraId="6CF98B9F">
      <w:pPr>
        <w:numPr>
          <w:ilvl w:val="0"/>
          <w:numId w:val="2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须合理处理。模型须在检验集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A6–A11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上</w:t>
      </w:r>
      <w:r>
        <w:rPr>
          <w:rFonts w:hint="eastAsia" w:ascii="宋体" w:hAnsi="宋体"/>
          <w:b w:val="0"/>
          <w:bCs w:val="0"/>
          <w:color w:val="FF0000"/>
          <w:sz w:val="24"/>
          <w:szCs w:val="24"/>
        </w:rPr>
        <w:t>验证</w:t>
      </w:r>
      <w:r>
        <w:rPr>
          <w:rFonts w:hint="eastAsia" w:ascii="宋体" w:hAnsi="宋体"/>
          <w:sz w:val="24"/>
          <w:szCs w:val="24"/>
        </w:rPr>
        <w:t>，并利用外推表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A12–A15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讨论外推结论的</w:t>
      </w:r>
      <w:r>
        <w:rPr>
          <w:rFonts w:hint="eastAsia" w:ascii="宋体" w:hAnsi="宋体"/>
          <w:color w:val="FF0000"/>
          <w:sz w:val="24"/>
          <w:szCs w:val="24"/>
        </w:rPr>
        <w:t>稳健性</w:t>
      </w:r>
      <w:r>
        <w:rPr>
          <w:rFonts w:hint="eastAsia" w:ascii="宋体" w:hAnsi="宋体"/>
          <w:sz w:val="24"/>
          <w:szCs w:val="24"/>
        </w:rPr>
        <w:t>。</w:t>
      </w:r>
    </w:p>
    <w:bookmarkEnd w:id="4"/>
    <w:p w14:paraId="3C6E31B2">
      <w:pPr>
        <w:pStyle w:val="6"/>
        <w:rPr>
          <w:rFonts w:hint="eastAsia" w:ascii="宋体" w:hAnsi="宋体" w:eastAsia="宋体"/>
          <w:b/>
          <w:bCs/>
          <w:i w:val="0"/>
          <w:iCs w:val="0"/>
          <w:sz w:val="24"/>
          <w:szCs w:val="24"/>
        </w:rPr>
      </w:pPr>
      <w:bookmarkStart w:id="5" w:name="ux95eeux9898ux4e8c"/>
      <w:r>
        <w:rPr>
          <w:rFonts w:hint="eastAsia" w:ascii="宋体" w:hAnsi="宋体" w:eastAsia="宋体"/>
          <w:b/>
          <w:bCs/>
          <w:i w:val="0"/>
          <w:iCs w:val="0"/>
          <w:sz w:val="24"/>
          <w:szCs w:val="24"/>
        </w:rPr>
        <w:t>问题二：跨维度数据融合与广义标度律</w:t>
      </w:r>
    </w:p>
    <w:p w14:paraId="6A7558E5">
      <w:pPr>
        <w:pStyle w:val="13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b/>
          <w:bCs/>
        </w:rPr>
        <w:t>通俗理解：</w:t>
      </w:r>
      <w:r>
        <w:rPr>
          <w:rFonts w:hint="eastAsia" w:ascii="宋体" w:hAnsi="宋体" w:eastAsia="宋体"/>
        </w:rPr>
        <w:t>经典公式只管“脑容量”和“阅读量”，没有考虑“教材质量”。你要构造一个</w:t>
      </w:r>
      <w:r>
        <w:rPr>
          <w:rFonts w:hint="eastAsia" w:ascii="宋体" w:hAnsi="宋体" w:eastAsia="宋体"/>
          <w:color w:val="FF0000"/>
        </w:rPr>
        <w:t>新公式</w:t>
      </w:r>
      <w:r>
        <w:rPr>
          <w:rFonts w:hint="eastAsia" w:ascii="宋体" w:hAnsi="宋体" w:eastAsia="宋体"/>
        </w:rPr>
        <w:t>，把质量也纳入其中（</w:t>
      </w:r>
      <w:r>
        <w:rPr>
          <w:rFonts w:hint="eastAsia" w:ascii="宋体" w:hAnsi="宋体" w:eastAsia="宋体"/>
          <w:color w:val="FF0000"/>
        </w:rPr>
        <w:t>一种自然的设计是</w:t>
      </w:r>
      <w:r>
        <w:rPr>
          <w:rFonts w:hint="eastAsia" w:ascii="宋体" w:hAnsi="宋体" w:eastAsia="宋体"/>
        </w:rPr>
        <w:t>：当教材趋于完美时，新公式</w:t>
      </w:r>
      <w:r>
        <w:rPr>
          <w:rFonts w:hint="eastAsia" w:ascii="宋体" w:hAnsi="宋体" w:eastAsia="宋体"/>
          <w:color w:val="FF0000"/>
        </w:rPr>
        <w:t>退化</w:t>
      </w:r>
      <w:r>
        <w:rPr>
          <w:rFonts w:hint="eastAsia" w:ascii="宋体" w:hAnsi="宋体" w:eastAsia="宋体"/>
        </w:rPr>
        <w:t>为经典形式；也可另行设计，鼓励创新）。然后算一笔账：同样多花一块钱，用在“堆参数”上还是“买好教材”上</w:t>
      </w:r>
      <w:r>
        <w:rPr>
          <w:rFonts w:hint="eastAsia" w:ascii="宋体" w:hAnsi="宋体" w:eastAsia="宋体"/>
          <w:color w:val="FF0000"/>
        </w:rPr>
        <w:t>更划算</w:t>
      </w:r>
      <w:r>
        <w:rPr>
          <w:rFonts w:hint="eastAsia" w:ascii="宋体" w:hAnsi="宋体" w:eastAsia="宋体"/>
        </w:rPr>
        <w:t>？用弹性系数量化这一取舍，并推导出“质量提升</w:t>
      </w:r>
      <w:r>
        <w:rPr>
          <w:rFonts w:ascii="宋体" w:hAnsi="宋体" w:eastAsia="宋体"/>
        </w:rPr>
        <w:t xml:space="preserve"> 0.1 </w:t>
      </w:r>
      <w:r>
        <w:rPr>
          <w:rFonts w:hint="eastAsia" w:ascii="宋体" w:hAnsi="宋体" w:eastAsia="宋体"/>
          <w:color w:val="FF0000"/>
        </w:rPr>
        <w:t>等价</w:t>
      </w:r>
      <w:r>
        <w:rPr>
          <w:rFonts w:hint="eastAsia" w:ascii="宋体" w:hAnsi="宋体" w:eastAsia="宋体"/>
        </w:rPr>
        <w:t>于参数增加多少”的可计算条件。</w:t>
      </w:r>
    </w:p>
    <w:p w14:paraId="32E0443A">
      <w:pPr>
        <w:pStyle w:val="25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经典标度律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L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(</m:t>
        </m:r>
        <m:r>
          <m:rPr/>
          <w:rPr>
            <w:rFonts w:ascii="Cambria Math" w:hAnsi="Cambria Math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m:rPr/>
          <w:rPr>
            <w:rFonts w:ascii="Cambria Math" w:hAnsi="Cambria Math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)=</m:t>
        </m:r>
        <m:r>
          <m:rPr/>
          <w:rPr>
            <w:rFonts w:ascii="Cambria Math" w:hAnsi="Cambria Math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+</m:t>
        </m:r>
        <m:r>
          <m:rPr/>
          <w:rPr>
            <w:rFonts w:ascii="Cambria Math" w:hAnsi="Cambria Math"/>
            <w:sz w:val="24"/>
            <w:szCs w:val="24"/>
          </w:rPr>
          <m:t>A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N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−</m:t>
            </m:r>
            <m:r>
              <m:rPr/>
              <w:rPr>
                <w:rFonts w:ascii="Cambria Math" w:hAnsi="Cambria Math"/>
                <w:sz w:val="24"/>
                <w:szCs w:val="24"/>
              </w:rPr>
              <m:t>α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</w:rPr>
          <m:t>+</m:t>
        </m:r>
        <m:r>
          <m:rPr/>
          <w:rPr>
            <w:rFonts w:ascii="Cambria Math" w:hAnsi="Cambria Math"/>
            <w:sz w:val="24"/>
            <w:szCs w:val="24"/>
          </w:rPr>
          <m:t>B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D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−</m:t>
            </m:r>
            <m:r>
              <m:rPr/>
              <w:rPr>
                <w:rFonts w:ascii="Cambria Math" w:hAnsi="Cambria Math"/>
                <w:sz w:val="24"/>
                <w:szCs w:val="24"/>
              </w:rPr>
              <m:t>β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未显式纳入数据质量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Q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与领域配比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p</m:t>
        </m:r>
      </m:oMath>
      <w:r>
        <w:rPr>
          <w:rFonts w:hint="eastAsia" w:ascii="宋体" w:hAnsi="宋体"/>
          <w:sz w:val="24"/>
          <w:szCs w:val="24"/>
        </w:rPr>
        <w:t>。请综合附件</w:t>
      </w:r>
      <w:r>
        <w:rPr>
          <w:rFonts w:ascii="宋体" w:hAnsi="宋体"/>
          <w:sz w:val="24"/>
          <w:szCs w:val="24"/>
        </w:rPr>
        <w:t xml:space="preserve"> A、B </w:t>
      </w:r>
      <w:r>
        <w:rPr>
          <w:rFonts w:hint="eastAsia" w:ascii="宋体" w:hAnsi="宋体"/>
          <w:sz w:val="24"/>
          <w:szCs w:val="24"/>
        </w:rPr>
        <w:t>的信息，建立同时包含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/>
          <w:sz w:val="24"/>
          <w:szCs w:val="24"/>
        </w:rPr>
        <w:t>、</w:t>
      </w:r>
      <m:oMath>
        <m:r>
          <m:rPr/>
          <w:rPr>
            <w:rFonts w:ascii="Cambria Math" w:hAnsi="Cambria Math"/>
            <w:sz w:val="24"/>
            <w:szCs w:val="24"/>
          </w:rPr>
          <m:t>D</m:t>
        </m:r>
      </m:oMath>
      <w:r>
        <w:rPr>
          <w:rFonts w:ascii="宋体" w:hAnsi="宋体"/>
          <w:sz w:val="24"/>
          <w:szCs w:val="24"/>
        </w:rPr>
        <w:t>、</w:t>
      </w:r>
      <m:oMath>
        <m:r>
          <m:rPr/>
          <w:rPr>
            <w:rFonts w:ascii="Cambria Math" w:hAnsi="Cambria Math"/>
            <w:sz w:val="24"/>
            <w:szCs w:val="24"/>
          </w:rPr>
          <m:t>Q</m:t>
        </m:r>
      </m:oMath>
      <w:r>
        <w:rPr>
          <w:rFonts w:ascii="宋体" w:hAnsi="宋体"/>
          <w:sz w:val="24"/>
          <w:szCs w:val="24"/>
        </w:rPr>
        <w:t>、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p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的</w:t>
      </w:r>
      <w:r>
        <w:rPr>
          <w:rFonts w:hint="eastAsia" w:ascii="宋体" w:hAnsi="宋体"/>
          <w:color w:val="FF0000"/>
          <w:sz w:val="24"/>
          <w:szCs w:val="24"/>
        </w:rPr>
        <w:t>广义标度律</w:t>
      </w:r>
      <w:r>
        <w:rPr>
          <w:rFonts w:hint="eastAsia" w:ascii="宋体" w:hAnsi="宋体"/>
          <w:sz w:val="24"/>
          <w:szCs w:val="24"/>
        </w:rPr>
        <w:t>。其中附件</w:t>
      </w:r>
      <w:r>
        <w:rPr>
          <w:rFonts w:ascii="宋体" w:hAnsi="宋体"/>
          <w:sz w:val="24"/>
          <w:szCs w:val="24"/>
        </w:rPr>
        <w:t xml:space="preserve"> A </w:t>
      </w:r>
      <w:r>
        <w:rPr>
          <w:rFonts w:hint="eastAsia" w:ascii="宋体" w:hAnsi="宋体"/>
          <w:sz w:val="24"/>
          <w:szCs w:val="24"/>
        </w:rPr>
        <w:t>与问题一为同一数据集，本问通过问题一</w:t>
      </w:r>
      <w:r>
        <w:rPr>
          <w:rFonts w:hint="eastAsia" w:ascii="宋体" w:hAnsi="宋体"/>
          <w:color w:val="FF0000"/>
          <w:sz w:val="24"/>
          <w:szCs w:val="24"/>
        </w:rPr>
        <w:t>输出</w:t>
      </w:r>
      <w:r>
        <w:rPr>
          <w:rFonts w:hint="eastAsia" w:ascii="宋体" w:hAnsi="宋体"/>
          <w:sz w:val="24"/>
          <w:szCs w:val="24"/>
        </w:rPr>
        <w:t>的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Q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与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p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引入其信息，不重复读取原始文件；本问直接使用的数据为附件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B（B1–B12，其中</w:t>
      </w:r>
      <w:r>
        <w:rPr>
          <w:rFonts w:ascii="宋体" w:hAnsi="宋体"/>
          <w:sz w:val="24"/>
          <w:szCs w:val="24"/>
        </w:rPr>
        <w:t xml:space="preserve"> B11/B12 </w:t>
      </w:r>
      <w:r>
        <w:rPr>
          <w:rFonts w:hint="eastAsia" w:ascii="宋体" w:hAnsi="宋体"/>
          <w:sz w:val="24"/>
          <w:szCs w:val="24"/>
        </w:rPr>
        <w:t>为辅助）。</w:t>
      </w:r>
    </w:p>
    <w:p w14:paraId="60A62249">
      <w:pPr>
        <w:pStyle w:val="3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附件</w:t>
      </w:r>
      <w:r>
        <w:rPr>
          <w:rFonts w:ascii="宋体" w:hAnsi="宋体"/>
          <w:sz w:val="24"/>
          <w:szCs w:val="24"/>
        </w:rPr>
        <w:t xml:space="preserve"> A </w:t>
      </w:r>
      <w:r>
        <w:rPr>
          <w:rFonts w:hint="eastAsia" w:ascii="宋体" w:hAnsi="宋体"/>
          <w:sz w:val="24"/>
          <w:szCs w:val="24"/>
        </w:rPr>
        <w:t>与附件</w:t>
      </w:r>
      <w:r>
        <w:rPr>
          <w:rFonts w:ascii="宋体" w:hAnsi="宋体"/>
          <w:sz w:val="24"/>
          <w:szCs w:val="24"/>
        </w:rPr>
        <w:t xml:space="preserve"> B </w:t>
      </w:r>
      <w:r>
        <w:rPr>
          <w:rFonts w:hint="eastAsia" w:ascii="宋体" w:hAnsi="宋体"/>
          <w:sz w:val="24"/>
          <w:szCs w:val="24"/>
        </w:rPr>
        <w:t>的实验相互独立，但均以</w:t>
      </w:r>
      <w:r>
        <w:rPr>
          <w:rFonts w:hint="eastAsia" w:ascii="宋体" w:hAnsi="宋体"/>
          <w:color w:val="FF0000"/>
          <w:sz w:val="24"/>
          <w:szCs w:val="24"/>
        </w:rPr>
        <w:t>交叉熵损失</w:t>
      </w:r>
      <w:r>
        <w:rPr>
          <w:rFonts w:hint="eastAsia" w:ascii="宋体" w:hAnsi="宋体"/>
          <w:sz w:val="24"/>
          <w:szCs w:val="24"/>
        </w:rPr>
        <w:t>为可观测结果，参赛队伍应提出</w:t>
      </w:r>
      <w:r>
        <w:rPr>
          <w:rFonts w:hint="eastAsia" w:ascii="宋体" w:hAnsi="宋体"/>
          <w:color w:val="FF0000"/>
          <w:sz w:val="24"/>
          <w:szCs w:val="24"/>
        </w:rPr>
        <w:t>可检验的假设</w:t>
      </w:r>
      <w:r>
        <w:rPr>
          <w:rFonts w:hint="eastAsia" w:ascii="宋体" w:hAnsi="宋体"/>
          <w:sz w:val="24"/>
          <w:szCs w:val="24"/>
        </w:rPr>
        <w:t>，将不同来源的规律</w:t>
      </w:r>
      <w:r>
        <w:rPr>
          <w:rFonts w:hint="eastAsia" w:ascii="宋体" w:hAnsi="宋体"/>
          <w:color w:val="FF0000"/>
          <w:sz w:val="24"/>
          <w:szCs w:val="24"/>
        </w:rPr>
        <w:t>统一</w:t>
      </w:r>
      <w:r>
        <w:rPr>
          <w:rFonts w:hint="eastAsia" w:ascii="宋体" w:hAnsi="宋体"/>
          <w:sz w:val="24"/>
          <w:szCs w:val="24"/>
        </w:rPr>
        <w:t>到同一模型中。附件</w:t>
      </w:r>
      <w:r>
        <w:rPr>
          <w:rFonts w:ascii="宋体" w:hAnsi="宋体"/>
          <w:sz w:val="24"/>
          <w:szCs w:val="24"/>
        </w:rPr>
        <w:t xml:space="preserve"> B </w:t>
      </w:r>
      <w:r>
        <w:rPr>
          <w:rFonts w:hint="eastAsia" w:ascii="宋体" w:hAnsi="宋体"/>
          <w:sz w:val="24"/>
          <w:szCs w:val="24"/>
        </w:rPr>
        <w:t>中的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B6–B8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为基于真实数据校准的半合成补充集，可用于补充分析，但不得将其表述为直接实验观测，</w:t>
      </w:r>
      <w:r>
        <w:rPr>
          <w:rFonts w:hint="eastAsia" w:ascii="宋体" w:hAnsi="宋体"/>
          <w:color w:val="FF0000"/>
          <w:sz w:val="24"/>
          <w:szCs w:val="24"/>
        </w:rPr>
        <w:t>并须说明其局限</w:t>
      </w:r>
      <w:r>
        <w:rPr>
          <w:rFonts w:hint="eastAsia" w:ascii="宋体" w:hAnsi="宋体"/>
          <w:sz w:val="24"/>
          <w:szCs w:val="24"/>
        </w:rPr>
        <w:t>。广义标度律的具体形式由参赛队伍自行设计，鼓励在经典标度律基础上创新拓展；若采用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m:rPr/>
          <w:rPr>
            <w:rFonts w:ascii="Cambria Math" w:hAnsi="Cambria Math"/>
            <w:sz w:val="24"/>
            <w:szCs w:val="24"/>
          </w:rPr>
          <m:t>1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时退化为经典形式等约束，</w:t>
      </w:r>
      <w:r>
        <w:rPr>
          <w:rFonts w:hint="eastAsia" w:ascii="宋体" w:hAnsi="宋体"/>
          <w:color w:val="FF0000"/>
          <w:sz w:val="24"/>
          <w:szCs w:val="24"/>
        </w:rPr>
        <w:t>须说明依据</w:t>
      </w:r>
      <w:r>
        <w:rPr>
          <w:rFonts w:hint="eastAsia" w:ascii="宋体" w:hAnsi="宋体"/>
          <w:sz w:val="24"/>
          <w:szCs w:val="24"/>
        </w:rPr>
        <w:t>。</w:t>
      </w:r>
    </w:p>
    <w:p w14:paraId="607E33B8">
      <w:pPr>
        <w:pStyle w:val="3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在此基础上，分析各因素的</w:t>
      </w:r>
      <w:r>
        <w:rPr>
          <w:rFonts w:hint="eastAsia" w:ascii="宋体" w:hAnsi="宋体"/>
          <w:color w:val="FF0000"/>
          <w:sz w:val="24"/>
          <w:szCs w:val="24"/>
        </w:rPr>
        <w:t>边际效用与弹性</w:t>
      </w:r>
      <w:r>
        <w:rPr>
          <w:rFonts w:hint="eastAsia" w:ascii="宋体" w:hAnsi="宋体"/>
          <w:sz w:val="24"/>
          <w:szCs w:val="24"/>
        </w:rPr>
        <w:t>，讨论不同领域数据之间的</w:t>
      </w:r>
      <w:r>
        <w:rPr>
          <w:rFonts w:hint="eastAsia" w:ascii="宋体" w:hAnsi="宋体"/>
          <w:color w:val="FF0000"/>
          <w:sz w:val="24"/>
          <w:szCs w:val="24"/>
        </w:rPr>
        <w:t>替代或互补关系</w:t>
      </w:r>
      <w:r>
        <w:rPr>
          <w:rFonts w:hint="eastAsia" w:ascii="宋体" w:hAnsi="宋体"/>
          <w:sz w:val="24"/>
          <w:szCs w:val="24"/>
        </w:rPr>
        <w:t>，推导提升数据质量与扩大模型规模可相互替代的条件，并完成</w:t>
      </w:r>
      <w:r>
        <w:rPr>
          <w:rFonts w:hint="eastAsia" w:ascii="宋体" w:hAnsi="宋体"/>
          <w:color w:val="FF0000"/>
          <w:sz w:val="24"/>
          <w:szCs w:val="24"/>
        </w:rPr>
        <w:t>参数估计、检验与验证</w:t>
      </w:r>
      <w:r>
        <w:rPr>
          <w:rFonts w:hint="eastAsia" w:ascii="宋体" w:hAnsi="宋体"/>
          <w:sz w:val="24"/>
          <w:szCs w:val="24"/>
        </w:rPr>
        <w:t>。</w:t>
      </w:r>
    </w:p>
    <w:bookmarkEnd w:id="5"/>
    <w:p w14:paraId="6492F494">
      <w:pPr>
        <w:pStyle w:val="6"/>
        <w:rPr>
          <w:rFonts w:hint="eastAsia" w:ascii="宋体" w:hAnsi="宋体" w:eastAsia="宋体"/>
          <w:b/>
          <w:bCs/>
          <w:i w:val="0"/>
          <w:iCs w:val="0"/>
          <w:sz w:val="24"/>
          <w:szCs w:val="24"/>
        </w:rPr>
      </w:pPr>
      <w:bookmarkStart w:id="6" w:name="ux95eeux9898ux4e09"/>
      <w:r>
        <w:rPr>
          <w:rFonts w:hint="eastAsia" w:ascii="宋体" w:hAnsi="宋体" w:eastAsia="宋体"/>
          <w:b/>
          <w:bCs/>
          <w:i w:val="0"/>
          <w:iCs w:val="0"/>
          <w:sz w:val="24"/>
          <w:szCs w:val="24"/>
        </w:rPr>
        <w:t>问题三：算力约束下的多维资源联合优化与结构性转移</w:t>
      </w:r>
    </w:p>
    <w:p w14:paraId="74BDD0B1">
      <w:pPr>
        <w:pStyle w:val="13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b/>
          <w:bCs/>
        </w:rPr>
        <w:t>通俗理解：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好比家庭月收入从</w:t>
      </w:r>
      <w:r>
        <w:rPr>
          <w:rFonts w:ascii="宋体" w:hAnsi="宋体" w:eastAsia="宋体"/>
        </w:rPr>
        <w:t xml:space="preserve"> 3000 </w:t>
      </w:r>
      <w:r>
        <w:rPr>
          <w:rFonts w:hint="eastAsia" w:ascii="宋体" w:hAnsi="宋体" w:eastAsia="宋体"/>
        </w:rPr>
        <w:t>元提高到</w:t>
      </w:r>
      <w:r>
        <w:rPr>
          <w:rFonts w:ascii="宋体" w:hAnsi="宋体" w:eastAsia="宋体"/>
        </w:rPr>
        <w:t xml:space="preserve"> 3 </w:t>
      </w:r>
      <w:r>
        <w:rPr>
          <w:rFonts w:hint="eastAsia" w:ascii="宋体" w:hAnsi="宋体" w:eastAsia="宋体"/>
        </w:rPr>
        <w:t>万元、30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万元时，“吃饭/教育/医疗”的</w:t>
      </w:r>
      <w:r>
        <w:rPr>
          <w:rFonts w:hint="eastAsia" w:ascii="宋体" w:hAnsi="宋体" w:eastAsia="宋体"/>
          <w:color w:val="FF0000"/>
        </w:rPr>
        <w:t>支出比例</w:t>
      </w:r>
      <w:r>
        <w:rPr>
          <w:rFonts w:hint="eastAsia" w:ascii="宋体" w:hAnsi="宋体" w:eastAsia="宋体"/>
        </w:rPr>
        <w:t>会发生质变——收入低时先顾温饱，中等收入时重视教育，高收入时更关注健康。</w:t>
      </w:r>
    </w:p>
    <w:p w14:paraId="30FC0AF7">
      <w:pPr>
        <w:pStyle w:val="25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在算力预算有限时，如何在参数量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N</m:t>
        </m:r>
      </m:oMath>
      <w:r>
        <w:rPr>
          <w:rFonts w:hint="eastAsia" w:ascii="宋体" w:hAnsi="宋体"/>
          <w:sz w:val="24"/>
          <w:szCs w:val="24"/>
        </w:rPr>
        <w:t>、数据量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D</m:t>
        </m:r>
      </m:oMath>
      <w:r>
        <w:rPr>
          <w:rFonts w:hint="eastAsia" w:ascii="宋体" w:hAnsi="宋体"/>
          <w:sz w:val="24"/>
          <w:szCs w:val="24"/>
        </w:rPr>
        <w:t>、领域配比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p</m:t>
        </m:r>
      </m:oMath>
      <w:r>
        <w:rPr>
          <w:rFonts w:hint="eastAsia" w:ascii="宋体" w:hAnsi="宋体"/>
          <w:sz w:val="24"/>
          <w:szCs w:val="24"/>
        </w:rPr>
        <w:t>、数据质量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Q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之间</w:t>
      </w:r>
      <w:r>
        <w:rPr>
          <w:rFonts w:hint="eastAsia" w:ascii="宋体" w:hAnsi="宋体"/>
          <w:color w:val="FF0000"/>
          <w:sz w:val="24"/>
          <w:szCs w:val="24"/>
        </w:rPr>
        <w:t>分配资源</w:t>
      </w:r>
      <w:r>
        <w:rPr>
          <w:rFonts w:hint="eastAsia" w:ascii="宋体" w:hAnsi="宋体"/>
          <w:sz w:val="24"/>
          <w:szCs w:val="24"/>
        </w:rPr>
        <w:t>，并分析当预算水平变化时最优分配是否发生本质改变，是本问的核心问题。上下文长度</w:t>
      </w:r>
      <w:r>
        <w:rPr>
          <w:rFonts w:ascii="宋体" w:hAnsi="宋体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L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ctx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由模型架构与任务需求</w:t>
      </w:r>
      <w:r>
        <w:rPr>
          <w:rFonts w:hint="eastAsia" w:ascii="宋体" w:hAnsi="宋体"/>
          <w:b/>
          <w:bCs/>
          <w:sz w:val="24"/>
          <w:szCs w:val="24"/>
        </w:rPr>
        <w:t>外生给定</w:t>
      </w:r>
      <w:r>
        <w:rPr>
          <w:rFonts w:hint="eastAsia" w:ascii="宋体" w:hAnsi="宋体"/>
          <w:sz w:val="24"/>
          <w:szCs w:val="24"/>
        </w:rPr>
        <w:t>（其</w:t>
      </w:r>
      <w:r>
        <w:rPr>
          <w:rFonts w:hint="eastAsia" w:ascii="宋体" w:hAnsi="宋体"/>
          <w:b w:val="0"/>
          <w:bCs w:val="0"/>
          <w:color w:val="FF0000"/>
          <w:sz w:val="24"/>
          <w:szCs w:val="24"/>
        </w:rPr>
        <w:t>可行取值</w:t>
      </w:r>
      <w:r>
        <w:rPr>
          <w:rFonts w:hint="eastAsia" w:ascii="宋体" w:hAnsi="宋体"/>
          <w:sz w:val="24"/>
          <w:szCs w:val="24"/>
        </w:rPr>
        <w:t>须依据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C7</w:t>
      </w:r>
      <w:r>
        <w:rPr>
          <w:rFonts w:hint="eastAsia" w:ascii="宋体" w:hAnsi="宋体"/>
          <w:sz w:val="24"/>
          <w:szCs w:val="24"/>
        </w:rPr>
        <w:t>），它通过长文本注意力开销影响可用预算，本问考察</w:t>
      </w:r>
      <w:r>
        <w:rPr>
          <w:rFonts w:hint="eastAsia" w:ascii="宋体" w:hAnsi="宋体"/>
          <w:color w:val="FF0000"/>
          <w:sz w:val="24"/>
          <w:szCs w:val="24"/>
        </w:rPr>
        <w:t>其取值对最优配置的影响</w:t>
      </w:r>
      <w:r>
        <w:rPr>
          <w:rFonts w:hint="eastAsia" w:ascii="宋体" w:hAnsi="宋体"/>
          <w:sz w:val="24"/>
          <w:szCs w:val="24"/>
        </w:rPr>
        <w:t>，而不将其作为内点寻优变量。设总算力预算为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C</m:t>
        </m:r>
      </m:oMath>
      <w:r>
        <w:rPr>
          <w:rFonts w:hint="eastAsia" w:ascii="宋体" w:hAnsi="宋体"/>
          <w:sz w:val="24"/>
          <w:szCs w:val="24"/>
        </w:rPr>
        <w:t>。为便于对照，建议考察低、中、高</w:t>
      </w:r>
      <w:r>
        <w:rPr>
          <w:rFonts w:hint="eastAsia" w:ascii="宋体" w:hAnsi="宋体"/>
          <w:color w:val="FF0000"/>
          <w:sz w:val="24"/>
          <w:szCs w:val="24"/>
        </w:rPr>
        <w:t>三档</w:t>
      </w:r>
      <w:r>
        <w:rPr>
          <w:rFonts w:hint="eastAsia" w:ascii="宋体" w:hAnsi="宋体"/>
          <w:sz w:val="24"/>
          <w:szCs w:val="24"/>
        </w:rPr>
        <w:t>典型预算：</w:t>
      </w:r>
      <m:oMath>
        <m:r>
          <m:rPr/>
          <w:rPr>
            <w:rFonts w:ascii="Cambria Math" w:hAnsi="Cambria Math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10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19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rFonts w:ascii="宋体" w:hAnsi="宋体"/>
          <w:sz w:val="24"/>
          <w:szCs w:val="24"/>
        </w:rPr>
        <w:t>、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10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22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rFonts w:ascii="宋体" w:hAnsi="宋体"/>
          <w:sz w:val="24"/>
          <w:szCs w:val="24"/>
        </w:rPr>
        <w:t>、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10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24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FLOPs（可自行选取其他档位，但须</w:t>
      </w:r>
      <w:r>
        <w:rPr>
          <w:rFonts w:hint="eastAsia" w:ascii="宋体" w:hAnsi="宋体"/>
          <w:color w:val="FF0000"/>
          <w:sz w:val="24"/>
          <w:szCs w:val="24"/>
        </w:rPr>
        <w:t>至少考察三个</w:t>
      </w:r>
      <w:r>
        <w:rPr>
          <w:rFonts w:hint="eastAsia" w:ascii="宋体" w:hAnsi="宋体"/>
          <w:sz w:val="24"/>
          <w:szCs w:val="24"/>
        </w:rPr>
        <w:t>不同量级的预算）。算力消耗由以下</w:t>
      </w:r>
      <w:r>
        <w:rPr>
          <w:rFonts w:hint="eastAsia" w:ascii="宋体" w:hAnsi="宋体"/>
          <w:color w:val="FF0000"/>
          <w:sz w:val="24"/>
          <w:szCs w:val="24"/>
        </w:rPr>
        <w:t>三部分</w:t>
      </w:r>
      <w:r>
        <w:rPr>
          <w:rFonts w:hint="eastAsia" w:ascii="宋体" w:hAnsi="宋体"/>
          <w:sz w:val="24"/>
          <w:szCs w:val="24"/>
        </w:rPr>
        <w:t>组成。</w:t>
      </w:r>
    </w:p>
    <w:p w14:paraId="503D7887">
      <w:pPr>
        <w:numPr>
          <w:ilvl w:val="0"/>
          <w:numId w:val="3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基础训练开销：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train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m:rPr/>
          <w:rPr>
            <w:rFonts w:ascii="Cambria Math" w:hAnsi="Cambria Math"/>
            <w:sz w:val="24"/>
            <w:szCs w:val="24"/>
          </w:rPr>
          <m:t>6ND</m:t>
        </m:r>
      </m:oMath>
      <w:r>
        <w:rPr>
          <w:rFonts w:hint="eastAsia" w:ascii="宋体" w:hAnsi="宋体"/>
          <w:sz w:val="24"/>
          <w:szCs w:val="24"/>
        </w:rPr>
        <w:t>（Chinchilla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近似），其中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为参数个数，</w:t>
      </w:r>
      <m:oMath>
        <m:r>
          <m:rPr/>
          <w:rPr>
            <w:rFonts w:ascii="Cambria Math" w:hAnsi="Cambria Math"/>
            <w:sz w:val="24"/>
            <w:szCs w:val="24"/>
          </w:rPr>
          <m:t>D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为训练</w:t>
      </w:r>
      <w:r>
        <w:rPr>
          <w:rFonts w:ascii="宋体" w:hAnsi="宋体"/>
          <w:sz w:val="24"/>
          <w:szCs w:val="24"/>
        </w:rPr>
        <w:t xml:space="preserve"> Token </w:t>
      </w:r>
      <w:r>
        <w:rPr>
          <w:rFonts w:hint="eastAsia" w:ascii="宋体" w:hAnsi="宋体"/>
          <w:sz w:val="24"/>
          <w:szCs w:val="24"/>
        </w:rPr>
        <w:t>数。</w:t>
      </w:r>
    </w:p>
    <w:p w14:paraId="6145A1DE">
      <w:pPr>
        <w:numPr>
          <w:ilvl w:val="0"/>
          <w:numId w:val="3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数据质量提升开销。设基线质量为</w:t>
      </w:r>
      <w:r>
        <w:rPr>
          <w:rFonts w:ascii="宋体" w:hAnsi="宋体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Q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0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hint="eastAsia" w:ascii="宋体" w:hAnsi="宋体"/>
          <w:sz w:val="24"/>
          <w:szCs w:val="24"/>
        </w:rPr>
        <w:t>（可由附件</w:t>
      </w:r>
      <w:r>
        <w:rPr>
          <w:rFonts w:ascii="宋体" w:hAnsi="宋体"/>
          <w:sz w:val="24"/>
          <w:szCs w:val="24"/>
        </w:rPr>
        <w:t xml:space="preserve"> A </w:t>
      </w:r>
      <w:r>
        <w:rPr>
          <w:rFonts w:hint="eastAsia" w:ascii="宋体" w:hAnsi="宋体"/>
          <w:sz w:val="24"/>
          <w:szCs w:val="24"/>
        </w:rPr>
        <w:t>的质量评分或合理假设给出），将质量由</w:t>
      </w:r>
      <w:r>
        <w:rPr>
          <w:rFonts w:ascii="宋体" w:hAnsi="宋体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Q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0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提升至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∈(</m:t>
        </m:r>
        <m:r>
          <m:rPr/>
          <w:rPr>
            <w:rFonts w:ascii="Cambria Math" w:hAnsi="Cambria Math"/>
            <w:sz w:val="24"/>
            <w:szCs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m:rPr/>
          <w:rPr>
            <w:rFonts w:ascii="Cambria Math" w:hAnsi="Cambria Math"/>
            <w:sz w:val="24"/>
            <w:szCs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]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需要</w:t>
      </w:r>
      <w:r>
        <w:rPr>
          <w:rFonts w:hint="eastAsia" w:ascii="宋体" w:hAnsi="宋体"/>
          <w:color w:val="FF0000"/>
          <w:sz w:val="24"/>
          <w:szCs w:val="24"/>
        </w:rPr>
        <w:t>额外算力</w:t>
      </w:r>
      <w:r>
        <w:rPr>
          <w:rFonts w:hint="eastAsia" w:ascii="宋体" w:hAnsi="宋体"/>
          <w:sz w:val="24"/>
          <w:szCs w:val="24"/>
        </w:rPr>
        <w:t>；若采用增量成本形式，可按下式计算</w:t>
      </w:r>
    </w:p>
    <w:p w14:paraId="475F9EC9">
      <w:pPr>
        <w:pStyle w:val="3"/>
        <w:rPr>
          <w:rFonts w:ascii="宋体" w:hAnsi="宋体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Q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m:rPr/>
            <w:rPr>
              <w:rFonts w:ascii="Cambria Math" w:hAnsi="Cambria Math"/>
              <w:sz w:val="24"/>
              <w:szCs w:val="24"/>
            </w:rPr>
            <m:t>D 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[</m:t>
          </m:r>
          <m:r>
            <m:rPr/>
            <w:rPr>
              <w:rFonts w:ascii="Cambria Math" w:hAnsi="Cambria Math"/>
              <w:sz w:val="24"/>
              <w:szCs w:val="24"/>
            </w:rPr>
            <m:t>g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</m:t>
          </m:r>
          <m:r>
            <m:rPr/>
            <w:rPr>
              <w:rFonts w:ascii="Cambria Math" w:hAnsi="Cambria Math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)−</m:t>
          </m:r>
          <m:r>
            <m:rPr/>
            <w:rPr>
              <w:rFonts w:ascii="Cambria Math" w:hAnsi="Cambria Math"/>
              <w:sz w:val="24"/>
              <w:szCs w:val="24"/>
            </w:rPr>
            <m:t>g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Q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0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)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]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</m:oMath>
      </m:oMathPara>
    </w:p>
    <w:p w14:paraId="3A5B5664">
      <w:pPr>
        <w:numPr>
          <w:ilvl w:val="0"/>
          <w:numId w:val="2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其中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g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(</m:t>
        </m:r>
        <m:r>
          <m:rPr/>
          <w:rPr>
            <w:rFonts w:ascii="Cambria Math" w:hAnsi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可从指数型、幂函数型、对数渐进型三类中</w:t>
      </w:r>
      <w:r>
        <w:rPr>
          <w:rFonts w:hint="eastAsia" w:ascii="宋体" w:hAnsi="宋体"/>
          <w:color w:val="FF0000"/>
          <w:sz w:val="24"/>
          <w:szCs w:val="24"/>
        </w:rPr>
        <w:t>选取或改进</w:t>
      </w:r>
      <w:r>
        <w:rPr>
          <w:rFonts w:hint="eastAsia" w:ascii="宋体" w:hAnsi="宋体"/>
          <w:sz w:val="24"/>
          <w:szCs w:val="24"/>
        </w:rPr>
        <w:t>，具体形式与参数见附录</w:t>
      </w:r>
      <w:r>
        <w:rPr>
          <w:rFonts w:ascii="宋体" w:hAnsi="宋体"/>
          <w:sz w:val="24"/>
          <w:szCs w:val="24"/>
        </w:rPr>
        <w:t xml:space="preserve"> B。</w:t>
      </w:r>
    </w:p>
    <w:p w14:paraId="5D0E1E35">
      <w:pPr>
        <w:numPr>
          <w:ilvl w:val="0"/>
          <w:numId w:val="3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长文本注意力开销：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attn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m:rPr/>
          <w:rPr>
            <w:rFonts w:ascii="Cambria Math" w:hAnsi="Cambria Math"/>
            <w:sz w:val="24"/>
            <w:szCs w:val="24"/>
          </w:rPr>
          <m:t>ηND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L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ctx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hint="eastAsia" w:ascii="宋体" w:hAnsi="宋体"/>
          <w:sz w:val="24"/>
          <w:szCs w:val="24"/>
        </w:rPr>
        <w:t>，其中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η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m:rPr/>
          <w:rPr>
            <w:rFonts w:ascii="Cambria Math" w:hAnsi="Cambria Math"/>
            <w:sz w:val="24"/>
            <w:szCs w:val="24"/>
          </w:rPr>
          <m:t>2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10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−</m:t>
            </m:r>
            <m:r>
              <m:rPr/>
              <w:rPr>
                <w:rFonts w:ascii="Cambria Math" w:hAnsi="Cambria Math"/>
                <w:sz w:val="24"/>
                <w:szCs w:val="24"/>
              </w:rPr>
              <m:t>4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rFonts w:hint="eastAsia" w:ascii="宋体" w:hAnsi="宋体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L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ctx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为上下文窗口长度（外生给定，取值依据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C7</w:t>
      </w:r>
      <w:r>
        <w:rPr>
          <w:rFonts w:hint="eastAsia" w:ascii="宋体" w:hAnsi="宋体"/>
          <w:sz w:val="24"/>
          <w:szCs w:val="24"/>
        </w:rPr>
        <w:t>）。上下文长度越大，所需处理的序列位置越多，注意力与缓存等开销越高；本问使用上式作为简化算力代理。</w:t>
      </w:r>
    </w:p>
    <w:p w14:paraId="01A9B5F8">
      <w:pPr>
        <w:pStyle w:val="25"/>
        <w:ind w:firstLine="480" w:firstLineChars="20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/>
          <w:sz w:val="24"/>
          <w:szCs w:val="24"/>
        </w:rPr>
        <w:t>请建立</w:t>
      </w:r>
      <w:r>
        <w:rPr>
          <w:rFonts w:hint="eastAsia" w:ascii="宋体" w:hAnsi="宋体"/>
          <w:color w:val="FF0000"/>
          <w:sz w:val="24"/>
          <w:szCs w:val="24"/>
        </w:rPr>
        <w:t>优化</w:t>
      </w:r>
      <w:r>
        <w:rPr>
          <w:rFonts w:hint="eastAsia" w:ascii="宋体" w:hAnsi="宋体"/>
          <w:sz w:val="24"/>
          <w:szCs w:val="24"/>
        </w:rPr>
        <w:t>模型，在总成本不超过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C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的条件下求解资源配置，并讨论成本函数</w:t>
      </w:r>
      <w:r>
        <w:rPr>
          <w:rFonts w:hint="eastAsia" w:ascii="宋体" w:hAnsi="宋体"/>
          <w:color w:val="FF0000"/>
          <w:sz w:val="24"/>
          <w:szCs w:val="24"/>
        </w:rPr>
        <w:t>选择</w:t>
      </w:r>
      <w:r>
        <w:rPr>
          <w:rFonts w:hint="eastAsia" w:ascii="宋体" w:hAnsi="宋体"/>
          <w:sz w:val="24"/>
          <w:szCs w:val="24"/>
        </w:rPr>
        <w:t>对最优解的影响；领域配比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p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可作为</w:t>
      </w:r>
      <w:r>
        <w:rPr>
          <w:rFonts w:hint="eastAsia" w:ascii="宋体" w:hAnsi="宋体"/>
          <w:color w:val="FF0000"/>
          <w:sz w:val="24"/>
          <w:szCs w:val="24"/>
        </w:rPr>
        <w:t>联立决策变量，也可由前两问结果确定</w:t>
      </w:r>
      <w:r>
        <w:rPr>
          <w:rFonts w:hint="eastAsia" w:ascii="宋体" w:hAnsi="宋体"/>
          <w:sz w:val="24"/>
          <w:szCs w:val="24"/>
        </w:rPr>
        <w:t>，但须说明理由。请进一步分析：当预算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C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跨越上述不同量级时，资源分配是否出现</w:t>
      </w:r>
      <w:r>
        <w:rPr>
          <w:rFonts w:hint="eastAsia" w:ascii="宋体" w:hAnsi="宋体"/>
          <w:color w:val="FF0000"/>
          <w:sz w:val="24"/>
          <w:szCs w:val="24"/>
        </w:rPr>
        <w:t>结构性转移</w:t>
      </w:r>
      <w:r>
        <w:rPr>
          <w:rFonts w:hint="eastAsia" w:ascii="宋体" w:hAnsi="宋体"/>
          <w:sz w:val="24"/>
          <w:szCs w:val="24"/>
        </w:rPr>
        <w:t>（即最优策略发生质的变化），并给出明确</w:t>
      </w:r>
      <w:r>
        <w:rPr>
          <w:rFonts w:hint="eastAsia" w:ascii="宋体" w:hAnsi="宋体"/>
          <w:color w:val="FF0000"/>
          <w:sz w:val="24"/>
          <w:szCs w:val="24"/>
        </w:rPr>
        <w:t>的数学定义与识别方法</w:t>
      </w:r>
      <w:r>
        <w:rPr>
          <w:rFonts w:hint="eastAsia" w:ascii="宋体" w:hAnsi="宋体"/>
          <w:sz w:val="24"/>
          <w:szCs w:val="24"/>
        </w:rPr>
        <w:t>。默认训练、质量处理与注意力计算使用同一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D</m:t>
        </m:r>
      </m:oMath>
      <w:r>
        <w:rPr>
          <w:rFonts w:hint="eastAsia" w:ascii="宋体" w:hAnsi="宋体"/>
          <w:sz w:val="24"/>
          <w:szCs w:val="24"/>
        </w:rPr>
        <w:t>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L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ctx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的可行取值须依据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C7</w:t>
      </w:r>
      <w:r>
        <w:rPr>
          <w:rFonts w:hint="eastAsia" w:ascii="宋体" w:hAnsi="宋体"/>
          <w:sz w:val="24"/>
          <w:szCs w:val="24"/>
        </w:rPr>
        <w:t>，须解析给出使注意力开销与训练开销</w:t>
      </w:r>
      <w:r>
        <w:rPr>
          <w:rFonts w:hint="eastAsia" w:ascii="宋体" w:hAnsi="宋体"/>
          <w:color w:val="FF0000"/>
          <w:sz w:val="24"/>
          <w:szCs w:val="24"/>
        </w:rPr>
        <w:t>相当的临界值</w:t>
      </w:r>
      <w:r>
        <w:rPr>
          <w:rFonts w:ascii="宋体" w:hAnsi="宋体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</w:rPr>
              <m:t>L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ctx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crit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m:rPr/>
          <w:rPr>
            <w:rFonts w:ascii="Cambria Math" w:hAnsi="Cambria Math"/>
            <w:sz w:val="24"/>
            <w:szCs w:val="24"/>
          </w:rPr>
          <m:t>6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/</m:t>
        </m:r>
        <m:r>
          <m:rPr/>
          <w:rPr>
            <w:rFonts w:ascii="Cambria Math" w:hAnsi="Cambria Math"/>
            <w:sz w:val="24"/>
            <w:szCs w:val="24"/>
          </w:rPr>
          <m:t>η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并在其可行取值上完成</w:t>
      </w:r>
      <w:r>
        <w:rPr>
          <w:rFonts w:hint="eastAsia" w:ascii="宋体" w:hAnsi="宋体"/>
          <w:color w:val="FF0000"/>
          <w:sz w:val="24"/>
          <w:szCs w:val="24"/>
        </w:rPr>
        <w:t>敏感性分析</w:t>
      </w:r>
      <w:r>
        <w:rPr>
          <w:rFonts w:hint="eastAsia" w:ascii="宋体" w:hAnsi="宋体"/>
          <w:sz w:val="24"/>
          <w:szCs w:val="24"/>
        </w:rPr>
        <w:t>，不得仅凭主观假设给定。</w:t>
      </w:r>
      <w:r>
        <w:rPr>
          <w:rFonts w:hint="eastAsia" w:ascii="宋体" w:hAnsi="宋体"/>
          <w:b/>
          <w:bCs/>
          <w:color w:val="FF0000"/>
          <w:sz w:val="24"/>
          <w:szCs w:val="24"/>
          <w:u w:val="single"/>
          <w:lang w:eastAsia="zh-CN"/>
        </w:rPr>
        <w:t>？？？</w:t>
      </w:r>
    </w:p>
    <w:bookmarkEnd w:id="6"/>
    <w:p w14:paraId="66B68EFB">
      <w:pPr>
        <w:pStyle w:val="6"/>
        <w:rPr>
          <w:rFonts w:hint="eastAsia" w:ascii="宋体" w:hAnsi="宋体" w:eastAsia="宋体"/>
          <w:b/>
          <w:bCs/>
          <w:i w:val="0"/>
          <w:iCs w:val="0"/>
          <w:sz w:val="24"/>
          <w:szCs w:val="24"/>
        </w:rPr>
      </w:pPr>
      <w:bookmarkStart w:id="7" w:name="ux95eeux9898ux56db"/>
      <w:r>
        <w:rPr>
          <w:rFonts w:hint="eastAsia" w:ascii="宋体" w:hAnsi="宋体" w:eastAsia="宋体"/>
          <w:b/>
          <w:bCs/>
          <w:i w:val="0"/>
          <w:iCs w:val="0"/>
          <w:sz w:val="24"/>
          <w:szCs w:val="24"/>
        </w:rPr>
        <w:t>问题四：技术演进分析与前沿预测</w:t>
      </w:r>
    </w:p>
    <w:p w14:paraId="0498339E">
      <w:pPr>
        <w:pStyle w:val="13"/>
        <w:rPr>
          <w:rFonts w:hint="eastAsia"/>
        </w:rPr>
      </w:pPr>
      <w:r>
        <w:rPr>
          <w:rFonts w:hint="eastAsia" w:ascii="宋体" w:hAnsi="宋体" w:eastAsia="宋体"/>
          <w:b/>
          <w:bCs/>
        </w:rPr>
        <w:t>通俗理解：</w:t>
      </w:r>
      <w:r>
        <w:rPr>
          <w:rFonts w:hint="eastAsia" w:ascii="宋体" w:hAnsi="宋体" w:eastAsia="宋体"/>
        </w:rPr>
        <w:t>好比分析“全国学生平均成绩连年上升，究竟是学生花更多钱补习（规模扩张），还是教学方法改进了（技术进步）？”你要把能力增长拆成两部分、分别计算</w:t>
      </w:r>
      <w:r>
        <w:rPr>
          <w:rFonts w:hint="eastAsia" w:ascii="宋体" w:hAnsi="宋体" w:eastAsia="宋体"/>
          <w:color w:val="FF0000"/>
        </w:rPr>
        <w:t>规模扩张</w:t>
      </w:r>
      <w:r>
        <w:rPr>
          <w:rFonts w:hint="eastAsia" w:ascii="宋体" w:hAnsi="宋体" w:eastAsia="宋体"/>
        </w:rPr>
        <w:t>与非规模</w:t>
      </w:r>
      <w:r>
        <w:rPr>
          <w:rFonts w:hint="eastAsia" w:ascii="宋体" w:hAnsi="宋体" w:eastAsia="宋体"/>
          <w:color w:val="FF0000"/>
        </w:rPr>
        <w:t>技术进步</w:t>
      </w:r>
      <w:r>
        <w:rPr>
          <w:rFonts w:hint="eastAsia" w:ascii="宋体" w:hAnsi="宋体" w:eastAsia="宋体"/>
        </w:rPr>
        <w:t>各自的贡献占比，再把前三问的“扣分</w:t>
      </w:r>
      <w:r>
        <w:rPr>
          <w:rFonts w:hint="eastAsia" w:ascii="宋体" w:hAnsi="宋体" w:eastAsia="宋体"/>
          <w:lang w:eastAsia="zh-CN"/>
        </w:rPr>
        <w:t>（</w:t>
      </w:r>
      <w:r>
        <w:rPr>
          <w:rFonts w:hint="eastAsia" w:ascii="宋体" w:hAnsi="宋体" w:eastAsia="宋体"/>
          <w:lang w:val="en-US" w:eastAsia="zh-CN"/>
        </w:rPr>
        <w:t>Loss</w:t>
      </w:r>
      <w:r>
        <w:rPr>
          <w:rFonts w:hint="eastAsia" w:ascii="宋体" w:hAnsi="宋体" w:eastAsia="宋体"/>
          <w:lang w:eastAsia="zh-CN"/>
        </w:rPr>
        <w:t>）</w:t>
      </w:r>
      <w:r>
        <w:rPr>
          <w:rFonts w:hint="eastAsia" w:ascii="宋体" w:hAnsi="宋体" w:eastAsia="宋体"/>
        </w:rPr>
        <w:t>”翻译成现实的“考试科目得分”，</w:t>
      </w:r>
      <w:r>
        <w:rPr>
          <w:rFonts w:hint="eastAsia" w:ascii="宋体" w:hAnsi="宋体" w:eastAsia="宋体"/>
          <w:color w:val="FF0000"/>
        </w:rPr>
        <w:t>预测</w:t>
      </w:r>
      <w:r>
        <w:rPr>
          <w:rFonts w:hint="eastAsia" w:ascii="宋体" w:hAnsi="宋体" w:eastAsia="宋体"/>
        </w:rPr>
        <w:t>未来一至两年最高分能达到多少</w:t>
      </w:r>
      <w:r>
        <w:rPr>
          <w:rFonts w:hint="eastAsia"/>
          <w:i/>
          <w:iCs/>
        </w:rPr>
        <w:t>。</w:t>
      </w:r>
    </w:p>
    <w:p w14:paraId="5E00D9B6">
      <w:pPr>
        <w:pStyle w:val="25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大语言模型能力的提升既来自规模扩张，也来自非规模技术进步（如架构改进、对齐方法、数据工程等）。请结合附件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C，建立</w:t>
      </w:r>
      <w:r>
        <w:rPr>
          <w:rFonts w:hint="eastAsia" w:ascii="宋体" w:hAnsi="宋体"/>
          <w:color w:val="FF0000"/>
          <w:sz w:val="24"/>
          <w:szCs w:val="24"/>
        </w:rPr>
        <w:t>动力学模型</w:t>
      </w:r>
      <w:r>
        <w:rPr>
          <w:rFonts w:hint="eastAsia" w:ascii="宋体" w:hAnsi="宋体"/>
          <w:sz w:val="24"/>
          <w:szCs w:val="24"/>
        </w:rPr>
        <w:t>或</w:t>
      </w:r>
      <w:r>
        <w:rPr>
          <w:rFonts w:hint="eastAsia" w:ascii="宋体" w:hAnsi="宋体"/>
          <w:color w:val="FF0000"/>
          <w:sz w:val="24"/>
          <w:szCs w:val="24"/>
        </w:rPr>
        <w:t>因果推断模型</w:t>
      </w:r>
      <w:r>
        <w:rPr>
          <w:rFonts w:hint="eastAsia" w:ascii="宋体" w:hAnsi="宋体"/>
          <w:sz w:val="24"/>
          <w:szCs w:val="24"/>
        </w:rPr>
        <w:t>，</w:t>
      </w:r>
      <w:r>
        <w:rPr>
          <w:rFonts w:hint="eastAsia" w:ascii="宋体" w:hAnsi="宋体"/>
          <w:color w:val="FF0000"/>
          <w:sz w:val="24"/>
          <w:szCs w:val="24"/>
        </w:rPr>
        <w:t>分离并分别量化</w:t>
      </w:r>
      <w:r>
        <w:rPr>
          <w:rFonts w:hint="eastAsia" w:ascii="宋体" w:hAnsi="宋体"/>
          <w:sz w:val="24"/>
          <w:szCs w:val="24"/>
        </w:rPr>
        <w:t>规模扩张与非规模技术进步各自的贡献占比；并在</w:t>
      </w:r>
      <w:r>
        <w:rPr>
          <w:rFonts w:hint="eastAsia" w:ascii="宋体" w:hAnsi="宋体"/>
          <w:color w:val="FF0000"/>
          <w:sz w:val="24"/>
          <w:szCs w:val="24"/>
        </w:rPr>
        <w:t>算力增长放缓</w:t>
      </w:r>
      <w:r>
        <w:rPr>
          <w:rFonts w:hint="eastAsia" w:ascii="宋体" w:hAnsi="宋体"/>
          <w:sz w:val="24"/>
          <w:szCs w:val="24"/>
        </w:rPr>
        <w:t>的情景下，预测未来</w:t>
      </w:r>
      <w:r>
        <w:rPr>
          <w:rFonts w:ascii="宋体" w:hAnsi="宋体"/>
          <w:sz w:val="24"/>
          <w:szCs w:val="24"/>
        </w:rPr>
        <w:t xml:space="preserve"> 12 </w:t>
      </w:r>
      <w:r>
        <w:rPr>
          <w:rFonts w:hint="eastAsia" w:ascii="宋体" w:hAnsi="宋体"/>
          <w:sz w:val="24"/>
          <w:szCs w:val="24"/>
        </w:rPr>
        <w:t>个月或</w:t>
      </w:r>
      <w:r>
        <w:rPr>
          <w:rFonts w:ascii="宋体" w:hAnsi="宋体"/>
          <w:sz w:val="24"/>
          <w:szCs w:val="24"/>
        </w:rPr>
        <w:t xml:space="preserve"> 24 </w:t>
      </w:r>
      <w:r>
        <w:rPr>
          <w:rFonts w:hint="eastAsia" w:ascii="宋体" w:hAnsi="宋体"/>
          <w:sz w:val="24"/>
          <w:szCs w:val="24"/>
        </w:rPr>
        <w:t>个月开源大语言模型能力的</w:t>
      </w:r>
      <w:r>
        <w:rPr>
          <w:rFonts w:hint="eastAsia" w:ascii="宋体" w:hAnsi="宋体"/>
          <w:color w:val="FF0000"/>
          <w:sz w:val="24"/>
          <w:szCs w:val="24"/>
        </w:rPr>
        <w:t>前沿边界，给出不确定性分析</w:t>
      </w:r>
      <w:r>
        <w:rPr>
          <w:rFonts w:hint="eastAsia" w:ascii="宋体" w:hAnsi="宋体"/>
          <w:sz w:val="24"/>
          <w:szCs w:val="24"/>
        </w:rPr>
        <w:t>。须说明综合能力的</w:t>
      </w:r>
      <w:r>
        <w:rPr>
          <w:rFonts w:hint="eastAsia" w:ascii="宋体" w:hAnsi="宋体"/>
          <w:color w:val="FF0000"/>
          <w:sz w:val="24"/>
          <w:szCs w:val="24"/>
        </w:rPr>
        <w:t>度量</w:t>
      </w:r>
      <w:r>
        <w:rPr>
          <w:rFonts w:hint="eastAsia" w:ascii="宋体" w:hAnsi="宋体"/>
          <w:sz w:val="24"/>
          <w:szCs w:val="24"/>
        </w:rPr>
        <w:t>方式；开源筛选口径须说明入选模型是否</w:t>
      </w:r>
      <w:r>
        <w:rPr>
          <w:rFonts w:hint="eastAsia" w:ascii="宋体" w:hAnsi="宋体"/>
          <w:color w:val="FF0000"/>
          <w:sz w:val="24"/>
          <w:szCs w:val="24"/>
        </w:rPr>
        <w:t>须开源权重</w:t>
      </w:r>
      <w:r>
        <w:rPr>
          <w:rFonts w:hint="eastAsia" w:ascii="宋体" w:hAnsi="宋体"/>
          <w:sz w:val="24"/>
          <w:szCs w:val="24"/>
        </w:rPr>
        <w:t>、</w:t>
      </w:r>
      <w:r>
        <w:rPr>
          <w:rFonts w:hint="eastAsia" w:ascii="宋体" w:hAnsi="宋体"/>
          <w:color w:val="FF0000"/>
          <w:sz w:val="24"/>
          <w:szCs w:val="24"/>
        </w:rPr>
        <w:t>许可证</w:t>
      </w:r>
      <w:r>
        <w:rPr>
          <w:rFonts w:hint="eastAsia" w:ascii="宋体" w:hAnsi="宋体"/>
          <w:sz w:val="24"/>
          <w:szCs w:val="24"/>
        </w:rPr>
        <w:t>是否允许研究与复现，或其他筛选规则；</w:t>
      </w:r>
      <w:r>
        <w:rPr>
          <w:rFonts w:hint="eastAsia" w:ascii="宋体" w:hAnsi="宋体"/>
          <w:color w:val="FF0000"/>
          <w:sz w:val="24"/>
          <w:szCs w:val="24"/>
        </w:rPr>
        <w:t>模型类</w:t>
      </w:r>
      <w:r>
        <w:rPr>
          <w:rFonts w:hint="eastAsia" w:ascii="宋体" w:hAnsi="宋体"/>
          <w:sz w:val="24"/>
          <w:szCs w:val="24"/>
        </w:rPr>
        <w:t>型须区分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pretrained（预训练基础模型）与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chat/finetuned（经对话指令或监督微调后的模型）；时间轴口径须说明按</w:t>
      </w:r>
      <w:r>
        <w:rPr>
          <w:rFonts w:hint="eastAsia" w:ascii="宋体" w:hAnsi="宋体"/>
          <w:color w:val="FF0000"/>
          <w:sz w:val="24"/>
          <w:szCs w:val="24"/>
        </w:rPr>
        <w:t>提交日期、发布日期还是版本日期</w:t>
      </w:r>
      <w:r>
        <w:rPr>
          <w:rFonts w:hint="eastAsia" w:ascii="宋体" w:hAnsi="宋体"/>
          <w:sz w:val="24"/>
          <w:szCs w:val="24"/>
        </w:rPr>
        <w:t>计算。</w:t>
      </w:r>
    </w:p>
    <w:p w14:paraId="61AD067D">
      <w:pPr>
        <w:pStyle w:val="3"/>
        <w:ind w:firstLine="480" w:firstLineChars="200"/>
      </w:pPr>
      <w:r>
        <w:rPr>
          <w:rFonts w:hint="eastAsia" w:ascii="宋体" w:hAnsi="宋体"/>
          <w:sz w:val="24"/>
          <w:szCs w:val="24"/>
        </w:rPr>
        <w:t>前三问主要使用交叉熵损失，本问主要使用</w:t>
      </w:r>
      <w:r>
        <w:rPr>
          <w:rFonts w:hint="eastAsia" w:ascii="宋体" w:hAnsi="宋体"/>
          <w:color w:val="FF0000"/>
          <w:sz w:val="24"/>
          <w:szCs w:val="24"/>
        </w:rPr>
        <w:t>多维</w:t>
      </w:r>
      <w:r>
        <w:rPr>
          <w:rFonts w:ascii="宋体" w:hAnsi="宋体"/>
          <w:color w:val="FF0000"/>
          <w:sz w:val="24"/>
          <w:szCs w:val="24"/>
        </w:rPr>
        <w:t xml:space="preserve"> Benchmark </w:t>
      </w:r>
      <w:r>
        <w:rPr>
          <w:rFonts w:hint="eastAsia" w:ascii="宋体" w:hAnsi="宋体"/>
          <w:color w:val="FF0000"/>
          <w:sz w:val="24"/>
          <w:szCs w:val="24"/>
        </w:rPr>
        <w:t>得分</w:t>
      </w:r>
      <w:r>
        <w:rPr>
          <w:rFonts w:hint="eastAsia" w:ascii="宋体" w:hAnsi="宋体"/>
          <w:sz w:val="24"/>
          <w:szCs w:val="24"/>
        </w:rPr>
        <w:t>。请利用附件</w:t>
      </w:r>
      <w:r>
        <w:rPr>
          <w:rFonts w:ascii="宋体" w:hAnsi="宋体"/>
          <w:sz w:val="24"/>
          <w:szCs w:val="24"/>
        </w:rPr>
        <w:t xml:space="preserve"> C </w:t>
      </w:r>
      <w:r>
        <w:rPr>
          <w:rFonts w:hint="eastAsia" w:ascii="宋体" w:hAnsi="宋体"/>
          <w:sz w:val="24"/>
          <w:szCs w:val="24"/>
        </w:rPr>
        <w:t>的</w:t>
      </w:r>
      <w:r>
        <w:rPr>
          <w:rFonts w:ascii="宋体" w:hAnsi="宋体"/>
          <w:sz w:val="24"/>
          <w:szCs w:val="24"/>
        </w:rPr>
        <w:t xml:space="preserve"> Loss–Benchmark </w:t>
      </w:r>
      <w:r>
        <w:rPr>
          <w:rFonts w:hint="eastAsia" w:ascii="宋体" w:hAnsi="宋体"/>
          <w:sz w:val="24"/>
          <w:szCs w:val="24"/>
        </w:rPr>
        <w:t>桥接数据（</w:t>
      </w:r>
      <w:r>
        <w:rPr>
          <w:rFonts w:ascii="宋体" w:hAnsi="宋体"/>
          <w:b/>
          <w:bCs/>
          <w:sz w:val="24"/>
          <w:szCs w:val="24"/>
        </w:rPr>
        <w:t>C6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或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C5</w:t>
      </w:r>
      <w:r>
        <w:rPr>
          <w:rFonts w:hint="eastAsia" w:ascii="宋体" w:hAnsi="宋体"/>
          <w:sz w:val="24"/>
          <w:szCs w:val="24"/>
        </w:rPr>
        <w:t>），或引用</w:t>
      </w:r>
      <w:r>
        <w:rPr>
          <w:rFonts w:hint="eastAsia" w:ascii="宋体" w:hAnsi="宋体"/>
          <w:color w:val="FF0000"/>
          <w:sz w:val="24"/>
          <w:szCs w:val="24"/>
        </w:rPr>
        <w:t>可核验的文献</w:t>
      </w:r>
      <w:r>
        <w:rPr>
          <w:rFonts w:hint="eastAsia" w:ascii="宋体" w:hAnsi="宋体"/>
          <w:sz w:val="24"/>
          <w:szCs w:val="24"/>
        </w:rPr>
        <w:t>列出的两者之间的关系，建立二者之间的映射，并讨论</w:t>
      </w:r>
      <w:r>
        <w:rPr>
          <w:rFonts w:hint="eastAsia" w:ascii="宋体" w:hAnsi="宋体"/>
          <w:color w:val="FF0000"/>
          <w:sz w:val="24"/>
          <w:szCs w:val="24"/>
        </w:rPr>
        <w:t>映射误差</w:t>
      </w:r>
      <w:r>
        <w:rPr>
          <w:rFonts w:hint="eastAsia" w:ascii="宋体" w:hAnsi="宋体"/>
          <w:sz w:val="24"/>
          <w:szCs w:val="24"/>
        </w:rPr>
        <w:t>对结论的影响；桥接数据须按</w:t>
      </w:r>
      <w:r>
        <w:rPr>
          <w:rFonts w:hint="eastAsia" w:ascii="宋体" w:hAnsi="宋体"/>
          <w:color w:val="FF0000"/>
          <w:sz w:val="24"/>
          <w:szCs w:val="24"/>
        </w:rPr>
        <w:t>可比性等级</w:t>
      </w:r>
      <w:r>
        <w:rPr>
          <w:rFonts w:hint="eastAsia" w:ascii="宋体" w:hAnsi="宋体"/>
          <w:sz w:val="24"/>
          <w:szCs w:val="24"/>
        </w:rPr>
        <w:t>区分使用。</w:t>
      </w:r>
    </w:p>
    <w:bookmarkEnd w:id="3"/>
    <w:bookmarkEnd w:id="7"/>
    <w:p w14:paraId="45DECE6A">
      <w:pPr>
        <w:pStyle w:val="5"/>
        <w:rPr>
          <w:rFonts w:hint="eastAsia" w:ascii="宋体" w:hAnsi="宋体" w:eastAsia="宋体"/>
          <w:b/>
          <w:bCs/>
          <w:sz w:val="24"/>
          <w:szCs w:val="24"/>
        </w:rPr>
      </w:pPr>
      <w:bookmarkStart w:id="8" w:name="四附件与数据说明"/>
      <w:r>
        <w:rPr>
          <w:rFonts w:hint="eastAsia" w:ascii="宋体" w:hAnsi="宋体" w:eastAsia="宋体"/>
          <w:b/>
          <w:bCs/>
          <w:sz w:val="24"/>
          <w:szCs w:val="24"/>
        </w:rPr>
        <w:t>四、附件与数据说明</w:t>
      </w:r>
    </w:p>
    <w:p w14:paraId="0FA18CA8">
      <w:pPr>
        <w:pStyle w:val="25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全部附件均位于</w:t>
      </w:r>
      <w:r>
        <w:rPr>
          <w:rFonts w:ascii="宋体" w:hAnsi="宋体"/>
          <w:sz w:val="24"/>
          <w:szCs w:val="24"/>
        </w:rPr>
        <w:t xml:space="preserve"> </w:t>
      </w:r>
      <w:r>
        <w:rPr>
          <w:rStyle w:val="50"/>
          <w:rFonts w:ascii="宋体" w:hAnsi="宋体"/>
          <w:sz w:val="24"/>
          <w:szCs w:val="24"/>
        </w:rPr>
        <w:t>real_attachments/</w:t>
      </w:r>
      <w:r>
        <w:rPr>
          <w:rFonts w:hint="eastAsia" w:ascii="宋体" w:hAnsi="宋体"/>
          <w:sz w:val="24"/>
          <w:szCs w:val="24"/>
        </w:rPr>
        <w:t>。各数据文件的编号、文件名、字段结构、规模、可信度、各问数据清单、读取方式与预处理要求，详见随附《数据说明》及本文附录；若清单与实际磁盘文件不一致，以实际文件为准。</w:t>
      </w:r>
    </w:p>
    <w:bookmarkEnd w:id="8"/>
    <w:p w14:paraId="439DBBD5">
      <w:pPr>
        <w:pStyle w:val="5"/>
        <w:rPr>
          <w:rFonts w:hint="eastAsia" w:ascii="宋体" w:hAnsi="宋体" w:eastAsia="宋体"/>
          <w:b/>
          <w:bCs/>
          <w:sz w:val="24"/>
          <w:szCs w:val="24"/>
        </w:rPr>
      </w:pPr>
      <w:bookmarkStart w:id="9" w:name="ux4e94ai-ux4f7fux7528ux89c4ux8303"/>
      <w:r>
        <w:rPr>
          <w:rFonts w:hint="eastAsia" w:ascii="宋体" w:hAnsi="宋体" w:eastAsia="宋体"/>
          <w:b/>
          <w:bCs/>
          <w:sz w:val="24"/>
          <w:szCs w:val="24"/>
        </w:rPr>
        <w:t>五、</w:t>
      </w:r>
      <w:r>
        <w:rPr>
          <w:rFonts w:hint="eastAsia" w:ascii="宋体" w:hAnsi="宋体" w:eastAsia="宋体"/>
          <w:b/>
          <w:bCs/>
          <w:color w:val="FF0000"/>
          <w:sz w:val="24"/>
          <w:szCs w:val="24"/>
        </w:rPr>
        <w:t>AI</w:t>
      </w:r>
      <w:r>
        <w:rPr>
          <w:rFonts w:ascii="宋体" w:hAnsi="宋体" w:eastAsia="宋体"/>
          <w:b/>
          <w:bCs/>
          <w:color w:val="FF0000"/>
          <w:sz w:val="24"/>
          <w:szCs w:val="24"/>
        </w:rPr>
        <w:t xml:space="preserve"> </w:t>
      </w:r>
      <w:r>
        <w:rPr>
          <w:rFonts w:hint="eastAsia" w:ascii="宋体" w:hAnsi="宋体" w:eastAsia="宋体"/>
          <w:b/>
          <w:bCs/>
          <w:color w:val="FF0000"/>
          <w:sz w:val="24"/>
          <w:szCs w:val="24"/>
        </w:rPr>
        <w:t>使用规范</w:t>
      </w:r>
    </w:p>
    <w:p w14:paraId="153BBA11">
      <w:pPr>
        <w:pStyle w:val="25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参赛队伍使用</w:t>
      </w:r>
      <w:r>
        <w:rPr>
          <w:rFonts w:ascii="宋体" w:hAnsi="宋体"/>
          <w:sz w:val="24"/>
          <w:szCs w:val="24"/>
        </w:rPr>
        <w:t xml:space="preserve"> AI </w:t>
      </w:r>
      <w:r>
        <w:rPr>
          <w:rFonts w:hint="eastAsia" w:ascii="宋体" w:hAnsi="宋体"/>
          <w:sz w:val="24"/>
          <w:szCs w:val="24"/>
        </w:rPr>
        <w:t>工具须遵守下列规定：</w:t>
      </w:r>
    </w:p>
    <w:p w14:paraId="2F5DCFEE">
      <w:pPr>
        <w:numPr>
          <w:ilvl w:val="0"/>
          <w:numId w:val="4"/>
        </w:numPr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 xml:space="preserve">AI </w:t>
      </w:r>
      <w:r>
        <w:rPr>
          <w:rFonts w:hint="eastAsia" w:ascii="宋体" w:hAnsi="宋体"/>
          <w:sz w:val="24"/>
          <w:szCs w:val="24"/>
        </w:rPr>
        <w:t>可用于概念理解、资料整理与代码调试，不得代替完成核心建模、推导与论证；直接复制</w:t>
      </w:r>
      <w:r>
        <w:rPr>
          <w:rFonts w:ascii="宋体" w:hAnsi="宋体"/>
          <w:sz w:val="24"/>
          <w:szCs w:val="24"/>
        </w:rPr>
        <w:t xml:space="preserve"> AI </w:t>
      </w:r>
      <w:r>
        <w:rPr>
          <w:rFonts w:hint="eastAsia" w:ascii="宋体" w:hAnsi="宋体"/>
          <w:sz w:val="24"/>
          <w:szCs w:val="24"/>
        </w:rPr>
        <w:t>生成的建模方案，</w:t>
      </w:r>
      <w:r>
        <w:rPr>
          <w:rFonts w:hint="eastAsia" w:ascii="宋体" w:hAnsi="宋体"/>
          <w:b w:val="0"/>
          <w:bCs w:val="0"/>
          <w:color w:val="FF0000"/>
          <w:sz w:val="24"/>
          <w:szCs w:val="24"/>
        </w:rPr>
        <w:t>一经查实取消参评资格</w:t>
      </w:r>
      <w:r>
        <w:rPr>
          <w:rFonts w:hint="eastAsia" w:ascii="宋体" w:hAnsi="宋体"/>
          <w:sz w:val="24"/>
          <w:szCs w:val="24"/>
        </w:rPr>
        <w:t>。</w:t>
      </w:r>
    </w:p>
    <w:p w14:paraId="3CFEA851">
      <w:pPr>
        <w:numPr>
          <w:ilvl w:val="0"/>
          <w:numId w:val="4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对</w:t>
      </w:r>
      <w:r>
        <w:rPr>
          <w:rFonts w:ascii="宋体" w:hAnsi="宋体"/>
          <w:sz w:val="24"/>
          <w:szCs w:val="24"/>
        </w:rPr>
        <w:t xml:space="preserve"> AI </w:t>
      </w:r>
      <w:r>
        <w:rPr>
          <w:rFonts w:hint="eastAsia" w:ascii="宋体" w:hAnsi="宋体"/>
          <w:sz w:val="24"/>
          <w:szCs w:val="24"/>
        </w:rPr>
        <w:t>输出的内容须核验并理解，参赛队伍对其正确性负责。</w:t>
      </w:r>
    </w:p>
    <w:p w14:paraId="108BF083">
      <w:pPr>
        <w:numPr>
          <w:ilvl w:val="0"/>
          <w:numId w:val="4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理论、公式与实验结论应引用正式文献或可核验数据，不得以</w:t>
      </w:r>
      <w:r>
        <w:rPr>
          <w:rFonts w:ascii="宋体" w:hAnsi="宋体"/>
          <w:sz w:val="24"/>
          <w:szCs w:val="24"/>
        </w:rPr>
        <w:t xml:space="preserve"> AI </w:t>
      </w:r>
      <w:r>
        <w:rPr>
          <w:rFonts w:hint="eastAsia" w:ascii="宋体" w:hAnsi="宋体"/>
          <w:sz w:val="24"/>
          <w:szCs w:val="24"/>
        </w:rPr>
        <w:t>输出作为学术依据。</w:t>
      </w:r>
    </w:p>
    <w:p w14:paraId="63969732">
      <w:pPr>
        <w:numPr>
          <w:ilvl w:val="0"/>
          <w:numId w:val="4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论文末尾须披露所用</w:t>
      </w:r>
      <w:r>
        <w:rPr>
          <w:rFonts w:ascii="宋体" w:hAnsi="宋体"/>
          <w:sz w:val="24"/>
          <w:szCs w:val="24"/>
        </w:rPr>
        <w:t xml:space="preserve"> AI </w:t>
      </w:r>
      <w:r>
        <w:rPr>
          <w:rFonts w:hint="eastAsia" w:ascii="宋体" w:hAnsi="宋体"/>
          <w:sz w:val="24"/>
          <w:szCs w:val="24"/>
        </w:rPr>
        <w:t>工具、使用环节及其贡献范围；未披露者一经查实取消参评资格。</w:t>
      </w:r>
    </w:p>
    <w:bookmarkEnd w:id="9"/>
    <w:p w14:paraId="23334F8E">
      <w:pPr>
        <w:pStyle w:val="5"/>
        <w:rPr>
          <w:rFonts w:hint="eastAsia" w:ascii="宋体" w:hAnsi="宋体" w:eastAsia="宋体"/>
          <w:sz w:val="24"/>
          <w:szCs w:val="24"/>
        </w:rPr>
      </w:pPr>
      <w:bookmarkStart w:id="10" w:name="Xce3fb15793896445091da72840fc6006206def5"/>
      <w:r>
        <w:rPr>
          <w:rFonts w:hint="eastAsia" w:ascii="宋体" w:hAnsi="宋体" w:eastAsia="宋体"/>
          <w:sz w:val="24"/>
          <w:szCs w:val="24"/>
        </w:rPr>
        <w:t>附录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A：各问数据使用要求</w:t>
      </w:r>
    </w:p>
    <w:p w14:paraId="027FADC4">
      <w:pPr>
        <w:numPr>
          <w:ilvl w:val="0"/>
          <w:numId w:val="5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问题一</w:t>
      </w:r>
      <w:r>
        <w:rPr>
          <w:rFonts w:hint="eastAsia" w:ascii="宋体" w:hAnsi="宋体"/>
          <w:sz w:val="24"/>
          <w:szCs w:val="24"/>
        </w:rPr>
        <w:t>：质量评价须使用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A1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抽样集与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A2、A3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扩展集的全部记录，</w:t>
      </w:r>
      <w:bookmarkStart w:id="13" w:name="_GoBack"/>
      <w:r>
        <w:rPr>
          <w:rFonts w:hint="eastAsia" w:ascii="宋体" w:hAnsi="宋体"/>
          <w:color w:val="FF0000"/>
          <w:sz w:val="24"/>
          <w:szCs w:val="24"/>
        </w:rPr>
        <w:t>可选用</w:t>
      </w:r>
      <w:bookmarkEnd w:id="13"/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color w:val="FF0000"/>
          <w:sz w:val="24"/>
          <w:szCs w:val="24"/>
        </w:rPr>
        <w:t>A18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color w:val="FF0000"/>
          <w:sz w:val="24"/>
          <w:szCs w:val="24"/>
        </w:rPr>
        <w:t>验算</w:t>
      </w:r>
      <w:r>
        <w:rPr>
          <w:rFonts w:hint="eastAsia" w:ascii="宋体" w:hAnsi="宋体"/>
          <w:sz w:val="24"/>
          <w:szCs w:val="24"/>
        </w:rPr>
        <w:t>；配比建模使用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A4–A15</w:t>
      </w:r>
      <w:r>
        <w:rPr>
          <w:rFonts w:hint="eastAsia" w:ascii="宋体" w:hAnsi="宋体"/>
          <w:sz w:val="24"/>
          <w:szCs w:val="24"/>
        </w:rPr>
        <w:t>，其中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A6–A11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为检验集、</w:t>
      </w:r>
      <w:r>
        <w:rPr>
          <w:rFonts w:ascii="宋体" w:hAnsi="宋体"/>
          <w:b/>
          <w:bCs/>
          <w:sz w:val="24"/>
          <w:szCs w:val="24"/>
        </w:rPr>
        <w:t>A12–A15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为外推表（配比表与</w:t>
      </w:r>
      <w:r>
        <w:rPr>
          <w:rFonts w:ascii="宋体" w:hAnsi="宋体"/>
          <w:sz w:val="24"/>
          <w:szCs w:val="24"/>
        </w:rPr>
        <w:t xml:space="preserve"> Loss </w:t>
      </w:r>
      <w:r>
        <w:rPr>
          <w:rFonts w:hint="eastAsia" w:ascii="宋体" w:hAnsi="宋体"/>
          <w:sz w:val="24"/>
          <w:szCs w:val="24"/>
        </w:rPr>
        <w:t>表须</w:t>
      </w:r>
      <w:r>
        <w:rPr>
          <w:rFonts w:hint="eastAsia" w:ascii="宋体" w:hAnsi="宋体"/>
          <w:b w:val="0"/>
          <w:bCs w:val="0"/>
          <w:color w:val="FF0000"/>
          <w:sz w:val="24"/>
          <w:szCs w:val="24"/>
        </w:rPr>
        <w:t>成对使用</w:t>
      </w:r>
      <w:r>
        <w:rPr>
          <w:rFonts w:hint="eastAsia" w:ascii="宋体" w:hAnsi="宋体"/>
          <w:sz w:val="24"/>
          <w:szCs w:val="24"/>
        </w:rPr>
        <w:t>）；跨域关联参考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A16</w:t>
      </w:r>
      <w:r>
        <w:rPr>
          <w:rFonts w:ascii="宋体" w:hAnsi="宋体"/>
          <w:sz w:val="24"/>
          <w:szCs w:val="24"/>
        </w:rPr>
        <w:t>。</w:t>
      </w:r>
    </w:p>
    <w:p w14:paraId="7739EE00">
      <w:pPr>
        <w:numPr>
          <w:ilvl w:val="0"/>
          <w:numId w:val="5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问题二</w:t>
      </w:r>
      <w:r>
        <w:rPr>
          <w:rFonts w:hint="eastAsia" w:ascii="宋体" w:hAnsi="宋体"/>
          <w:sz w:val="24"/>
          <w:szCs w:val="24"/>
        </w:rPr>
        <w:t>：经典标度律须以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B1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为主要</w:t>
      </w:r>
      <w:r>
        <w:rPr>
          <w:rFonts w:hint="eastAsia" w:ascii="宋体" w:hAnsi="宋体"/>
          <w:color w:val="FF0000"/>
          <w:sz w:val="24"/>
          <w:szCs w:val="24"/>
        </w:rPr>
        <w:t>拟合</w:t>
      </w:r>
      <w:r>
        <w:rPr>
          <w:rFonts w:hint="eastAsia" w:ascii="宋体" w:hAnsi="宋体"/>
          <w:sz w:val="24"/>
          <w:szCs w:val="24"/>
        </w:rPr>
        <w:t>数据；须使用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B2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或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B3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之一做模型</w:t>
      </w:r>
      <w:r>
        <w:rPr>
          <w:rFonts w:hint="eastAsia" w:ascii="宋体" w:hAnsi="宋体"/>
          <w:color w:val="FF0000"/>
          <w:sz w:val="24"/>
          <w:szCs w:val="24"/>
        </w:rPr>
        <w:t>族外或插值轨迹验证</w:t>
      </w:r>
      <w:r>
        <w:rPr>
          <w:rFonts w:hint="eastAsia" w:ascii="宋体" w:hAnsi="宋体"/>
          <w:sz w:val="24"/>
          <w:szCs w:val="24"/>
        </w:rPr>
        <w:t>；须使用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B4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与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B5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做</w:t>
      </w:r>
      <w:r>
        <w:rPr>
          <w:rFonts w:hint="eastAsia" w:ascii="宋体" w:hAnsi="宋体"/>
          <w:color w:val="FF0000"/>
          <w:sz w:val="24"/>
          <w:szCs w:val="24"/>
        </w:rPr>
        <w:t>跨族或文献验证</w:t>
      </w:r>
      <w:r>
        <w:rPr>
          <w:rFonts w:hint="eastAsia" w:ascii="宋体" w:hAnsi="宋体"/>
          <w:sz w:val="24"/>
          <w:szCs w:val="24"/>
        </w:rPr>
        <w:t>；质量相关部分须使用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B6</w:t>
      </w:r>
      <w:r>
        <w:rPr>
          <w:rFonts w:hint="eastAsia" w:ascii="宋体" w:hAnsi="宋体"/>
          <w:sz w:val="24"/>
          <w:szCs w:val="24"/>
        </w:rPr>
        <w:t>（或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B7、B8），并结合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B9、B10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讨论百亿参数以上的外推。半合成与估算数据须标注</w:t>
      </w:r>
      <w:r>
        <w:rPr>
          <w:rFonts w:hint="eastAsia" w:ascii="宋体" w:hAnsi="宋体"/>
          <w:color w:val="FF0000"/>
          <w:sz w:val="24"/>
          <w:szCs w:val="24"/>
        </w:rPr>
        <w:t>可信度边界</w:t>
      </w:r>
      <w:r>
        <w:rPr>
          <w:rFonts w:hint="eastAsia" w:ascii="宋体" w:hAnsi="宋体"/>
          <w:sz w:val="24"/>
          <w:szCs w:val="24"/>
        </w:rPr>
        <w:t>。</w:t>
      </w:r>
    </w:p>
    <w:p w14:paraId="046C5FE1">
      <w:pPr>
        <w:numPr>
          <w:ilvl w:val="0"/>
          <w:numId w:val="5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问题三</w:t>
      </w:r>
      <w:r>
        <w:rPr>
          <w:rFonts w:hint="eastAsia" w:ascii="宋体" w:hAnsi="宋体"/>
          <w:sz w:val="24"/>
          <w:szCs w:val="24"/>
        </w:rPr>
        <w:t>：上下文长度</w:t>
      </w:r>
      <w:r>
        <w:rPr>
          <w:rFonts w:ascii="宋体" w:hAnsi="宋体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L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ctx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外生给定（非寻优变量），其可行取值须</w:t>
      </w:r>
      <w:r>
        <w:rPr>
          <w:rFonts w:hint="eastAsia" w:ascii="宋体" w:hAnsi="宋体"/>
          <w:color w:val="FF0000"/>
          <w:sz w:val="24"/>
          <w:szCs w:val="24"/>
        </w:rPr>
        <w:t>依据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C7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并做</w:t>
      </w:r>
      <w:r>
        <w:rPr>
          <w:rFonts w:hint="eastAsia" w:ascii="宋体" w:hAnsi="宋体"/>
          <w:color w:val="FF0000"/>
          <w:sz w:val="24"/>
          <w:szCs w:val="24"/>
        </w:rPr>
        <w:t>敏感性分析</w:t>
      </w:r>
      <w:r>
        <w:rPr>
          <w:rFonts w:hint="eastAsia" w:ascii="宋体" w:hAnsi="宋体"/>
          <w:sz w:val="24"/>
          <w:szCs w:val="24"/>
        </w:rPr>
        <w:t>；其余输入取自前两问结果。</w:t>
      </w:r>
    </w:p>
    <w:p w14:paraId="4CA6F81B">
      <w:pPr>
        <w:numPr>
          <w:ilvl w:val="0"/>
          <w:numId w:val="5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问题四</w:t>
      </w:r>
      <w:r>
        <w:rPr>
          <w:rFonts w:hint="eastAsia" w:ascii="宋体" w:hAnsi="宋体"/>
          <w:sz w:val="24"/>
          <w:szCs w:val="24"/>
        </w:rPr>
        <w:t>：须使用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C1</w:t>
      </w:r>
      <w:r>
        <w:rPr>
          <w:rFonts w:hint="eastAsia" w:ascii="宋体" w:hAnsi="宋体"/>
          <w:sz w:val="24"/>
          <w:szCs w:val="24"/>
        </w:rPr>
        <w:t>（或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C2）与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C3</w:t>
      </w:r>
      <w:r>
        <w:rPr>
          <w:rFonts w:hint="eastAsia" w:ascii="宋体" w:hAnsi="宋体"/>
          <w:sz w:val="24"/>
          <w:szCs w:val="24"/>
        </w:rPr>
        <w:t>；须使用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C4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中的</w:t>
      </w:r>
      <w:r>
        <w:rPr>
          <w:rFonts w:hint="eastAsia" w:ascii="宋体" w:hAnsi="宋体"/>
          <w:color w:val="FF0000"/>
          <w:sz w:val="24"/>
          <w:szCs w:val="24"/>
        </w:rPr>
        <w:t>算力、数据量、开源权重</w:t>
      </w:r>
      <w:r>
        <w:rPr>
          <w:rFonts w:hint="eastAsia" w:ascii="宋体" w:hAnsi="宋体"/>
          <w:sz w:val="24"/>
          <w:szCs w:val="24"/>
        </w:rPr>
        <w:t>等字段；须对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C8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做至少一项</w:t>
      </w:r>
      <w:r>
        <w:rPr>
          <w:rFonts w:hint="eastAsia" w:ascii="宋体" w:hAnsi="宋体"/>
          <w:color w:val="FF0000"/>
          <w:sz w:val="24"/>
          <w:szCs w:val="24"/>
        </w:rPr>
        <w:t>逐任务聚合分析</w:t>
      </w:r>
      <w:r>
        <w:rPr>
          <w:rFonts w:hint="eastAsia" w:ascii="宋体" w:hAnsi="宋体"/>
          <w:sz w:val="24"/>
          <w:szCs w:val="24"/>
        </w:rPr>
        <w:t>，</w:t>
      </w:r>
      <w:r>
        <w:rPr>
          <w:rFonts w:hint="eastAsia" w:ascii="宋体" w:hAnsi="宋体"/>
          <w:color w:val="FF0000"/>
          <w:sz w:val="24"/>
          <w:szCs w:val="24"/>
        </w:rPr>
        <w:t>不得仅使用</w:t>
      </w:r>
      <w:r>
        <w:rPr>
          <w:rFonts w:hint="eastAsia" w:ascii="宋体" w:hAnsi="宋体"/>
          <w:sz w:val="24"/>
          <w:szCs w:val="24"/>
        </w:rPr>
        <w:t>汇总表。</w:t>
      </w:r>
    </w:p>
    <w:bookmarkEnd w:id="10"/>
    <w:p w14:paraId="3C88F495">
      <w:pPr>
        <w:pStyle w:val="5"/>
        <w:rPr>
          <w:rFonts w:hint="eastAsia" w:ascii="宋体" w:hAnsi="宋体" w:eastAsia="宋体"/>
          <w:sz w:val="24"/>
          <w:szCs w:val="24"/>
        </w:rPr>
      </w:pPr>
      <w:bookmarkStart w:id="11" w:name="ux9644ux5f55-b"/>
      <w:r>
        <w:rPr>
          <w:rFonts w:hint="eastAsia" w:ascii="宋体" w:hAnsi="宋体" w:eastAsia="宋体"/>
          <w:sz w:val="24"/>
          <w:szCs w:val="24"/>
        </w:rPr>
        <w:t>附录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B：数据质量成本函数与领域名录</w:t>
      </w:r>
    </w:p>
    <w:p w14:paraId="6D1BCA9F">
      <w:pPr>
        <w:pStyle w:val="25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B.1数据质量</w:t>
      </w:r>
      <w:r>
        <w:rPr>
          <w:rFonts w:hint="eastAsia" w:ascii="宋体" w:hAnsi="宋体"/>
          <w:b/>
          <w:bCs/>
          <w:color w:val="FF0000"/>
          <w:sz w:val="24"/>
          <w:szCs w:val="24"/>
        </w:rPr>
        <w:t>成本</w:t>
      </w:r>
      <w:r>
        <w:rPr>
          <w:rFonts w:hint="eastAsia" w:ascii="宋体" w:hAnsi="宋体"/>
          <w:b/>
          <w:bCs/>
          <w:sz w:val="24"/>
          <w:szCs w:val="24"/>
        </w:rPr>
        <w:t>函数</w:t>
      </w:r>
      <w:r>
        <w:rPr>
          <w:rFonts w:hint="eastAsia" w:ascii="宋体" w:hAnsi="宋体"/>
          <w:sz w:val="24"/>
          <w:szCs w:val="24"/>
        </w:rPr>
        <w:t>（供问题三选取、比较或改进；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Q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m:rPr/>
          <w:rPr>
            <w:rFonts w:ascii="Cambria Math" w:hAnsi="Cambria Math"/>
            <w:sz w:val="24"/>
            <w:szCs w:val="24"/>
          </w:rPr>
          <m:t>D 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[</m:t>
        </m:r>
        <m:r>
          <m:rPr/>
          <w:rPr>
            <w:rFonts w:ascii="Cambria Math" w:hAnsi="Cambria Math"/>
            <w:sz w:val="24"/>
            <w:szCs w:val="24"/>
          </w:rPr>
          <m:t>g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(</m:t>
        </m:r>
        <m:r>
          <m:rPr/>
          <w:rPr>
            <w:rFonts w:ascii="Cambria Math" w:hAnsi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)−</m:t>
        </m:r>
        <m:r>
          <m:rPr/>
          <w:rPr>
            <w:rFonts w:ascii="Cambria Math" w:hAnsi="Cambria Math"/>
            <w:sz w:val="24"/>
            <w:szCs w:val="24"/>
          </w:rPr>
          <m:t>g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Q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0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)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]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+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hint="eastAsia" w:ascii="宋体" w:hAnsi="宋体"/>
          <w:sz w:val="24"/>
          <w:szCs w:val="24"/>
        </w:rPr>
        <w:t>）：</w:t>
      </w:r>
    </w:p>
    <w:p w14:paraId="5E393570">
      <w:pPr>
        <w:numPr>
          <w:ilvl w:val="0"/>
          <w:numId w:val="5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指数型：</w:t>
      </w:r>
      <m:oMath>
        <m:r>
          <m:rPr/>
          <w:rPr>
            <w:rFonts w:ascii="Cambria Math" w:hAnsi="Cambria Math"/>
            <w:sz w:val="24"/>
            <w:szCs w:val="24"/>
          </w:rPr>
          <m:t>g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(</m:t>
        </m:r>
        <m:r>
          <m:rPr/>
          <w:rPr>
            <w:rFonts w:ascii="Cambria Math" w:hAnsi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)=</m:t>
        </m:r>
        <m:r>
          <m:rPr/>
          <w:rPr>
            <w:rFonts w:ascii="Cambria Math" w:hAnsi="Cambria Math"/>
            <w:sz w:val="24"/>
            <w:szCs w:val="24"/>
          </w:rPr>
          <m:t>γ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e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λQ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rFonts w:hint="eastAsia" w:ascii="宋体" w:hAnsi="宋体"/>
          <w:sz w:val="24"/>
          <w:szCs w:val="24"/>
        </w:rPr>
        <w:t>，其中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γ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10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7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rFonts w:hint="eastAsia" w:ascii="宋体" w:hAnsi="宋体"/>
          <w:sz w:val="24"/>
          <w:szCs w:val="24"/>
        </w:rPr>
        <w:t>，</w:t>
      </w:r>
      <m:oMath>
        <m:r>
          <m:rPr/>
          <w:rPr>
            <w:rFonts w:ascii="Cambria Math" w:hAnsi="Cambria Math"/>
            <w:sz w:val="24"/>
            <w:szCs w:val="24"/>
          </w:rPr>
          <m:t>λ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m:rPr/>
          <w:rPr>
            <w:rFonts w:ascii="Cambria Math" w:hAnsi="Cambria Math"/>
            <w:sz w:val="24"/>
            <w:szCs w:val="24"/>
          </w:rPr>
          <m:t>6.0</m:t>
        </m:r>
      </m:oMath>
      <w:r>
        <w:rPr>
          <w:rFonts w:hint="eastAsia" w:ascii="宋体" w:hAnsi="宋体"/>
          <w:sz w:val="24"/>
          <w:szCs w:val="24"/>
        </w:rPr>
        <w:t>；</w:t>
      </w:r>
    </w:p>
    <w:p w14:paraId="53C3F74F">
      <w:pPr>
        <w:numPr>
          <w:ilvl w:val="0"/>
          <w:numId w:val="5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幂函数型：</w:t>
      </w:r>
      <m:oMath>
        <m:r>
          <m:rPr/>
          <w:rPr>
            <w:rFonts w:ascii="Cambria Math" w:hAnsi="Cambria Math"/>
            <w:sz w:val="24"/>
            <w:szCs w:val="24"/>
          </w:rPr>
          <m:t>g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(</m:t>
        </m:r>
        <m:r>
          <m:rPr/>
          <w:rPr>
            <w:rFonts w:ascii="Cambria Math" w:hAnsi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)=</m:t>
        </m:r>
        <m:r>
          <m:rPr/>
          <w:rPr>
            <w:rFonts w:ascii="Cambria Math" w:hAnsi="Cambria Math"/>
            <w:sz w:val="24"/>
            <w:szCs w:val="24"/>
          </w:rPr>
          <m:t>γ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Q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λ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rFonts w:hint="eastAsia" w:ascii="宋体" w:hAnsi="宋体"/>
          <w:sz w:val="24"/>
          <w:szCs w:val="24"/>
        </w:rPr>
        <w:t>，其中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γ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m:rPr/>
          <w:rPr>
            <w:rFonts w:ascii="Cambria Math" w:hAnsi="Cambria Math"/>
            <w:sz w:val="24"/>
            <w:szCs w:val="24"/>
          </w:rPr>
          <m:t>5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10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9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rFonts w:hint="eastAsia" w:ascii="宋体" w:hAnsi="宋体"/>
          <w:sz w:val="24"/>
          <w:szCs w:val="24"/>
        </w:rPr>
        <w:t>，</w:t>
      </w:r>
      <m:oMath>
        <m:r>
          <m:rPr/>
          <w:rPr>
            <w:rFonts w:ascii="Cambria Math" w:hAnsi="Cambria Math"/>
            <w:sz w:val="24"/>
            <w:szCs w:val="24"/>
          </w:rPr>
          <m:t>λ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m:rPr/>
          <w:rPr>
            <w:rFonts w:ascii="Cambria Math" w:hAnsi="Cambria Math"/>
            <w:sz w:val="24"/>
            <w:szCs w:val="24"/>
          </w:rPr>
          <m:t>4.0</m:t>
        </m:r>
      </m:oMath>
      <w:r>
        <w:rPr>
          <w:rFonts w:hint="eastAsia" w:ascii="宋体" w:hAnsi="宋体"/>
          <w:sz w:val="24"/>
          <w:szCs w:val="24"/>
        </w:rPr>
        <w:t>；</w:t>
      </w:r>
    </w:p>
    <w:p w14:paraId="1FF36193">
      <w:pPr>
        <w:numPr>
          <w:ilvl w:val="0"/>
          <w:numId w:val="5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对数渐进型：</w:t>
      </w:r>
      <m:oMath>
        <m:r>
          <m:rPr/>
          <w:rPr>
            <w:rFonts w:ascii="Cambria Math" w:hAnsi="Cambria Math"/>
            <w:sz w:val="24"/>
            <w:szCs w:val="24"/>
          </w:rPr>
          <m:t>g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(</m:t>
        </m:r>
        <m:r>
          <m:rPr/>
          <w:rPr>
            <w:rFonts w:ascii="Cambria Math" w:hAnsi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)=</m:t>
        </m:r>
        <m:r>
          <m:rPr/>
          <w:rPr>
            <w:rFonts w:ascii="Cambria Math" w:hAnsi="Cambria Math"/>
            <w:sz w:val="24"/>
            <w:szCs w:val="24"/>
          </w:rPr>
          <m:t>γ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ln(</m:t>
        </m:r>
        <m:r>
          <m:rPr/>
          <w:rPr>
            <w:rFonts w:ascii="Cambria Math" w:hAnsi="Cambria Math"/>
            <w:sz w:val="24"/>
            <w:szCs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+</m:t>
        </m:r>
        <m:r>
          <m:rPr/>
          <w:rPr>
            <w:rFonts w:ascii="Cambria Math" w:hAnsi="Cambria Math"/>
            <w:sz w:val="24"/>
            <w:szCs w:val="24"/>
          </w:rPr>
          <m:t>λQ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</m:t>
        </m:r>
      </m:oMath>
      <w:r>
        <w:rPr>
          <w:rFonts w:hint="eastAsia" w:ascii="宋体" w:hAnsi="宋体"/>
          <w:sz w:val="24"/>
          <w:szCs w:val="24"/>
        </w:rPr>
        <w:t>，其中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γ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m:rPr/>
          <w:rPr>
            <w:rFonts w:ascii="Cambria Math" w:hAnsi="Cambria Math"/>
            <w:sz w:val="24"/>
            <w:szCs w:val="24"/>
          </w:rPr>
          <m:t>2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10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9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rFonts w:hint="eastAsia" w:ascii="宋体" w:hAnsi="宋体"/>
          <w:sz w:val="24"/>
          <w:szCs w:val="24"/>
        </w:rPr>
        <w:t>，</w:t>
      </w:r>
      <m:oMath>
        <m:r>
          <m:rPr/>
          <w:rPr>
            <w:rFonts w:ascii="Cambria Math" w:hAnsi="Cambria Math"/>
            <w:sz w:val="24"/>
            <w:szCs w:val="24"/>
          </w:rPr>
          <m:t>λ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m:rPr/>
          <w:rPr>
            <w:rFonts w:ascii="Cambria Math" w:hAnsi="Cambria Math"/>
            <w:sz w:val="24"/>
            <w:szCs w:val="24"/>
          </w:rPr>
          <m:t>10.0</m:t>
        </m:r>
      </m:oMath>
      <w:r>
        <w:rPr>
          <w:rFonts w:ascii="宋体" w:hAnsi="宋体"/>
          <w:sz w:val="24"/>
          <w:szCs w:val="24"/>
        </w:rPr>
        <w:t>。</w:t>
      </w:r>
    </w:p>
    <w:p w14:paraId="56F31001">
      <w:pPr>
        <w:pStyle w:val="25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/>
          <w:b/>
          <w:bCs/>
          <w:sz w:val="24"/>
          <w:szCs w:val="24"/>
        </w:rPr>
        <w:t>B.2领域与质量指标</w:t>
      </w:r>
      <w:r>
        <w:rPr>
          <w:rFonts w:hint="eastAsia" w:ascii="宋体" w:hAnsi="宋体"/>
          <w:sz w:val="24"/>
          <w:szCs w:val="24"/>
        </w:rPr>
        <w:t>：17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个训练领域（The</w:t>
      </w:r>
      <w:r>
        <w:rPr>
          <w:rFonts w:ascii="宋体" w:hAnsi="宋体"/>
          <w:sz w:val="24"/>
          <w:szCs w:val="24"/>
        </w:rPr>
        <w:t xml:space="preserve"> Pile </w:t>
      </w:r>
      <w:r>
        <w:rPr>
          <w:rFonts w:hint="eastAsia" w:ascii="宋体" w:hAnsi="宋体"/>
          <w:sz w:val="24"/>
          <w:szCs w:val="24"/>
        </w:rPr>
        <w:t>子领域）与</w:t>
      </w:r>
      <w:r>
        <w:rPr>
          <w:rFonts w:ascii="宋体" w:hAnsi="宋体"/>
          <w:sz w:val="24"/>
          <w:szCs w:val="24"/>
        </w:rPr>
        <w:t xml:space="preserve"> 22 </w:t>
      </w:r>
      <w:r>
        <w:rPr>
          <w:rFonts w:hint="eastAsia" w:ascii="宋体" w:hAnsi="宋体"/>
          <w:sz w:val="24"/>
          <w:szCs w:val="24"/>
        </w:rPr>
        <w:t>个质量指标的完整名录、字段类型与方向说明，见《数据说明》的《附件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A》一节。其中部分指标为多维列表型，须先</w:t>
      </w:r>
      <w:r>
        <w:rPr>
          <w:rFonts w:hint="eastAsia" w:ascii="宋体" w:hAnsi="宋体"/>
          <w:color w:val="FF0000"/>
          <w:sz w:val="24"/>
          <w:szCs w:val="24"/>
        </w:rPr>
        <w:t>压缩为标量</w:t>
      </w:r>
      <w:r>
        <w:rPr>
          <w:rFonts w:hint="eastAsia" w:ascii="宋体" w:hAnsi="宋体"/>
          <w:sz w:val="24"/>
          <w:szCs w:val="24"/>
        </w:rPr>
        <w:t>后再参与建模；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所有质量指标经处理后均按“越高越好”参与评价。</w:t>
      </w:r>
      <w:r>
        <w:rPr>
          <w:rFonts w:hint="eastAsia" w:ascii="宋体" w:hAnsi="宋体"/>
          <w:b/>
          <w:bCs/>
          <w:color w:val="FF0000"/>
          <w:sz w:val="24"/>
          <w:szCs w:val="24"/>
          <w:u w:val="single"/>
          <w:lang w:eastAsia="zh-CN"/>
        </w:rPr>
        <w:t>？？？</w:t>
      </w:r>
    </w:p>
    <w:bookmarkEnd w:id="11"/>
    <w:p w14:paraId="45B9DAC4">
      <w:pPr>
        <w:pStyle w:val="5"/>
        <w:rPr>
          <w:rFonts w:hint="eastAsia" w:ascii="宋体" w:hAnsi="宋体" w:eastAsia="宋体"/>
          <w:b/>
          <w:bCs/>
          <w:sz w:val="24"/>
          <w:szCs w:val="24"/>
        </w:rPr>
      </w:pPr>
      <w:bookmarkStart w:id="12" w:name="ux53c2ux8003ux6587ux732e"/>
      <w:r>
        <w:rPr>
          <w:rFonts w:hint="eastAsia" w:ascii="宋体" w:hAnsi="宋体" w:eastAsia="宋体"/>
          <w:b/>
          <w:bCs/>
          <w:sz w:val="24"/>
          <w:szCs w:val="24"/>
        </w:rPr>
        <w:t>参考文献</w:t>
      </w:r>
    </w:p>
    <w:p w14:paraId="060A7A55">
      <w:pPr>
        <w:numPr>
          <w:ilvl w:val="0"/>
          <w:numId w:val="6"/>
        </w:numPr>
      </w:pPr>
      <w:r>
        <w:t>Bahri, Y., Dyer, E., Kaplan, J., et al. Explaining neural scaling laws. PNAS, 121(27), 2024. DOI: 10.1073/pnas.2311878121.</w:t>
      </w:r>
    </w:p>
    <w:p w14:paraId="5B03BC49">
      <w:pPr>
        <w:numPr>
          <w:ilvl w:val="0"/>
          <w:numId w:val="6"/>
        </w:numPr>
      </w:pPr>
      <w:r>
        <w:t>Hoffmann, J., Borgeaud, S., Mensch, A., et al. Training Compute-Optimal Large Language Models. NeurIPS 35, 2022.</w:t>
      </w:r>
    </w:p>
    <w:p w14:paraId="395B1935">
      <w:pPr>
        <w:numPr>
          <w:ilvl w:val="0"/>
          <w:numId w:val="6"/>
        </w:numPr>
      </w:pPr>
      <w:r>
        <w:t>Xia, M., et al. RegMix: Data Mixture as Regression for Language Model Pre-training. ICML 2024.</w:t>
      </w:r>
    </w:p>
    <w:p w14:paraId="76E2D42D">
      <w:pPr>
        <w:numPr>
          <w:ilvl w:val="0"/>
          <w:numId w:val="6"/>
        </w:numPr>
      </w:pPr>
      <w:r>
        <w:t>Biderman, S., et al. Pythia: A Suite for Analyzing Large Language Models Across Training and Scaling. ICML 2023.</w:t>
      </w:r>
    </w:p>
    <w:p w14:paraId="76F2BEF3">
      <w:pPr>
        <w:numPr>
          <w:ilvl w:val="0"/>
          <w:numId w:val="6"/>
        </w:numPr>
      </w:pPr>
      <w:r>
        <w:t xml:space="preserve">Asai, A., et al. Synthesizing scientific literature with retrieval-augmented language models. Nature </w:t>
      </w:r>
      <w:r>
        <w:rPr>
          <w:b/>
          <w:bCs/>
        </w:rPr>
        <w:t>650</w:t>
      </w:r>
      <w:r>
        <w:t>, 857–863 (2026). DOI: 10.1038/s41586-025-10072-4.</w:t>
      </w:r>
    </w:p>
    <w:p w14:paraId="5994732D">
      <w:pPr>
        <w:numPr>
          <w:ilvl w:val="0"/>
          <w:numId w:val="6"/>
        </w:numPr>
      </w:pPr>
      <w:r>
        <w:t>Schaeffer, R., Miranda, B., Koyejo, S. Are Emergent Abilities of Large Language Models a Mirage? NeurIPS 36, 2023.</w:t>
      </w:r>
      <w:bookmarkEnd w:id="0"/>
      <w:bookmarkEnd w:id="12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footnotePr>
        <w:numRestart w:val="eachSect"/>
      </w:footnotePr>
      <w:pgSz w:w="12240" w:h="15840"/>
      <w:pgMar w:top="1417" w:right="1417" w:bottom="1417" w:left="1417" w:header="680" w:footer="708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BEC278">
    <w:pPr>
      <w:pStyle w:val="1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8DBEBB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06FF84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F13EDD">
    <w:pPr>
      <w:pStyle w:val="17"/>
      <w:rPr>
        <w:rFonts w:hint="eastAsia"/>
      </w:rPr>
    </w:pPr>
  </w:p>
  <w:p w14:paraId="1D224E8F">
    <w:pPr>
      <w:tabs>
        <w:tab w:val="left" w:pos="9264"/>
        <w:tab w:val="right" w:pos="9406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CAA90A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9AAEFF"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F2103C"/>
    <w:rsid w:val="0010069C"/>
    <w:rsid w:val="00764B97"/>
    <w:rsid w:val="007B6C78"/>
    <w:rsid w:val="00971183"/>
    <w:rsid w:val="00B44747"/>
    <w:rsid w:val="00F2103C"/>
    <w:rsid w:val="02FC5AA6"/>
    <w:rsid w:val="06BD6D3C"/>
    <w:rsid w:val="09DA30B5"/>
    <w:rsid w:val="0B83192B"/>
    <w:rsid w:val="0C5A3AFD"/>
    <w:rsid w:val="0DC40CD1"/>
    <w:rsid w:val="0DF36AFF"/>
    <w:rsid w:val="0F087E2F"/>
    <w:rsid w:val="14C9069C"/>
    <w:rsid w:val="186A2BAC"/>
    <w:rsid w:val="1AD003D6"/>
    <w:rsid w:val="1B3B70DD"/>
    <w:rsid w:val="1B720EF0"/>
    <w:rsid w:val="1D684181"/>
    <w:rsid w:val="1FF50CC5"/>
    <w:rsid w:val="24C602A0"/>
    <w:rsid w:val="266A491E"/>
    <w:rsid w:val="276428EB"/>
    <w:rsid w:val="2FFB1F66"/>
    <w:rsid w:val="36CC5A63"/>
    <w:rsid w:val="3A13477B"/>
    <w:rsid w:val="3AF9432F"/>
    <w:rsid w:val="3EAD1877"/>
    <w:rsid w:val="40893105"/>
    <w:rsid w:val="436545DD"/>
    <w:rsid w:val="440B586E"/>
    <w:rsid w:val="46A2741E"/>
    <w:rsid w:val="471F2E35"/>
    <w:rsid w:val="4C155C25"/>
    <w:rsid w:val="4D584CFB"/>
    <w:rsid w:val="52C05290"/>
    <w:rsid w:val="5C5069F0"/>
    <w:rsid w:val="5FD73E52"/>
    <w:rsid w:val="65994D2D"/>
    <w:rsid w:val="678C45A2"/>
    <w:rsid w:val="69B91BB0"/>
    <w:rsid w:val="6CFE17CB"/>
    <w:rsid w:val="715411A2"/>
    <w:rsid w:val="721E6481"/>
    <w:rsid w:val="733521C8"/>
    <w:rsid w:val="7AB43E11"/>
    <w:rsid w:val="7F2624C2"/>
    <w:rsid w:val="E683C72F"/>
    <w:rsid w:val="FD7F7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312" w:lineRule="auto"/>
    </w:pPr>
    <w:rPr>
      <w:rFonts w:ascii="Times New Roman" w:hAnsi="Times New Roman" w:eastAsia="宋体" w:cs="Times New Roman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200"/>
      <w:outlineLvl w:val="0"/>
    </w:pPr>
    <w:rPr>
      <w:rFonts w:ascii="黑体" w:hAnsi="黑体" w:eastAsia="黑体"/>
      <w:color w:val="000000"/>
      <w:sz w:val="30"/>
      <w:szCs w:val="3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320" w:after="160"/>
      <w:outlineLvl w:val="1"/>
    </w:pPr>
    <w:rPr>
      <w:rFonts w:ascii="黑体" w:hAnsi="黑体" w:eastAsia="黑体"/>
      <w:color w:val="000000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300" w:after="140"/>
      <w:outlineLvl w:val="2"/>
    </w:pPr>
    <w:rPr>
      <w:rFonts w:ascii="黑体" w:hAnsi="黑体" w:eastAsia="黑体"/>
      <w:color w:val="000000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280" w:after="120"/>
      <w:outlineLvl w:val="3"/>
    </w:pPr>
    <w:rPr>
      <w:rFonts w:ascii="黑体" w:hAnsi="黑体" w:eastAsia="黑体"/>
      <w:i/>
      <w:iCs/>
      <w:color w:val="000000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1">
    <w:name w:val="Default Paragraph Font"/>
    <w:semiHidden/>
    <w:unhideWhenUsed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</w:style>
  <w:style w:type="paragraph" w:styleId="12">
    <w:name w:val="caption"/>
    <w:basedOn w:val="1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  <w:rPr>
      <w:rFonts w:ascii="楷体" w:hAnsi="楷体" w:eastAsia="楷体"/>
    </w:r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7"/>
    <w:qFormat/>
    <w:uiPriority w:val="10"/>
    <w:pPr>
      <w:spacing w:before="120" w:after="340"/>
      <w:contextualSpacing/>
    </w:pPr>
    <w:rPr>
      <w:rFonts w:ascii="黑体" w:hAnsi="黑体" w:eastAsia="黑体"/>
      <w:sz w:val="30"/>
      <w:szCs w:val="30"/>
    </w:rPr>
  </w:style>
  <w:style w:type="paragraph" w:styleId="16">
    <w:name w:val="footer"/>
    <w:basedOn w:val="1"/>
    <w:link w:val="86"/>
    <w:qFormat/>
    <w:uiPriority w:val="99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header"/>
    <w:basedOn w:val="1"/>
    <w:link w:val="85"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8">
    <w:name w:val="Subtitle"/>
    <w:basedOn w:val="15"/>
    <w:next w:val="3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</w:style>
  <w:style w:type="character" w:styleId="22">
    <w:name w:val="Hyperlink"/>
    <w:basedOn w:val="23"/>
    <w:uiPriority w:val="0"/>
    <w:rPr>
      <w:color w:val="156082" w:themeColor="accent1"/>
    </w:rPr>
  </w:style>
  <w:style w:type="character" w:customStyle="1" w:styleId="23">
    <w:name w:val="正文文本 字符"/>
    <w:basedOn w:val="21"/>
    <w:link w:val="3"/>
    <w:qFormat/>
    <w:uiPriority w:val="0"/>
  </w:style>
  <w:style w:type="character" w:styleId="24">
    <w:name w:val="footnote reference"/>
    <w:basedOn w:val="23"/>
    <w:qFormat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after="40"/>
    </w:pPr>
  </w:style>
  <w:style w:type="character" w:customStyle="1" w:styleId="27">
    <w:name w:val="标题 字符"/>
    <w:basedOn w:val="21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8">
    <w:name w:val="副标题 字符"/>
    <w:basedOn w:val="21"/>
    <w:link w:val="18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9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书目1"/>
    <w:basedOn w:val="1"/>
    <w:qFormat/>
    <w:uiPriority w:val="0"/>
  </w:style>
  <w:style w:type="character" w:customStyle="1" w:styleId="33">
    <w:name w:val="标题 1 字符"/>
    <w:basedOn w:val="21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4">
    <w:name w:val="标题 2 字符"/>
    <w:basedOn w:val="21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5">
    <w:name w:val="标题 3 字符"/>
    <w:basedOn w:val="21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6">
    <w:name w:val="标题 4 字符"/>
    <w:basedOn w:val="21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7">
    <w:name w:val="标题 5 字符"/>
    <w:basedOn w:val="21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8">
    <w:name w:val="标题 6 字符"/>
    <w:basedOn w:val="21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9">
    <w:name w:val="标题 7 字符"/>
    <w:basedOn w:val="21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40">
    <w:name w:val="标题 8 字符"/>
    <w:basedOn w:val="21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1">
    <w:name w:val="标题 9 字符"/>
    <w:basedOn w:val="21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2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qFormat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qFormat/>
    <w:uiPriority w:val="0"/>
  </w:style>
  <w:style w:type="paragraph" w:customStyle="1" w:styleId="46">
    <w:name w:val="Table Caption"/>
    <w:basedOn w:val="12"/>
    <w:qFormat/>
    <w:uiPriority w:val="0"/>
    <w:pPr>
      <w:keepNext/>
    </w:pPr>
  </w:style>
  <w:style w:type="paragraph" w:customStyle="1" w:styleId="47">
    <w:name w:val="Image Caption"/>
    <w:basedOn w:val="12"/>
    <w:qFormat/>
    <w:uiPriority w:val="0"/>
  </w:style>
  <w:style w:type="paragraph" w:customStyle="1" w:styleId="48">
    <w:name w:val="Figure"/>
    <w:basedOn w:val="1"/>
    <w:qFormat/>
    <w:uiPriority w:val="0"/>
  </w:style>
  <w:style w:type="paragraph" w:customStyle="1" w:styleId="49">
    <w:name w:val="Captioned Figure"/>
    <w:basedOn w:val="48"/>
    <w:qFormat/>
    <w:uiPriority w:val="0"/>
    <w:pPr>
      <w:keepNext/>
    </w:pPr>
  </w:style>
  <w:style w:type="character" w:customStyle="1" w:styleId="50">
    <w:name w:val="Verbatim Char"/>
    <w:basedOn w:val="23"/>
    <w:link w:val="51"/>
    <w:qFormat/>
    <w:uiPriority w:val="0"/>
    <w:rPr>
      <w:rFonts w:ascii="Consolas" w:hAnsi="Consolas" w:eastAsia="宋体"/>
      <w:sz w:val="22"/>
    </w:rPr>
  </w:style>
  <w:style w:type="paragraph" w:customStyle="1" w:styleId="51">
    <w:name w:val="Source Code"/>
    <w:basedOn w:val="1"/>
    <w:link w:val="50"/>
    <w:qFormat/>
    <w:uiPriority w:val="0"/>
    <w:pPr>
      <w:wordWrap w:val="0"/>
    </w:pPr>
  </w:style>
  <w:style w:type="character" w:customStyle="1" w:styleId="52">
    <w:name w:val="Section Number"/>
    <w:basedOn w:val="23"/>
    <w:qFormat/>
    <w:uiPriority w:val="0"/>
  </w:style>
  <w:style w:type="paragraph" w:customStyle="1" w:styleId="53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4">
    <w:name w:val="KeywordTok"/>
    <w:basedOn w:val="50"/>
    <w:qFormat/>
    <w:uiPriority w:val="0"/>
    <w:rPr>
      <w:rFonts w:ascii="Consolas" w:hAnsi="Consolas" w:eastAsia="宋体"/>
      <w:b/>
      <w:color w:val="007020"/>
      <w:sz w:val="22"/>
    </w:rPr>
  </w:style>
  <w:style w:type="character" w:customStyle="1" w:styleId="55">
    <w:name w:val="DataTypeTok"/>
    <w:basedOn w:val="50"/>
    <w:qFormat/>
    <w:uiPriority w:val="0"/>
    <w:rPr>
      <w:rFonts w:ascii="Consolas" w:hAnsi="Consolas" w:eastAsia="宋体"/>
      <w:color w:val="902000"/>
      <w:sz w:val="22"/>
    </w:rPr>
  </w:style>
  <w:style w:type="character" w:customStyle="1" w:styleId="56">
    <w:name w:val="DecValTok"/>
    <w:basedOn w:val="50"/>
    <w:qFormat/>
    <w:uiPriority w:val="0"/>
    <w:rPr>
      <w:rFonts w:ascii="Consolas" w:hAnsi="Consolas" w:eastAsia="宋体"/>
      <w:color w:val="40A070"/>
      <w:sz w:val="22"/>
    </w:rPr>
  </w:style>
  <w:style w:type="character" w:customStyle="1" w:styleId="57">
    <w:name w:val="BaseNTok"/>
    <w:basedOn w:val="50"/>
    <w:qFormat/>
    <w:uiPriority w:val="0"/>
    <w:rPr>
      <w:rFonts w:ascii="Consolas" w:hAnsi="Consolas" w:eastAsia="宋体"/>
      <w:color w:val="40A070"/>
      <w:sz w:val="22"/>
    </w:rPr>
  </w:style>
  <w:style w:type="character" w:customStyle="1" w:styleId="58">
    <w:name w:val="FloatTok"/>
    <w:basedOn w:val="50"/>
    <w:qFormat/>
    <w:uiPriority w:val="0"/>
    <w:rPr>
      <w:rFonts w:ascii="Consolas" w:hAnsi="Consolas" w:eastAsia="宋体"/>
      <w:color w:val="40A070"/>
      <w:sz w:val="22"/>
    </w:rPr>
  </w:style>
  <w:style w:type="character" w:customStyle="1" w:styleId="59">
    <w:name w:val="ConstantTok"/>
    <w:basedOn w:val="50"/>
    <w:qFormat/>
    <w:uiPriority w:val="0"/>
    <w:rPr>
      <w:rFonts w:ascii="Consolas" w:hAnsi="Consolas" w:eastAsia="宋体"/>
      <w:color w:val="880000"/>
      <w:sz w:val="22"/>
    </w:rPr>
  </w:style>
  <w:style w:type="character" w:customStyle="1" w:styleId="60">
    <w:name w:val="CharTok"/>
    <w:basedOn w:val="50"/>
    <w:qFormat/>
    <w:uiPriority w:val="0"/>
    <w:rPr>
      <w:rFonts w:ascii="Consolas" w:hAnsi="Consolas" w:eastAsia="宋体"/>
      <w:color w:val="4070A0"/>
      <w:sz w:val="22"/>
    </w:rPr>
  </w:style>
  <w:style w:type="character" w:customStyle="1" w:styleId="61">
    <w:name w:val="SpecialCharTok"/>
    <w:basedOn w:val="50"/>
    <w:qFormat/>
    <w:uiPriority w:val="0"/>
    <w:rPr>
      <w:rFonts w:ascii="Consolas" w:hAnsi="Consolas" w:eastAsia="宋体"/>
      <w:color w:val="4070A0"/>
      <w:sz w:val="22"/>
    </w:rPr>
  </w:style>
  <w:style w:type="character" w:customStyle="1" w:styleId="62">
    <w:name w:val="StringTok"/>
    <w:basedOn w:val="50"/>
    <w:qFormat/>
    <w:uiPriority w:val="0"/>
    <w:rPr>
      <w:rFonts w:ascii="Consolas" w:hAnsi="Consolas" w:eastAsia="宋体"/>
      <w:color w:val="4070A0"/>
      <w:sz w:val="22"/>
    </w:rPr>
  </w:style>
  <w:style w:type="character" w:customStyle="1" w:styleId="63">
    <w:name w:val="VerbatimStringTok"/>
    <w:basedOn w:val="50"/>
    <w:qFormat/>
    <w:uiPriority w:val="0"/>
    <w:rPr>
      <w:rFonts w:ascii="Consolas" w:hAnsi="Consolas" w:eastAsia="宋体"/>
      <w:color w:val="4070A0"/>
      <w:sz w:val="22"/>
    </w:rPr>
  </w:style>
  <w:style w:type="character" w:customStyle="1" w:styleId="64">
    <w:name w:val="SpecialStringTok"/>
    <w:basedOn w:val="50"/>
    <w:qFormat/>
    <w:uiPriority w:val="0"/>
    <w:rPr>
      <w:rFonts w:ascii="Consolas" w:hAnsi="Consolas" w:eastAsia="宋体"/>
      <w:color w:val="BB6688"/>
      <w:sz w:val="22"/>
    </w:rPr>
  </w:style>
  <w:style w:type="character" w:customStyle="1" w:styleId="65">
    <w:name w:val="ImportTok"/>
    <w:basedOn w:val="50"/>
    <w:qFormat/>
    <w:uiPriority w:val="0"/>
    <w:rPr>
      <w:rFonts w:ascii="Consolas" w:hAnsi="Consolas" w:eastAsia="宋体"/>
      <w:b/>
      <w:color w:val="008000"/>
      <w:sz w:val="22"/>
    </w:rPr>
  </w:style>
  <w:style w:type="character" w:customStyle="1" w:styleId="66">
    <w:name w:val="CommentTok"/>
    <w:basedOn w:val="50"/>
    <w:qFormat/>
    <w:uiPriority w:val="0"/>
    <w:rPr>
      <w:rFonts w:ascii="Consolas" w:hAnsi="Consolas" w:eastAsia="宋体"/>
      <w:i/>
      <w:color w:val="60A0B0"/>
      <w:sz w:val="22"/>
    </w:rPr>
  </w:style>
  <w:style w:type="character" w:customStyle="1" w:styleId="67">
    <w:name w:val="DocumentationTok"/>
    <w:basedOn w:val="50"/>
    <w:qFormat/>
    <w:uiPriority w:val="0"/>
    <w:rPr>
      <w:rFonts w:ascii="Consolas" w:hAnsi="Consolas" w:eastAsia="宋体"/>
      <w:i/>
      <w:color w:val="BA2121"/>
      <w:sz w:val="22"/>
    </w:rPr>
  </w:style>
  <w:style w:type="character" w:customStyle="1" w:styleId="68">
    <w:name w:val="AnnotationTok"/>
    <w:basedOn w:val="50"/>
    <w:qFormat/>
    <w:uiPriority w:val="0"/>
    <w:rPr>
      <w:rFonts w:ascii="Consolas" w:hAnsi="Consolas" w:eastAsia="宋体"/>
      <w:b/>
      <w:i/>
      <w:color w:val="60A0B0"/>
      <w:sz w:val="22"/>
    </w:rPr>
  </w:style>
  <w:style w:type="character" w:customStyle="1" w:styleId="69">
    <w:name w:val="CommentVarTok"/>
    <w:basedOn w:val="50"/>
    <w:qFormat/>
    <w:uiPriority w:val="0"/>
    <w:rPr>
      <w:rFonts w:ascii="Consolas" w:hAnsi="Consolas" w:eastAsia="宋体"/>
      <w:b/>
      <w:i/>
      <w:color w:val="60A0B0"/>
      <w:sz w:val="22"/>
    </w:rPr>
  </w:style>
  <w:style w:type="character" w:customStyle="1" w:styleId="70">
    <w:name w:val="OtherTok"/>
    <w:basedOn w:val="50"/>
    <w:qFormat/>
    <w:uiPriority w:val="0"/>
    <w:rPr>
      <w:rFonts w:ascii="Consolas" w:hAnsi="Consolas" w:eastAsia="宋体"/>
      <w:color w:val="007020"/>
      <w:sz w:val="22"/>
    </w:rPr>
  </w:style>
  <w:style w:type="character" w:customStyle="1" w:styleId="71">
    <w:name w:val="FunctionTok"/>
    <w:basedOn w:val="50"/>
    <w:qFormat/>
    <w:uiPriority w:val="0"/>
    <w:rPr>
      <w:rFonts w:ascii="Consolas" w:hAnsi="Consolas" w:eastAsia="宋体"/>
      <w:color w:val="06287E"/>
      <w:sz w:val="22"/>
    </w:rPr>
  </w:style>
  <w:style w:type="character" w:customStyle="1" w:styleId="72">
    <w:name w:val="VariableTok"/>
    <w:basedOn w:val="50"/>
    <w:qFormat/>
    <w:uiPriority w:val="0"/>
    <w:rPr>
      <w:rFonts w:ascii="Consolas" w:hAnsi="Consolas" w:eastAsia="宋体"/>
      <w:color w:val="19177C"/>
      <w:sz w:val="22"/>
    </w:rPr>
  </w:style>
  <w:style w:type="character" w:customStyle="1" w:styleId="73">
    <w:name w:val="ControlFlowTok"/>
    <w:basedOn w:val="50"/>
    <w:qFormat/>
    <w:uiPriority w:val="0"/>
    <w:rPr>
      <w:rFonts w:ascii="Consolas" w:hAnsi="Consolas" w:eastAsia="宋体"/>
      <w:b/>
      <w:color w:val="007020"/>
      <w:sz w:val="22"/>
    </w:rPr>
  </w:style>
  <w:style w:type="character" w:customStyle="1" w:styleId="74">
    <w:name w:val="OperatorTok"/>
    <w:basedOn w:val="50"/>
    <w:qFormat/>
    <w:uiPriority w:val="0"/>
    <w:rPr>
      <w:rFonts w:ascii="Consolas" w:hAnsi="Consolas" w:eastAsia="宋体"/>
      <w:color w:val="666666"/>
      <w:sz w:val="22"/>
    </w:rPr>
  </w:style>
  <w:style w:type="character" w:customStyle="1" w:styleId="75">
    <w:name w:val="BuiltInTok"/>
    <w:basedOn w:val="50"/>
    <w:qFormat/>
    <w:uiPriority w:val="0"/>
    <w:rPr>
      <w:rFonts w:ascii="Consolas" w:hAnsi="Consolas" w:eastAsia="宋体"/>
      <w:color w:val="008000"/>
      <w:sz w:val="22"/>
    </w:rPr>
  </w:style>
  <w:style w:type="character" w:customStyle="1" w:styleId="76">
    <w:name w:val="ExtensionTok"/>
    <w:basedOn w:val="50"/>
    <w:qFormat/>
    <w:uiPriority w:val="0"/>
    <w:rPr>
      <w:rFonts w:ascii="Consolas" w:hAnsi="Consolas" w:eastAsia="宋体"/>
      <w:sz w:val="22"/>
    </w:rPr>
  </w:style>
  <w:style w:type="character" w:customStyle="1" w:styleId="77">
    <w:name w:val="PreprocessorTok"/>
    <w:basedOn w:val="50"/>
    <w:qFormat/>
    <w:uiPriority w:val="0"/>
    <w:rPr>
      <w:rFonts w:ascii="Consolas" w:hAnsi="Consolas" w:eastAsia="宋体"/>
      <w:color w:val="BC7A00"/>
      <w:sz w:val="22"/>
    </w:rPr>
  </w:style>
  <w:style w:type="character" w:customStyle="1" w:styleId="78">
    <w:name w:val="AttributeTok"/>
    <w:basedOn w:val="50"/>
    <w:qFormat/>
    <w:uiPriority w:val="0"/>
    <w:rPr>
      <w:rFonts w:ascii="Consolas" w:hAnsi="Consolas" w:eastAsia="宋体"/>
      <w:color w:val="7D9029"/>
      <w:sz w:val="22"/>
    </w:rPr>
  </w:style>
  <w:style w:type="character" w:customStyle="1" w:styleId="79">
    <w:name w:val="RegionMarkerTok"/>
    <w:basedOn w:val="50"/>
    <w:qFormat/>
    <w:uiPriority w:val="0"/>
    <w:rPr>
      <w:rFonts w:ascii="Consolas" w:hAnsi="Consolas" w:eastAsia="宋体"/>
      <w:sz w:val="22"/>
    </w:rPr>
  </w:style>
  <w:style w:type="character" w:customStyle="1" w:styleId="80">
    <w:name w:val="InformationTok"/>
    <w:basedOn w:val="50"/>
    <w:qFormat/>
    <w:uiPriority w:val="0"/>
    <w:rPr>
      <w:rFonts w:ascii="Consolas" w:hAnsi="Consolas" w:eastAsia="宋体"/>
      <w:b/>
      <w:i/>
      <w:color w:val="60A0B0"/>
      <w:sz w:val="22"/>
    </w:rPr>
  </w:style>
  <w:style w:type="character" w:customStyle="1" w:styleId="81">
    <w:name w:val="WarningTok"/>
    <w:basedOn w:val="50"/>
    <w:qFormat/>
    <w:uiPriority w:val="0"/>
    <w:rPr>
      <w:rFonts w:ascii="Consolas" w:hAnsi="Consolas" w:eastAsia="宋体"/>
      <w:b/>
      <w:i/>
      <w:color w:val="60A0B0"/>
      <w:sz w:val="22"/>
    </w:rPr>
  </w:style>
  <w:style w:type="character" w:customStyle="1" w:styleId="82">
    <w:name w:val="AlertTok"/>
    <w:basedOn w:val="50"/>
    <w:qFormat/>
    <w:uiPriority w:val="0"/>
    <w:rPr>
      <w:rFonts w:ascii="Consolas" w:hAnsi="Consolas" w:eastAsia="宋体"/>
      <w:b/>
      <w:color w:val="FF0000"/>
      <w:sz w:val="22"/>
    </w:rPr>
  </w:style>
  <w:style w:type="character" w:customStyle="1" w:styleId="83">
    <w:name w:val="ErrorTok"/>
    <w:basedOn w:val="50"/>
    <w:qFormat/>
    <w:uiPriority w:val="0"/>
    <w:rPr>
      <w:rFonts w:ascii="Consolas" w:hAnsi="Consolas" w:eastAsia="宋体"/>
      <w:b/>
      <w:color w:val="FF0000"/>
      <w:sz w:val="22"/>
    </w:rPr>
  </w:style>
  <w:style w:type="character" w:customStyle="1" w:styleId="84">
    <w:name w:val="NormalTok"/>
    <w:basedOn w:val="50"/>
    <w:qFormat/>
    <w:uiPriority w:val="0"/>
    <w:rPr>
      <w:rFonts w:ascii="Consolas" w:hAnsi="Consolas" w:eastAsia="宋体"/>
      <w:sz w:val="22"/>
    </w:rPr>
  </w:style>
  <w:style w:type="character" w:customStyle="1" w:styleId="85">
    <w:name w:val="页眉 字符"/>
    <w:basedOn w:val="21"/>
    <w:link w:val="17"/>
    <w:qFormat/>
    <w:uiPriority w:val="99"/>
    <w:rPr>
      <w:sz w:val="18"/>
      <w:szCs w:val="18"/>
    </w:rPr>
  </w:style>
  <w:style w:type="character" w:customStyle="1" w:styleId="86">
    <w:name w:val="页脚 字符"/>
    <w:basedOn w:val="21"/>
    <w:link w:val="16"/>
    <w:qFormat/>
    <w:uiPriority w:val="99"/>
    <w:rPr>
      <w:sz w:val="18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4714</Words>
  <Characters>5647</Characters>
  <Lines>126</Lines>
  <Paragraphs>99</Paragraphs>
  <TotalTime>343</TotalTime>
  <ScaleCrop>false</ScaleCrop>
  <LinksUpToDate>false</LinksUpToDate>
  <CharactersWithSpaces>5981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2026-09-20T17:37:00Z</dcterms:created>
  <dc:creator>业宁</dc:creator>
  <cp:lastModifiedBy>杨嘉诚</cp:lastModifiedBy>
  <dcterms:modified xsi:type="dcterms:W3CDTF">2026-09-23T15:24:19Z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KSOProductBuildVer">
    <vt:lpwstr>2052-12.1.0.28043</vt:lpwstr>
  </property>
  <property fmtid="{D5CDD505-2E9C-101B-9397-08002B2CF9AE}" pid="4" name="ICV">
    <vt:lpwstr>70AACA5CCB199B5B2BAFAF6AF0A568EE_42</vt:lpwstr>
  </property>
  <property fmtid="{D5CDD505-2E9C-101B-9397-08002B2CF9AE}" pid="5" name="KSOTemplateDocerSaveRecord">
    <vt:lpwstr>eyJoZGlkIjoiMWM2ZGFjOTFjMTMxODEyMDg4MzE3ZTFlYTU4NWUxZTMiLCJ1c2VySWQiOiIxNTM0MTIwNDAyIn0=</vt:lpwstr>
  </property>
</Properties>
</file>