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1905"/>
        <w:jc w:val="left"/>
        <w:tblLayout w:type="fixed"/>
        <w:tblLayout w:type="fixed"/>
        <w:tblCellMar>
          <w:top w:w="0" w:type="dxa"/>
          <w:left w:w="0" w:type="dxa"/>
          <w:bottom w:w="0" w:type="dxa"/>
          <w:right w:w="0" w:type="dxa"/>
        </w:tblCellMar>
        <w:tblLook w:firstColumn="1" w:firstRow="1" w:lastColumn="0" w:lastRow="0" w:noHBand="0" w:noVBand="1" w:val="04A0"/>
      </w:tblPr>
      <w:tblGrid>
        <w:gridCol w:w="1928"/>
        <w:gridCol w:w="9978"/>
      </w:tblGrid>
      <w:tr>
        <w:trPr>
          <w:trHeight w:val="3402" w:hRule="exact"/>
        </w:trPr>
        <w:tc>
          <w:tcPr>
            <w:tcW w:type="dxa" w:w="1928"/>
            <w:vMerge w:val="restart"/>
            <w:shd w:val="clear" w:color="auto" w:fill="17211E"/>
            <w:tcMar>
              <w:top w:w="1020" w:type="dxa"/>
              <w:left w:w="0" w:type="dxa"/>
              <w:bottom w:w="794" w:type="dxa"/>
              <w:right w:w="0" w:type="dxa"/>
            </w:tcMar>
            <w:textDirection w:val="btLr"/>
            <w:vAlign w:val="center"/>
          </w:tcPr>
          <w:p>
            <w:pPr>
              <w:pStyle w:val="SlabLabel"/>
            </w:pPr>
            <w:r>
              <w:t>October 2026    Northgate Freight (fictional)</w:t>
            </w:r>
          </w:p>
        </w:tc>
        <w:tc>
          <w:tcPr>
            <w:tcW w:type="dxa" w:w="9978"/>
            <w:tcMar>
              <w:top w:w="1247" w:type="dxa"/>
              <w:left w:w="794" w:type="dxa"/>
              <w:bottom w:w="0" w:type="dxa"/>
              <w:right w:w="1020" w:type="dxa"/>
            </w:tcMar>
          </w:tcPr>
          <w:p>
            <w:pPr>
              <w:pStyle w:val="Kicker"/>
            </w:pPr>
            <w:r>
              <w:t>ADVISORY REPORT  ·  ILLUSTRATIVE SAMPLE</w:t>
            </w:r>
          </w:p>
        </w:tc>
      </w:tr>
      <w:tr>
        <w:trPr>
          <w:trHeight w:val="8787" w:hRule="exact"/>
        </w:trPr>
        <w:tc>
          <w:tcPr>
            <w:tcW w:type="dxa" w:w="1928"/>
            <w:vMerge/>
          </w:tcPr>
          <w:p/>
        </w:tc>
        <w:tc>
          <w:tcPr>
            <w:tcW w:type="dxa" w:w="9978"/>
            <w:tcMar>
              <w:top w:w="0" w:type="dxa"/>
              <w:left w:w="794" w:type="dxa"/>
              <w:bottom w:w="227" w:type="dxa"/>
              <w:right w:w="1020" w:type="dxa"/>
            </w:tcMar>
            <w:vAlign w:val="bottom"/>
          </w:tcPr>
          <w:p>
            <w:pPr>
              <w:pBdr>
                <w:bottom w:val="single" w:sz="24" w:space="1" w:color="0B5D4F"/>
              </w:pBdr>
              <w:spacing w:before="0" w:after="320" w:line="20" w:lineRule="exact"/>
              <w:ind w:right="6803"/>
              <w:rPr>
                <w:sz w:val="2"/>
              </w:rPr>
            </w:pPr>
            <w:r/>
          </w:p>
          <w:p>
            <w:pPr>
              <w:pStyle w:val="Display"/>
            </w:pPr>
            <w:r>
              <w:t>Cutting the cost of the last mile</w:t>
            </w:r>
          </w:p>
          <w:p>
            <w:pPr>
              <w:pStyle w:val="Lead"/>
              <w:spacing w:before="80"/>
              <w:ind w:right="340"/>
            </w:pPr>
            <w:r>
              <w:t>Where regional delivery spend leaks, and what to change first</w:t>
            </w:r>
          </w:p>
        </w:tc>
      </w:tr>
      <w:tr>
        <w:trPr>
          <w:trHeight w:val="4535" w:hRule="exact"/>
        </w:trPr>
        <w:tc>
          <w:tcPr>
            <w:tcW w:type="dxa" w:w="1928"/>
            <w:vMerge/>
          </w:tcPr>
          <w:p/>
        </w:tc>
        <w:tc>
          <w:tcPr>
            <w:tcW w:type="dxa" w:w="9978"/>
            <w:tcMar>
              <w:top w:w="0" w:type="dxa"/>
              <w:left w:w="794" w:type="dxa"/>
              <w:bottom w:w="907" w:type="dxa"/>
              <w:right w:w="1020" w:type="dxa"/>
            </w:tcMar>
            <w:vAlign w:val="bottom"/>
          </w:tcPr>
          <w:p/>
          <w:tbl>
            <w:tblPr>
              <w:tblW w:type="dxa" w:w="8163"/>
              <w:jc w:val="left"/>
              <w:tblLayout w:type="fixed"/>
              <w:tblLayout w:type="fixed"/>
              <w:tblCellMar>
                <w:top w:w="0" w:type="dxa"/>
                <w:left w:w="0" w:type="dxa"/>
                <w:bottom w:w="0" w:type="dxa"/>
                <w:right w:w="0" w:type="dxa"/>
              </w:tblCellMar>
              <w:tblLook w:firstColumn="1" w:firstRow="1" w:lastColumn="0" w:lastRow="0" w:noHBand="0" w:noVBand="1" w:val="04A0"/>
            </w:tblPr>
            <w:tblGrid>
              <w:gridCol w:w="2041"/>
              <w:gridCol w:w="2041"/>
              <w:gridCol w:w="2041"/>
              <w:gridCol w:w="2041"/>
            </w:tblGrid>
            <w:tr>
              <w:tc>
                <w:tcPr>
                  <w:tcW w:type="dxa" w:w="2041"/>
                  <w:tcBorders>
                    <w:top w:val="single" w:sz="8" w:color="17211E" w:space="0"/>
                    <w:left w:val="nil"/>
                    <w:bottom w:val="nil"/>
                    <w:right w:val="nil"/>
                  </w:tcBorders>
                  <w:tcMar>
                    <w:top w:w="142" w:type="dxa"/>
                    <w:left w:w="0" w:type="dxa"/>
                    <w:bottom w:w="0" w:type="dxa"/>
                    <w:right w:w="170" w:type="dxa"/>
                  </w:tcMar>
                </w:tcPr>
                <w:p>
                  <w:pPr>
                    <w:pStyle w:val="Label"/>
                  </w:pPr>
                  <w:r>
                    <w:t>Prepared for</w:t>
                  </w:r>
                </w:p>
                <w:p>
                  <w:pPr>
                    <w:pStyle w:val="Meta"/>
                  </w:pPr>
                  <w:r>
                    <w:t>Northgate Freight (fictional)</w:t>
                  </w:r>
                </w:p>
              </w:tc>
              <w:tc>
                <w:tcPr>
                  <w:tcW w:type="dxa" w:w="2041"/>
                  <w:tcBorders>
                    <w:top w:val="single" w:sz="8" w:color="17211E" w:space="0"/>
                    <w:left w:val="nil"/>
                    <w:bottom w:val="nil"/>
                    <w:right w:val="nil"/>
                  </w:tcBorders>
                  <w:tcMar>
                    <w:top w:w="142" w:type="dxa"/>
                    <w:left w:w="0" w:type="dxa"/>
                    <w:bottom w:w="0" w:type="dxa"/>
                    <w:right w:w="170" w:type="dxa"/>
                  </w:tcMar>
                </w:tcPr>
                <w:p>
                  <w:pPr>
                    <w:pStyle w:val="Label"/>
                  </w:pPr>
                  <w:r>
                    <w:t>Prepared by</w:t>
                  </w:r>
                </w:p>
                <w:p>
                  <w:pPr>
                    <w:pStyle w:val="Meta"/>
                  </w:pPr>
                  <w:r>
                    <w:t>Illustrative Advisory Group</w:t>
                  </w:r>
                </w:p>
              </w:tc>
              <w:tc>
                <w:tcPr>
                  <w:tcW w:type="dxa" w:w="2041"/>
                  <w:tcBorders>
                    <w:top w:val="single" w:sz="8" w:color="17211E" w:space="0"/>
                    <w:left w:val="nil"/>
                    <w:bottom w:val="nil"/>
                    <w:right w:val="nil"/>
                  </w:tcBorders>
                  <w:tcMar>
                    <w:top w:w="142" w:type="dxa"/>
                    <w:left w:w="0" w:type="dxa"/>
                    <w:bottom w:w="0" w:type="dxa"/>
                    <w:right w:w="170" w:type="dxa"/>
                  </w:tcMar>
                </w:tcPr>
                <w:p>
                  <w:pPr>
                    <w:pStyle w:val="Label"/>
                  </w:pPr>
                  <w:r>
                    <w:t>Date</w:t>
                  </w:r>
                </w:p>
                <w:p>
                  <w:pPr>
                    <w:pStyle w:val="Meta"/>
                  </w:pPr>
                  <w:r>
                    <w:t>October 2026</w:t>
                  </w:r>
                </w:p>
              </w:tc>
              <w:tc>
                <w:tcPr>
                  <w:tcW w:type="dxa" w:w="2041"/>
                  <w:tcBorders>
                    <w:top w:val="single" w:sz="8" w:color="17211E" w:space="0"/>
                    <w:left w:val="nil"/>
                    <w:bottom w:val="nil"/>
                    <w:right w:val="nil"/>
                  </w:tcBorders>
                  <w:tcMar>
                    <w:top w:w="142" w:type="dxa"/>
                    <w:left w:w="0" w:type="dxa"/>
                    <w:bottom w:w="0" w:type="dxa"/>
                    <w:right w:w="170" w:type="dxa"/>
                  </w:tcMar>
                </w:tcPr>
                <w:p>
                  <w:pPr>
                    <w:pStyle w:val="Label"/>
                  </w:pPr>
                  <w:r>
                    <w:t>Version</w:t>
                  </w:r>
                </w:p>
                <w:p>
                  <w:pPr>
                    <w:pStyle w:val="Meta"/>
                  </w:pPr>
                  <w:r>
                    <w:t>Draft 1.0</w:t>
                  </w:r>
                </w:p>
              </w:tc>
            </w:tr>
          </w:tbl>
          <w:p/>
          <w:p>
            <w:pPr>
              <w:spacing w:before="0" w:after="0" w:line="20" w:lineRule="exact"/>
              <w:rPr>
                <w:sz w:val="2"/>
              </w:rPr>
            </w:pPr>
          </w:p>
        </w:tc>
      </w:tr>
    </w:tbl>
    <w:p>
      <w:pPr>
        <w:spacing w:before="0" w:after="0" w:line="20" w:lineRule="exact"/>
        <w:sectPr>
          <w:headerReference w:type="default" r:id="rId9"/>
          <w:footerReference w:type="default" r:id="rId10"/>
          <w:pgSz w:w="11906" w:h="16838"/>
          <w:pgMar w:top="0" w:right="0" w:bottom="0" w:left="0" w:header="0" w:footer="0" w:gutter="0"/>
          <w:cols w:num="1" w:space="453"/>
          <w:docGrid w:linePitch="360"/>
        </w:sectPr>
      </w:pPr>
    </w:p>
    <w:tbl>
      <w:tblPr>
        <w:tblW w:type="dxa" w:w="9637"/>
        <w:jc w:val="left"/>
        <w:tblLayout w:type="fixed"/>
        <w:tblLayout w:type="fixed"/>
        <w:tblCellMar>
          <w:top w:w="0" w:type="dxa"/>
          <w:left w:w="0" w:type="dxa"/>
          <w:bottom w:w="0" w:type="dxa"/>
          <w:right w:w="0" w:type="dxa"/>
        </w:tblCellMar>
        <w:tblLook w:firstColumn="1" w:firstRow="1" w:lastColumn="0" w:lastRow="0" w:noHBand="0" w:noVBand="1" w:val="04A0"/>
      </w:tblPr>
      <w:tblGrid>
        <w:gridCol w:w="2948"/>
        <w:gridCol w:w="6690"/>
      </w:tblGrid>
      <w:tr>
        <w:tc>
          <w:tcPr>
            <w:tcW w:type="dxa" w:w="2948"/>
            <w:tcMar>
              <w:top w:w="0" w:type="dxa"/>
              <w:left w:w="0" w:type="dxa"/>
              <w:bottom w:w="0" w:type="dxa"/>
              <w:right w:w="340" w:type="dxa"/>
            </w:tcMar>
          </w:tcPr>
          <w:p>
            <w:pPr>
              <w:pStyle w:val="Heading1"/>
            </w:pPr>
            <w:r>
              <w:t>Contents</w:t>
            </w:r>
          </w:p>
          <w:p>
            <w:pPr>
              <w:pBdr>
                <w:bottom w:val="single" w:sz="24" w:space="1" w:color="0B5D4F"/>
              </w:pBdr>
              <w:spacing w:before="0" w:after="280" w:line="20" w:lineRule="exact"/>
              <w:ind w:right="1361"/>
              <w:rPr>
                <w:sz w:val="2"/>
              </w:rPr>
            </w:pPr>
            <w:r/>
          </w:p>
          <w:p>
            <w:pPr>
              <w:pStyle w:val="Note"/>
              <w:spacing w:before="200"/>
            </w:pPr>
            <w:r>
              <w:t>All company names, figures and sources in this sample are invented to demonstrate the layouts.</w:t>
            </w:r>
          </w:p>
        </w:tc>
        <w:tc>
          <w:tcPr>
            <w:tcW w:type="dxa" w:w="6690"/>
            <w:tcMar>
              <w:top w:w="0" w:type="dxa"/>
              <w:left w:w="340" w:type="dxa"/>
              <w:bottom w:w="0" w:type="dxa"/>
              <w:right w:w="0" w:type="dxa"/>
            </w:tcMar>
          </w:tcPr>
          <w:p>
            <w:pPr>
              <w:pStyle w:val="Toc1"/>
              <w:tabs>
                <w:tab w:pos="6350" w:val="right" w:leader="dot"/>
              </w:tabs>
              <w:spacing w:before="160"/>
            </w:pPr>
            <w:r/>
            <w:r>
              <w:t>Executive summary</w:t>
            </w:r>
            <w:r>
              <w:tab/>
              <w:t>3</w:t>
            </w:r>
          </w:p>
          <w:p>
            <w:pPr>
              <w:pStyle w:val="Toc1"/>
              <w:tabs>
                <w:tab w:pos="6350" w:val="right" w:leader="dot"/>
              </w:tabs>
            </w:pPr>
            <w:r/>
            <w:r>
              <w:rPr>
                <w:color w:val="0B5D4F"/>
              </w:rPr>
              <w:t xml:space="preserve">01   </w:t>
            </w:r>
            <w:r>
              <w:t>Where the network stands</w:t>
            </w:r>
            <w:r>
              <w:tab/>
              <w:t>4</w:t>
            </w:r>
          </w:p>
          <w:p>
            <w:pPr>
              <w:pStyle w:val="Toc2"/>
              <w:tabs>
                <w:tab w:pos="6350" w:val="right" w:leader="dot"/>
              </w:tabs>
            </w:pPr>
            <w:r>
              <w:t>A network built for yesterday's volumes</w:t>
            </w:r>
            <w:r>
              <w:tab/>
              <w:t>5</w:t>
            </w:r>
          </w:p>
          <w:p>
            <w:pPr>
              <w:pStyle w:val="Toc2"/>
              <w:tabs>
                <w:tab w:pos="6350" w:val="right" w:leader="dot"/>
              </w:tabs>
            </w:pPr>
            <w:r>
              <w:t>Density is the main cost lever</w:t>
            </w:r>
            <w:r>
              <w:tab/>
              <w:t>6</w:t>
            </w:r>
          </w:p>
          <w:p>
            <w:pPr>
              <w:pStyle w:val="Toc1"/>
              <w:tabs>
                <w:tab w:pos="6350" w:val="right" w:leader="dot"/>
              </w:tabs>
            </w:pPr>
            <w:r/>
            <w:r>
              <w:rPr>
                <w:color w:val="0B5D4F"/>
              </w:rPr>
              <w:t xml:space="preserve">02   </w:t>
            </w:r>
            <w:r>
              <w:t>What is driving the cost</w:t>
            </w:r>
            <w:r>
              <w:tab/>
              <w:t>7</w:t>
            </w:r>
          </w:p>
          <w:p>
            <w:pPr>
              <w:pStyle w:val="Toc2"/>
              <w:tabs>
                <w:tab w:pos="6350" w:val="right" w:leader="dot"/>
              </w:tabs>
            </w:pPr>
            <w:r>
              <w:t>Three mechanisms behind the gap</w:t>
            </w:r>
            <w:r>
              <w:tab/>
              <w:t>8</w:t>
            </w:r>
          </w:p>
          <w:p>
            <w:pPr>
              <w:pStyle w:val="Toc2"/>
              <w:tabs>
                <w:tab w:pos="6350" w:val="right" w:leader="dot"/>
              </w:tabs>
            </w:pPr>
            <w:r>
              <w:t>Depot-by-depot performance</w:t>
            </w:r>
            <w:r>
              <w:tab/>
              <w:t>9</w:t>
            </w:r>
          </w:p>
          <w:p>
            <w:pPr>
              <w:pStyle w:val="Toc2"/>
              <w:tabs>
                <w:tab w:pos="6350" w:val="right" w:leader="dot"/>
              </w:tabs>
            </w:pPr>
            <w:r>
              <w:t>Findings and recommendations</w:t>
            </w:r>
            <w:r>
              <w:tab/>
              <w:t>10</w:t>
            </w:r>
          </w:p>
          <w:p>
            <w:pPr>
              <w:pStyle w:val="Toc1"/>
              <w:tabs>
                <w:tab w:pos="6350" w:val="right" w:leader="dot"/>
              </w:tabs>
              <w:spacing w:before="160"/>
            </w:pPr>
            <w:r/>
            <w:r>
              <w:t>References</w:t>
            </w:r>
            <w:r>
              <w:tab/>
              <w:t>11</w:t>
            </w:r>
          </w:p>
          <w:p>
            <w:pPr>
              <w:pStyle w:val="Toc1"/>
              <w:tabs>
                <w:tab w:pos="6350" w:val="right" w:leader="dot"/>
              </w:tabs>
              <w:spacing w:before="160"/>
            </w:pPr>
            <w:r/>
            <w:r>
              <w:t>Appendix A — Method and data quality</w:t>
            </w:r>
            <w:r>
              <w:tab/>
              <w:t>12</w:t>
            </w:r>
          </w:p>
        </w:tc>
      </w:tr>
    </w:tbl>
    <w:p>
      <w:pPr>
        <w:spacing w:before="0" w:after="0" w:line="20" w:lineRule="exact"/>
        <w:sectPr>
          <w:headerReference w:type="default" r:id="rId11"/>
          <w:footerReference w:type="default" r:id="rId12"/>
          <w:pgSz w:w="11906" w:h="16838"/>
          <w:pgMar w:top="1361" w:right="1020" w:bottom="1134" w:left="1247" w:header="624" w:footer="567" w:gutter="0"/>
          <w:cols w:num="1" w:space="453"/>
          <w:docGrid w:linePitch="360"/>
        </w:sectPr>
      </w:pPr>
    </w:p>
    <w:tbl>
      <w:tblPr>
        <w:tblW w:type="dxa" w:w="9637"/>
        <w:jc w:val="left"/>
        <w:tblLayout w:type="fixed"/>
        <w:tblLayout w:type="fixed"/>
        <w:tblCellMar>
          <w:top w:w="0" w:type="dxa"/>
          <w:left w:w="0" w:type="dxa"/>
          <w:bottom w:w="0" w:type="dxa"/>
          <w:right w:w="0" w:type="dxa"/>
        </w:tblCellMar>
        <w:tblLook w:firstColumn="1" w:firstRow="1" w:lastColumn="0" w:lastRow="0" w:noHBand="0" w:noVBand="1" w:val="04A0"/>
      </w:tblPr>
      <w:tblGrid>
        <w:gridCol w:w="2948"/>
        <w:gridCol w:w="6690"/>
      </w:tblGrid>
      <w:tr>
        <w:trPr>
          <w:trHeight w:val="13890" w:hRule="atLeast"/>
        </w:trPr>
        <w:tc>
          <w:tcPr>
            <w:tcW w:type="dxa" w:w="2948"/>
            <w:shd w:val="clear" w:color="auto" w:fill="0B5D4F"/>
            <w:tcMar>
              <w:top w:w="567" w:type="dxa"/>
              <w:left w:w="340" w:type="dxa"/>
              <w:bottom w:w="454" w:type="dxa"/>
              <w:right w:w="340" w:type="dxa"/>
            </w:tcMar>
          </w:tcPr>
          <w:p>
            <w:pPr>
              <w:pStyle w:val="SlabLabel"/>
              <w:spacing w:after="200"/>
            </w:pPr>
            <w:r>
              <w:t>At a glance</w:t>
            </w:r>
          </w:p>
          <w:p>
            <w:pPr>
              <w:pStyle w:val="SlabNum"/>
            </w:pPr>
            <w:r/>
            <w:r>
              <w:t>11</w:t>
            </w:r>
            <w:r>
              <w:rPr>
                <w:sz w:val="28"/>
              </w:rPr>
              <w:t>%</w:t>
            </w:r>
          </w:p>
          <w:p>
            <w:pPr>
              <w:pStyle w:val="SlabText"/>
            </w:pPr>
            <w:r>
              <w:t>Projected reduction in cost per parcel (central case)</w:t>
            </w:r>
          </w:p>
          <w:p>
            <w:pPr>
              <w:pStyle w:val="SlabNum"/>
            </w:pPr>
            <w:r/>
            <w:r>
              <w:t>4.2</w:t>
            </w:r>
            <w:r>
              <w:rPr>
                <w:sz w:val="28"/>
              </w:rPr>
              <w:t>M</w:t>
            </w:r>
          </w:p>
          <w:p>
            <w:pPr>
              <w:pStyle w:val="SlabText"/>
            </w:pPr>
            <w:r>
              <w:t>Annual saving in illustrative currency units</w:t>
            </w:r>
          </w:p>
          <w:p>
            <w:pPr>
              <w:pStyle w:val="SlabNum"/>
            </w:pPr>
            <w:r/>
            <w:r>
              <w:t>9</w:t>
            </w:r>
            <w:r>
              <w:rPr>
                <w:sz w:val="28"/>
              </w:rPr>
              <w:t xml:space="preserve"> mo</w:t>
            </w:r>
          </w:p>
          <w:p>
            <w:pPr>
              <w:pStyle w:val="SlabText"/>
            </w:pPr>
            <w:r>
              <w:t>Payback on one-off investment</w:t>
            </w:r>
          </w:p>
        </w:tc>
        <w:tc>
          <w:tcPr>
            <w:tcW w:type="dxa" w:w="6690"/>
            <w:tcMar>
              <w:top w:w="0" w:type="dxa"/>
              <w:left w:w="567" w:type="dxa"/>
              <w:bottom w:w="0" w:type="dxa"/>
              <w:right w:w="0" w:type="dxa"/>
            </w:tcMar>
          </w:tcPr>
          <w:p>
            <w:pPr>
              <w:pStyle w:val="Kicker"/>
            </w:pPr>
            <w:r>
              <w:t>Summary</w:t>
            </w:r>
          </w:p>
          <w:p>
            <w:pPr>
              <w:pStyle w:val="Heading1"/>
            </w:pPr>
            <w:r>
              <w:t>Executive summary</w:t>
            </w:r>
          </w:p>
          <w:p>
            <w:pPr>
              <w:pBdr>
                <w:bottom w:val="single" w:sz="24" w:space="1" w:color="0B5D4F"/>
              </w:pBdr>
              <w:spacing w:before="0" w:after="280" w:line="20" w:lineRule="exact"/>
              <w:ind w:right="4876"/>
              <w:rPr>
                <w:sz w:val="2"/>
              </w:rPr>
            </w:pPr>
            <w:r/>
          </w:p>
          <w:p>
            <w:pPr>
              <w:pStyle w:val="Lead"/>
            </w:pPr>
            <w:r>
              <w:t>Northgate can lower cost per delivered parcel by roughly 11% within 12 months, without cutting service levels, by fixing three things in order: route density, depot dwell time and carrier mix.</w:t>
            </w:r>
          </w:p>
          <w:p>
            <w:pPr>
              <w:pBdr>
                <w:top w:val="single" w:sz="4" w:space="6" w:color="B9BFBB"/>
              </w:pBdr>
              <w:tabs>
                <w:tab w:pos="567" w:val="left"/>
              </w:tabs>
              <w:spacing w:before="80"/>
              <w:ind w:left="567" w:hanging="567"/>
            </w:pPr>
            <w:r/>
            <w:r>
              <w:rPr>
                <w:rFonts w:ascii="IBM Plex Sans" w:hAnsi="IBM Plex Sans"/>
                <w:b/>
                <w:color w:val="0B5D4F"/>
                <w:sz w:val="16"/>
              </w:rPr>
              <w:t>01</w:t>
            </w:r>
            <w:r>
              <w:tab/>
            </w:r>
            <w:r>
              <w:rPr>
                <w:b/>
              </w:rPr>
              <w:t>Density, not distance, drives cost.</w:t>
            </w:r>
            <w:r>
              <w:t xml:space="preserve"> Routes below 62 stops per round account for 38% of mileage but only 21% of volume.</w:t>
            </w:r>
            <w:r>
              <w:rPr>
                <w:rFonts w:ascii="IBM Plex Sans" w:hAnsi="IBM Plex Sans" w:cs="IBM Plex Sans" w:eastAsia="IBM Plex Sans"/>
                <w:vertAlign w:val="superscript"/>
              </w:rPr>
              <w:t>1</w:t>
            </w:r>
          </w:p>
          <w:p>
            <w:pPr>
              <w:pBdr>
                <w:top w:val="single" w:sz="4" w:space="6" w:color="B9BFBB"/>
              </w:pBdr>
              <w:tabs>
                <w:tab w:pos="567" w:val="left"/>
              </w:tabs>
              <w:spacing w:before="80"/>
              <w:ind w:left="567" w:hanging="567"/>
            </w:pPr>
            <w:r/>
            <w:r>
              <w:rPr>
                <w:rFonts w:ascii="IBM Plex Sans" w:hAnsi="IBM Plex Sans"/>
                <w:b/>
                <w:color w:val="0B5D4F"/>
                <w:sz w:val="16"/>
              </w:rPr>
              <w:t>02</w:t>
            </w:r>
            <w:r>
              <w:tab/>
            </w:r>
            <w:r>
              <w:rPr>
                <w:b/>
              </w:rPr>
              <w:t>Dwell time is the hidden queue.</w:t>
            </w:r>
            <w:r>
              <w:t xml:space="preserve"> Median parcels wait 5.3 hours between arrival and van loading at the three largest depots.</w:t>
            </w:r>
            <w:r>
              <w:rPr>
                <w:rFonts w:ascii="IBM Plex Sans" w:hAnsi="IBM Plex Sans" w:cs="IBM Plex Sans" w:eastAsia="IBM Plex Sans"/>
                <w:vertAlign w:val="superscript"/>
              </w:rPr>
              <w:t>2</w:t>
            </w:r>
          </w:p>
          <w:p>
            <w:pPr>
              <w:pBdr>
                <w:top w:val="single" w:sz="4" w:space="6" w:color="B9BFBB"/>
              </w:pBdr>
              <w:tabs>
                <w:tab w:pos="567" w:val="left"/>
              </w:tabs>
              <w:spacing w:before="80"/>
              <w:ind w:left="567" w:hanging="567"/>
            </w:pPr>
            <w:r/>
            <w:r>
              <w:rPr>
                <w:rFonts w:ascii="IBM Plex Sans" w:hAnsi="IBM Plex Sans"/>
                <w:b/>
                <w:color w:val="0B5D4F"/>
                <w:sz w:val="16"/>
              </w:rPr>
              <w:t>03</w:t>
            </w:r>
            <w:r>
              <w:tab/>
            </w:r>
            <w:r>
              <w:rPr>
                <w:b/>
              </w:rPr>
              <w:t>Carrier mix is out of balance.</w:t>
            </w:r>
            <w:r>
              <w:t xml:space="preserve"> Third-party carriers cover 24% of volume at a unit cost 17% above in-house rounds on comparable routes.</w:t>
            </w:r>
            <w:r>
              <w:rPr>
                <w:rFonts w:ascii="IBM Plex Sans" w:hAnsi="IBM Plex Sans" w:cs="IBM Plex Sans" w:eastAsia="IBM Plex Sans"/>
                <w:vertAlign w:val="superscript"/>
              </w:rPr>
              <w:t>3</w:t>
            </w:r>
          </w:p>
          <w:p>
            <w:pPr>
              <w:pBdr>
                <w:top w:val="single" w:sz="4" w:space="6" w:color="B9BFBB"/>
              </w:pBdr>
              <w:tabs>
                <w:tab w:pos="567" w:val="left"/>
              </w:tabs>
              <w:spacing w:before="80"/>
              <w:ind w:left="567" w:hanging="567"/>
            </w:pPr>
            <w:r/>
            <w:r>
              <w:rPr>
                <w:rFonts w:ascii="IBM Plex Sans" w:hAnsi="IBM Plex Sans"/>
                <w:b/>
                <w:color w:val="0B5D4F"/>
                <w:sz w:val="16"/>
              </w:rPr>
              <w:t>04</w:t>
            </w:r>
            <w:r>
              <w:tab/>
            </w:r>
            <w:r>
              <w:rPr>
                <w:b/>
              </w:rPr>
              <w:t>Sequencing matters.</w:t>
            </w:r>
            <w:r>
              <w:t xml:space="preserve"> Dwell-time fixes unlock capacity that makes the density redesign cheaper to deliver.</w:t>
            </w:r>
          </w:p>
          <w:p>
            <w:pPr>
              <w:pStyle w:val="Label"/>
              <w:keepNext/>
              <w:pBdr>
                <w:left w:val="single" w:sz="24" w:space="8" w:color="0B5D4F"/>
              </w:pBdr>
              <w:spacing w:before="120"/>
              <w:ind w:left="283"/>
            </w:pPr>
            <w:r>
              <w:t>Decision</w:t>
            </w:r>
          </w:p>
          <w:p>
            <w:pPr>
              <w:pStyle w:val="Callout"/>
              <w:pBdr>
                <w:left w:val="single" w:sz="24" w:space="8" w:color="0B5D4F"/>
              </w:pBdr>
              <w:ind w:left="283"/>
            </w:pPr>
            <w:r>
              <w:t>Decisions requested: approve the Phase 1 pilot at two depots, release the routing-software budget, and agree the carrier renegotiation mandate.</w:t>
            </w:r>
          </w:p>
        </w:tc>
      </w:tr>
    </w:tbl>
    <w:p>
      <w:pPr>
        <w:spacing w:before="0" w:after="0" w:line="20" w:lineRule="exact"/>
        <w:sectPr>
          <w:headerReference w:type="default" r:id="rId13"/>
          <w:footerReference w:type="default" r:id="rId14"/>
          <w:pgSz w:w="11906" w:h="16838"/>
          <w:pgMar w:top="1361" w:right="1020" w:bottom="1134" w:left="1247" w:header="624" w:footer="567" w:gutter="0"/>
          <w:cols w:num="1" w:space="453"/>
          <w:docGrid w:linePitch="360"/>
        </w:sectPr>
      </w:pPr>
    </w:p>
    <w:tbl>
      <w:tblPr>
        <w:tblW w:type="dxa" w:w="9637"/>
        <w:jc w:val="left"/>
        <w:tblLayout w:type="fixed"/>
        <w:tblLayout w:type="fixed"/>
        <w:tblCellMar>
          <w:top w:w="0" w:type="dxa"/>
          <w:left w:w="0" w:type="dxa"/>
          <w:bottom w:w="0" w:type="dxa"/>
          <w:right w:w="0" w:type="dxa"/>
        </w:tblCellMar>
        <w:tblLook w:firstColumn="1" w:firstRow="1" w:lastColumn="0" w:lastRow="0" w:noHBand="0" w:noVBand="1" w:val="04A0"/>
      </w:tblPr>
      <w:tblGrid>
        <w:gridCol w:w="794"/>
        <w:gridCol w:w="8844"/>
      </w:tblGrid>
      <w:tr>
        <w:trPr>
          <w:trHeight w:val="5386" w:hRule="exact"/>
        </w:trPr>
        <w:tc>
          <w:tcPr>
            <w:tcW w:type="dxa" w:w="794"/>
            <w:vMerge w:val="restart"/>
            <w:tcMar>
              <w:top w:w="0" w:type="dxa"/>
              <w:left w:w="0" w:type="dxa"/>
              <w:bottom w:w="0" w:type="dxa"/>
              <w:right w:w="0" w:type="dxa"/>
            </w:tcMar>
            <w:textDirection w:val="btLr"/>
            <w:vAlign w:val="bottom"/>
          </w:tcPr>
          <w:p>
            <w:pPr>
              <w:pStyle w:val="Label"/>
            </w:pPr>
            <w:r>
              <w:t>Section 01 — Baseline</w:t>
            </w:r>
          </w:p>
        </w:tc>
        <w:tc>
          <w:tcPr>
            <w:tcW w:type="dxa" w:w="8844"/>
            <w:tcMar>
              <w:top w:w="454" w:type="dxa"/>
              <w:left w:w="227" w:type="dxa"/>
              <w:bottom w:w="0" w:type="dxa"/>
              <w:right w:w="0" w:type="dxa"/>
            </w:tcMar>
          </w:tcPr>
          <w:p>
            <w:pPr>
              <w:pStyle w:val="NumXL"/>
            </w:pPr>
            <w:r>
              <w:t>01</w:t>
            </w:r>
          </w:p>
        </w:tc>
      </w:tr>
      <w:tr>
        <w:trPr>
          <w:trHeight w:val="3969" w:hRule="exact"/>
        </w:trPr>
        <w:tc>
          <w:tcPr>
            <w:tcW w:type="dxa" w:w="794"/>
            <w:vMerge/>
          </w:tcPr>
          <w:p/>
        </w:tc>
        <w:tc>
          <w:tcPr>
            <w:tcW w:type="dxa" w:w="8844"/>
            <w:tcMar>
              <w:top w:w="0" w:type="dxa"/>
              <w:left w:w="227" w:type="dxa"/>
              <w:bottom w:w="340" w:type="dxa"/>
              <w:right w:w="0" w:type="dxa"/>
            </w:tcMar>
            <w:vAlign w:val="bottom"/>
          </w:tcPr>
          <w:p>
            <w:pPr>
              <w:pBdr>
                <w:bottom w:val="single" w:sz="24" w:space="1" w:color="0B5D4F"/>
              </w:pBdr>
              <w:spacing w:before="0" w:after="280" w:line="20" w:lineRule="exact"/>
              <w:ind w:right="7370"/>
              <w:rPr>
                <w:sz w:val="2"/>
              </w:rPr>
            </w:pPr>
            <w:r/>
          </w:p>
          <w:p>
            <w:pPr>
              <w:pStyle w:val="Display"/>
            </w:pPr>
            <w:r>
              <w:t>Where the network stands</w:t>
            </w:r>
          </w:p>
        </w:tc>
      </w:tr>
      <w:tr>
        <w:trPr>
          <w:trHeight w:val="3969" w:hRule="exact"/>
        </w:trPr>
        <w:tc>
          <w:tcPr>
            <w:tcW w:type="dxa" w:w="794"/>
            <w:vMerge/>
          </w:tcPr>
          <w:p/>
        </w:tc>
        <w:tc>
          <w:tcPr>
            <w:tcW w:type="dxa" w:w="8844"/>
            <w:tcMar>
              <w:top w:w="340" w:type="dxa"/>
              <w:left w:w="227" w:type="dxa"/>
              <w:bottom w:w="0" w:type="dxa"/>
              <w:right w:w="1701" w:type="dxa"/>
            </w:tcMar>
          </w:tcPr>
          <w:p>
            <w:pPr>
              <w:pStyle w:val="Lead"/>
            </w:pPr>
            <w:r>
              <w:t>A picture of volumes, routes and unit costs across 14 depots, drawn from twelve months of operating data.</w:t>
            </w:r>
          </w:p>
        </w:tc>
      </w:tr>
    </w:tbl>
    <w:p>
      <w:pPr>
        <w:spacing w:before="0" w:after="0" w:line="20" w:lineRule="exact"/>
        <w:sectPr>
          <w:headerReference w:type="default" r:id="rId15"/>
          <w:footerReference w:type="default" r:id="rId16"/>
          <w:pgSz w:w="11906" w:h="16838"/>
          <w:pgMar w:top="1361" w:right="1020" w:bottom="1134" w:left="1247" w:header="0" w:footer="0" w:gutter="0"/>
          <w:pgBorders w:offsetFrom="page">
            <w:top w:val="single" w:sz="4" w:space="28" w:color="B9BFBB"/>
            <w:left w:val="single" w:sz="4" w:space="28" w:color="B9BFBB"/>
            <w:bottom w:val="single" w:sz="4" w:space="28" w:color="B9BFBB"/>
            <w:right w:val="single" w:sz="4" w:space="28" w:color="B9BFBB"/>
          </w:pgBorders>
          <w:cols w:num="1" w:space="453"/>
          <w:docGrid w:linePitch="360"/>
        </w:sectPr>
      </w:pPr>
    </w:p>
    <w:p>
      <w:pPr>
        <w:pStyle w:val="Kicker"/>
      </w:pPr>
      <w:r>
        <w:t>Baseline</w:t>
      </w:r>
    </w:p>
    <w:p>
      <w:pPr>
        <w:pStyle w:val="Heading1"/>
      </w:pPr>
      <w:r>
        <w:t>A network built for yesterday's volumes</w:t>
      </w:r>
    </w:p>
    <w:p>
      <w:pPr>
        <w:pBdr>
          <w:bottom w:val="single" w:sz="24" w:space="1" w:color="0B5D4F"/>
        </w:pBdr>
        <w:spacing w:before="0" w:after="280" w:line="20" w:lineRule="exact"/>
        <w:ind w:right="8391"/>
        <w:rPr>
          <w:sz w:val="2"/>
        </w:rPr>
      </w:pPr>
      <w:r/>
    </w:p>
    <w:p>
      <w:pPr>
        <w:pStyle w:val="Lead"/>
        <w:ind w:right="1984"/>
      </w:pPr>
      <w:r>
        <w:t>Northgate grew by acquisition. Its 14 depots, 212 daily rounds and five carrier contracts reflect the history of the business more than the shape of present demand.</w:t>
      </w:r>
    </w:p>
    <w:tbl>
      <w:tblPr>
        <w:tblW w:type="dxa" w:w="9637"/>
        <w:jc w:val="left"/>
        <w:tblLayout w:type="fixed"/>
        <w:tblLayout w:type="fixed"/>
        <w:tblCellMar>
          <w:top w:w="0" w:type="dxa"/>
          <w:left w:w="0" w:type="dxa"/>
          <w:bottom w:w="0" w:type="dxa"/>
          <w:right w:w="0" w:type="dxa"/>
        </w:tblCellMar>
        <w:tblLook w:firstColumn="1" w:firstRow="1" w:lastColumn="0" w:lastRow="0" w:noHBand="0" w:noVBand="1" w:val="04A0"/>
      </w:tblPr>
      <w:tblGrid>
        <w:gridCol w:w="7143"/>
        <w:gridCol w:w="2494"/>
      </w:tblGrid>
      <w:tr>
        <w:tc>
          <w:tcPr>
            <w:tcW w:type="dxa" w:w="7143"/>
            <w:tcMar>
              <w:top w:w="0" w:type="dxa"/>
              <w:left w:w="0" w:type="dxa"/>
              <w:bottom w:w="0" w:type="dxa"/>
              <w:right w:w="397" w:type="dxa"/>
            </w:tcMar>
          </w:tcPr>
          <w:p>
            <w:pPr/>
            <w:r>
              <w:t>Between 2023 and 2025 parcel volume grew 31%, while the number of rounds grew only 9%. The difference was absorbed by longer working days and by third-party carriers, which now handle roughly one parcel in four.</w:t>
            </w:r>
            <w:r>
              <w:rPr>
                <w:rFonts w:ascii="IBM Plex Sans" w:hAnsi="IBM Plex Sans" w:cs="IBM Plex Sans" w:eastAsia="IBM Plex Sans"/>
                <w:vertAlign w:val="superscript"/>
              </w:rPr>
              <w:t>1</w:t>
            </w:r>
            <w:r>
              <w:t xml:space="preserve"> Neither response is cheap. Overtime rose to 7.4% of paid hours, and the third-party rate card was last renegotiated in 2022.</w:t>
            </w:r>
          </w:p>
          <w:p>
            <w:pPr/>
            <w:r>
              <w:t>The network is not uniformly stretched. Four urban depots run dense, profitable rounds with more than 80 stops each. Eight regional depots run sparse rounds, and two coastal depots are seasonal. Averages hide this spread, which is why earlier cost reviews, which focused on network-wide benchmarks, found nothing to act on.</w:t>
            </w:r>
          </w:p>
        </w:tc>
        <w:tc>
          <w:tcPr>
            <w:tcW w:type="dxa" w:w="2494"/>
            <w:tcBorders>
              <w:top w:val="nil"/>
              <w:left w:val="single" w:sz="4" w:color="B9BFBB" w:space="0"/>
              <w:bottom w:val="nil"/>
              <w:right w:val="nil"/>
            </w:tcBorders>
            <w:tcMar>
              <w:top w:w="68" w:type="dxa"/>
              <w:left w:w="283" w:type="dxa"/>
              <w:bottom w:w="0" w:type="dxa"/>
              <w:right w:w="0" w:type="dxa"/>
            </w:tcMar>
          </w:tcPr>
          <w:p>
            <w:pPr>
              <w:pStyle w:val="Label"/>
            </w:pPr>
            <w:r>
              <w:t>Definition</w:t>
            </w:r>
          </w:p>
          <w:p>
            <w:pPr>
              <w:pStyle w:val="Note"/>
            </w:pPr>
            <w:r>
              <w:t xml:space="preserve">A </w:t>
            </w:r>
            <w:r>
              <w:rPr>
                <w:i/>
              </w:rPr>
              <w:t>round</w:t>
            </w:r>
            <w:r>
              <w:t xml:space="preserve"> is one driver's scheduled delivery run from a single depot. Figures here count rounds per weekday.</w:t>
            </w:r>
          </w:p>
          <w:p>
            <w:pPr>
              <w:pStyle w:val="Quote"/>
              <w:pBdr>
                <w:top w:val="single" w:sz="8" w:space="8" w:color="0B5D4F"/>
              </w:pBdr>
            </w:pPr>
            <w:r>
              <w:t>The average round looks fine. Almost no round is average.</w:t>
            </w:r>
          </w:p>
          <w:p>
            <w:pPr>
              <w:pStyle w:val="Label"/>
            </w:pPr>
            <w:r>
              <w:t>Interview, regional operations lead</w:t>
            </w:r>
          </w:p>
        </w:tc>
      </w:tr>
    </w:tbl>
    <w:p>
      <w:pPr>
        <w:spacing w:before="0" w:after="0" w:line="20" w:lineRule="exact"/>
        <w:rPr>
          <w:sz w:val="2"/>
        </w:rPr>
      </w:pPr>
    </w:p>
    <w:tbl>
      <w:tblPr>
        <w:tblW w:type="dxa" w:w="9637"/>
        <w:jc w:val="left"/>
        <w:tblLayout w:type="fixed"/>
        <w:tblLayout w:type="fixed"/>
        <w:tblCellMar>
          <w:top w:w="0" w:type="dxa"/>
          <w:left w:w="0" w:type="dxa"/>
          <w:bottom w:w="0" w:type="dxa"/>
          <w:right w:w="0" w:type="dxa"/>
        </w:tblCellMar>
        <w:tblLook w:firstColumn="1" w:firstRow="1" w:lastColumn="0" w:lastRow="0" w:noHBand="0" w:noVBand="1" w:val="04A0"/>
      </w:tblPr>
      <w:tblGrid>
        <w:gridCol w:w="7143"/>
        <w:gridCol w:w="2494"/>
      </w:tblGrid>
      <w:tr>
        <w:tc>
          <w:tcPr>
            <w:tcW w:type="dxa" w:w="7143"/>
            <w:tcMar>
              <w:top w:w="0" w:type="dxa"/>
              <w:left w:w="0" w:type="dxa"/>
              <w:bottom w:w="0" w:type="dxa"/>
              <w:right w:w="397" w:type="dxa"/>
            </w:tcMar>
          </w:tcPr>
          <w:p>
            <w:pPr>
              <w:pStyle w:val="Heading2"/>
              <w:keepNext w:val="0"/>
            </w:pPr>
            <w:r>
              <w:t>How the data was assembled</w:t>
            </w:r>
          </w:p>
          <w:p>
            <w:pPr/>
            <w:r>
              <w:t>Route-level data covers 1 October 2025 to 30 September 2026 and was supplied by Northgate's operations team. Cost data was matched to routes using the finance cost-centre map.</w:t>
            </w:r>
            <w:r>
              <w:rPr>
                <w:rFonts w:ascii="IBM Plex Sans" w:hAnsi="IBM Plex Sans" w:cs="IBM Plex Sans" w:eastAsia="IBM Plex Sans"/>
                <w:vertAlign w:val="superscript"/>
              </w:rPr>
              <w:t>2</w:t>
            </w:r>
            <w:r>
              <w:t xml:space="preserve"> Where a depot could not supply scan timestamps, dwell time was estimated from gate logs, and those estimates are flagged in the appendix.</w:t>
            </w:r>
          </w:p>
          <w:p>
            <w:pPr/>
            <w:r>
              <w:t>Long paragraphs, lists and subheads are expected in this layout: the text column keeps a comfortable measure, and margin notes remain beside the passage they qualify, even when a section runs onto a second page.</w:t>
            </w:r>
          </w:p>
        </w:tc>
        <w:tc>
          <w:tcPr>
            <w:tcW w:type="dxa" w:w="2494"/>
            <w:tcBorders>
              <w:top w:val="nil"/>
              <w:left w:val="single" w:sz="4" w:color="B9BFBB" w:space="0"/>
              <w:bottom w:val="nil"/>
              <w:right w:val="nil"/>
            </w:tcBorders>
            <w:tcMar>
              <w:top w:w="68" w:type="dxa"/>
              <w:left w:w="283" w:type="dxa"/>
              <w:bottom w:w="0" w:type="dxa"/>
              <w:right w:w="0" w:type="dxa"/>
            </w:tcMar>
          </w:tcPr>
          <w:p>
            <w:pPr>
              <w:pStyle w:val="Label"/>
            </w:pPr>
            <w:r>
              <w:t>Data quality</w:t>
            </w:r>
          </w:p>
          <w:p>
            <w:pPr>
              <w:pStyle w:val="Note"/>
            </w:pPr>
            <w:r>
              <w:t>Three depots reported dwell time from gate logs, not parcel scans. See Appendix A.</w:t>
            </w:r>
          </w:p>
        </w:tc>
      </w:tr>
    </w:tbl>
    <w:p>
      <w:pPr>
        <w:spacing w:before="0" w:after="0" w:line="20" w:lineRule="exact"/>
        <w:rPr>
          <w:sz w:val="2"/>
        </w:rPr>
      </w:pPr>
    </w:p>
    <w:p>
      <w:pPr>
        <w:spacing w:before="0" w:after="0" w:line="20" w:lineRule="exact"/>
        <w:sectPr>
          <w:headerReference w:type="default" r:id="rId17"/>
          <w:footerReference w:type="default" r:id="rId18"/>
          <w:pgSz w:w="11906" w:h="16838"/>
          <w:pgMar w:top="1361" w:right="1020" w:bottom="1134" w:left="1247" w:header="624" w:footer="567" w:gutter="0"/>
          <w:cols w:num="1" w:space="453"/>
          <w:docGrid w:linePitch="360"/>
        </w:sectPr>
      </w:pPr>
    </w:p>
    <w:p>
      <w:pPr>
        <w:pStyle w:val="Kicker"/>
      </w:pPr>
      <w:r>
        <w:t>Analysis</w:t>
      </w:r>
    </w:p>
    <w:p>
      <w:pPr>
        <w:pStyle w:val="Heading1"/>
      </w:pPr>
      <w:r>
        <w:t>Density is the main cost lever</w:t>
      </w:r>
    </w:p>
    <w:p>
      <w:pPr>
        <w:pBdr>
          <w:bottom w:val="single" w:sz="24" w:space="1" w:color="0B5D4F"/>
        </w:pBdr>
        <w:spacing w:before="0" w:after="280" w:line="20" w:lineRule="exact"/>
        <w:ind w:right="8391"/>
        <w:rPr>
          <w:sz w:val="2"/>
        </w:rPr>
      </w:pPr>
      <w:r/>
    </w:p>
    <w:p>
      <w:pPr>
        <w:pStyle w:val="Lead"/>
        <w:ind w:right="1984"/>
      </w:pPr>
      <w:r>
        <w:t>Stops per round varies from 41 to 94. Cost per parcel falls steeply until about 62 stops, then flattens.</w:t>
      </w:r>
    </w:p>
    <w:tbl>
      <w:tblPr>
        <w:tblW w:type="dxa" w:w="9637"/>
        <w:jc w:val="left"/>
        <w:tblLayout w:type="fixed"/>
        <w:tblLayout w:type="fixed"/>
        <w:tblCellMar>
          <w:top w:w="0" w:type="dxa"/>
          <w:left w:w="0" w:type="dxa"/>
          <w:bottom w:w="0" w:type="dxa"/>
          <w:right w:w="0" w:type="dxa"/>
        </w:tblCellMar>
        <w:tblLook w:firstColumn="1" w:firstRow="1" w:lastColumn="0" w:lastRow="0" w:noHBand="0" w:noVBand="1" w:val="04A0"/>
      </w:tblPr>
      <w:tblGrid>
        <w:gridCol w:w="2409"/>
        <w:gridCol w:w="2409"/>
        <w:gridCol w:w="2409"/>
        <w:gridCol w:w="2409"/>
      </w:tblGrid>
      <w:tr>
        <w:tc>
          <w:tcPr>
            <w:tcW w:type="dxa" w:w="2409"/>
            <w:tcBorders>
              <w:top w:val="single" w:sz="8" w:color="17211E" w:space="0"/>
              <w:left w:val="nil"/>
              <w:bottom w:val="nil"/>
              <w:right w:val="nil"/>
            </w:tcBorders>
            <w:tcMar>
              <w:top w:w="170" w:type="dxa"/>
              <w:left w:w="0" w:type="dxa"/>
              <w:bottom w:w="113" w:type="dxa"/>
              <w:right w:w="170" w:type="dxa"/>
            </w:tcMar>
          </w:tcPr>
          <w:p>
            <w:pPr>
              <w:pStyle w:val="KpiVal"/>
            </w:pPr>
            <w:r/>
            <w:r>
              <w:t>212</w:t>
            </w:r>
          </w:p>
          <w:p>
            <w:pPr>
              <w:pStyle w:val="KpiLab"/>
            </w:pPr>
            <w:r>
              <w:t>Daily rounds across 14 depots</w:t>
            </w:r>
          </w:p>
        </w:tc>
        <w:tc>
          <w:tcPr>
            <w:tcW w:type="dxa" w:w="2409"/>
            <w:tcBorders>
              <w:top w:val="single" w:sz="8" w:color="17211E" w:space="0"/>
              <w:left w:val="single" w:sz="4" w:color="B9BFBB" w:space="0"/>
              <w:bottom w:val="nil"/>
              <w:right w:val="nil"/>
            </w:tcBorders>
            <w:tcMar>
              <w:top w:w="170" w:type="dxa"/>
              <w:left w:w="227" w:type="dxa"/>
              <w:bottom w:w="113" w:type="dxa"/>
              <w:right w:w="170" w:type="dxa"/>
            </w:tcMar>
          </w:tcPr>
          <w:p>
            <w:pPr>
              <w:pStyle w:val="KpiVal"/>
            </w:pPr>
            <w:r/>
            <w:r>
              <w:rPr>
                <w:color w:val="0B5D4F"/>
              </w:rPr>
              <w:t>62</w:t>
            </w:r>
          </w:p>
          <w:p>
            <w:pPr>
              <w:pStyle w:val="KpiLab"/>
            </w:pPr>
            <w:r>
              <w:t>Stops per round: break-even density</w:t>
            </w:r>
          </w:p>
        </w:tc>
        <w:tc>
          <w:tcPr>
            <w:tcW w:type="dxa" w:w="2409"/>
            <w:tcBorders>
              <w:top w:val="single" w:sz="8" w:color="17211E" w:space="0"/>
              <w:left w:val="single" w:sz="4" w:color="B9BFBB" w:space="0"/>
              <w:bottom w:val="nil"/>
              <w:right w:val="nil"/>
            </w:tcBorders>
            <w:tcMar>
              <w:top w:w="170" w:type="dxa"/>
              <w:left w:w="227" w:type="dxa"/>
              <w:bottom w:w="113" w:type="dxa"/>
              <w:right w:w="170" w:type="dxa"/>
            </w:tcMar>
          </w:tcPr>
          <w:p>
            <w:pPr>
              <w:pStyle w:val="KpiVal"/>
            </w:pPr>
            <w:r/>
            <w:r>
              <w:t>38</w:t>
            </w:r>
            <w:r>
              <w:rPr>
                <w:sz w:val="28"/>
              </w:rPr>
              <w:t>%</w:t>
            </w:r>
          </w:p>
          <w:p>
            <w:pPr>
              <w:pStyle w:val="KpiLab"/>
            </w:pPr>
            <w:r>
              <w:t>Share of mileage on sub-62 routes</w:t>
            </w:r>
          </w:p>
        </w:tc>
        <w:tc>
          <w:tcPr>
            <w:tcW w:type="dxa" w:w="2409"/>
            <w:tcBorders>
              <w:top w:val="single" w:sz="8" w:color="17211E" w:space="0"/>
              <w:left w:val="single" w:sz="4" w:color="B9BFBB" w:space="0"/>
              <w:bottom w:val="nil"/>
              <w:right w:val="nil"/>
            </w:tcBorders>
            <w:tcMar>
              <w:top w:w="170" w:type="dxa"/>
              <w:left w:w="227" w:type="dxa"/>
              <w:bottom w:w="113" w:type="dxa"/>
              <w:right w:w="170" w:type="dxa"/>
            </w:tcMar>
          </w:tcPr>
          <w:p>
            <w:pPr>
              <w:pStyle w:val="KpiVal"/>
            </w:pPr>
            <w:r/>
            <w:r>
              <w:t>7.4</w:t>
            </w:r>
            <w:r>
              <w:rPr>
                <w:sz w:val="28"/>
              </w:rPr>
              <w:t>%</w:t>
            </w:r>
          </w:p>
          <w:p>
            <w:pPr>
              <w:pStyle w:val="KpiLab"/>
            </w:pPr>
            <w:r>
              <w:t>Overtime as share of paid hours</w:t>
            </w:r>
          </w:p>
        </w:tc>
      </w:tr>
    </w:tbl>
    <w:p>
      <w:pPr>
        <w:spacing w:before="0" w:after="200" w:line="20" w:lineRule="exact"/>
        <w:rPr>
          <w:sz w:val="2"/>
        </w:rPr>
      </w:pPr>
    </w:p>
    <w:p>
      <w:pPr>
        <w:pStyle w:val="FigLabel"/>
      </w:pPr>
      <w:r>
        <w:t>Figure 1  —  Cost per parcel by stops per round</w:t>
      </w:r>
    </w:p>
    <w:p>
      <w:pPr>
        <w:keepNext/>
        <w:spacing w:after="0"/>
      </w:pPr>
      <w:r/>
      <w:r>
        <w:drawing>
          <wp:inline xmlns:a="http://schemas.openxmlformats.org/drawingml/2006/main" xmlns:pic="http://schemas.openxmlformats.org/drawingml/2006/picture">
            <wp:extent cx="6120000" cy="2015604"/>
            <wp:docPr id="1" name="Picture 1"/>
            <wp:cNvGraphicFramePr>
              <a:graphicFrameLocks noChangeAspect="1"/>
            </wp:cNvGraphicFramePr>
            <a:graphic>
              <a:graphicData uri="http://schemas.openxmlformats.org/drawingml/2006/picture">
                <pic:pic>
                  <pic:nvPicPr>
                    <pic:cNvPr id="0" name="_chart_1.png"/>
                    <pic:cNvPicPr/>
                  </pic:nvPicPr>
                  <pic:blipFill>
                    <a:blip r:embed="rId21"/>
                    <a:stretch>
                      <a:fillRect/>
                    </a:stretch>
                  </pic:blipFill>
                  <pic:spPr>
                    <a:xfrm>
                      <a:off x="0" y="0"/>
                      <a:ext cx="6120000" cy="2015604"/>
                    </a:xfrm>
                    <a:prstGeom prst="rect"/>
                  </pic:spPr>
                </pic:pic>
              </a:graphicData>
            </a:graphic>
          </wp:inline>
        </w:drawing>
      </w:r>
    </w:p>
    <w:p>
      <w:pPr>
        <w:pStyle w:val="Caption"/>
      </w:pPr>
      <w:r>
        <w:t>Source: Illustrative data, Northgate route log (invented for this sample).</w:t>
      </w:r>
    </w:p>
    <w:p>
      <w:pPr>
        <w:pStyle w:val="FigLabel"/>
      </w:pPr>
      <w:r>
        <w:t>Table 1  —  Round profile by depot group</w:t>
      </w:r>
    </w:p>
    <w:tbl>
      <w:tblPr>
        <w:tblW w:type="dxa" w:w="9637"/>
        <w:jc w:val="left"/>
        <w:tblLayout w:type="fixed"/>
        <w:tblLayout w:type="fixed"/>
        <w:tblCellMar>
          <w:top w:w="0" w:type="dxa"/>
          <w:left w:w="0" w:type="dxa"/>
          <w:bottom w:w="0" w:type="dxa"/>
          <w:right w:w="0" w:type="dxa"/>
        </w:tblCellMar>
        <w:tblLook w:firstColumn="1" w:firstRow="1" w:lastColumn="0" w:lastRow="0" w:noHBand="0" w:noVBand="1" w:val="04A0"/>
      </w:tblPr>
      <w:tblGrid>
        <w:gridCol w:w="2798"/>
        <w:gridCol w:w="933"/>
        <w:gridCol w:w="933"/>
        <w:gridCol w:w="1865"/>
        <w:gridCol w:w="1865"/>
        <w:gridCol w:w="1244"/>
      </w:tblGrid>
      <w:tr>
        <w:trPr>
          <w:cantSplit/>
          <w:tblHeader/>
        </w:trPr>
        <w:tc>
          <w:tcPr>
            <w:tcW w:type="dxa" w:w="2798"/>
            <w:tcBorders>
              <w:top w:val="single" w:sz="8" w:color="17211E" w:space="0"/>
              <w:left w:val="nil"/>
              <w:bottom w:val="single" w:sz="8" w:color="17211E" w:space="0"/>
              <w:right w:val="nil"/>
            </w:tcBorders>
            <w:tcMar>
              <w:top w:w="108" w:type="dxa"/>
              <w:left w:w="0" w:type="dxa"/>
              <w:bottom w:w="108" w:type="dxa"/>
              <w:right w:w="85" w:type="dxa"/>
            </w:tcMar>
            <w:vAlign w:val="bottom"/>
          </w:tcPr>
          <w:p>
            <w:pPr>
              <w:pStyle w:val="TblHead"/>
              <w:jc w:val="left"/>
            </w:pPr>
            <w:r>
              <w:t>Depot group</w:t>
            </w:r>
          </w:p>
        </w:tc>
        <w:tc>
          <w:tcPr>
            <w:tcW w:type="dxa" w:w="933"/>
            <w:tcBorders>
              <w:top w:val="single" w:sz="8" w:color="17211E" w:space="0"/>
              <w:left w:val="nil"/>
              <w:bottom w:val="single" w:sz="8" w:color="17211E" w:space="0"/>
              <w:right w:val="nil"/>
            </w:tcBorders>
            <w:tcMar>
              <w:top w:w="108" w:type="dxa"/>
              <w:left w:w="85" w:type="dxa"/>
              <w:bottom w:w="108" w:type="dxa"/>
              <w:right w:w="85" w:type="dxa"/>
            </w:tcMar>
            <w:vAlign w:val="bottom"/>
          </w:tcPr>
          <w:p>
            <w:pPr>
              <w:pStyle w:val="TblHead"/>
              <w:jc w:val="right"/>
            </w:pPr>
            <w:r>
              <w:t>Depots</w:t>
            </w:r>
          </w:p>
        </w:tc>
        <w:tc>
          <w:tcPr>
            <w:tcW w:type="dxa" w:w="933"/>
            <w:tcBorders>
              <w:top w:val="single" w:sz="8" w:color="17211E" w:space="0"/>
              <w:left w:val="nil"/>
              <w:bottom w:val="single" w:sz="8" w:color="17211E" w:space="0"/>
              <w:right w:val="nil"/>
            </w:tcBorders>
            <w:tcMar>
              <w:top w:w="108" w:type="dxa"/>
              <w:left w:w="85" w:type="dxa"/>
              <w:bottom w:w="108" w:type="dxa"/>
              <w:right w:w="85" w:type="dxa"/>
            </w:tcMar>
            <w:vAlign w:val="bottom"/>
          </w:tcPr>
          <w:p>
            <w:pPr>
              <w:pStyle w:val="TblHead"/>
              <w:jc w:val="right"/>
            </w:pPr>
            <w:r>
              <w:t>Rounds</w:t>
            </w:r>
          </w:p>
        </w:tc>
        <w:tc>
          <w:tcPr>
            <w:tcW w:type="dxa" w:w="1865"/>
            <w:tcBorders>
              <w:top w:val="single" w:sz="8" w:color="17211E" w:space="0"/>
              <w:left w:val="nil"/>
              <w:bottom w:val="single" w:sz="8" w:color="17211E" w:space="0"/>
              <w:right w:val="nil"/>
            </w:tcBorders>
            <w:tcMar>
              <w:top w:w="108" w:type="dxa"/>
              <w:left w:w="85" w:type="dxa"/>
              <w:bottom w:w="108" w:type="dxa"/>
              <w:right w:w="85" w:type="dxa"/>
            </w:tcMar>
            <w:vAlign w:val="bottom"/>
          </w:tcPr>
          <w:p>
            <w:pPr>
              <w:pStyle w:val="TblHead"/>
              <w:jc w:val="right"/>
            </w:pPr>
            <w:r>
              <w:t>Stops / round</w:t>
            </w:r>
          </w:p>
        </w:tc>
        <w:tc>
          <w:tcPr>
            <w:tcW w:type="dxa" w:w="1865"/>
            <w:tcBorders>
              <w:top w:val="single" w:sz="8" w:color="17211E" w:space="0"/>
              <w:left w:val="nil"/>
              <w:bottom w:val="single" w:sz="8" w:color="17211E" w:space="0"/>
              <w:right w:val="nil"/>
            </w:tcBorders>
            <w:tcMar>
              <w:top w:w="108" w:type="dxa"/>
              <w:left w:w="85" w:type="dxa"/>
              <w:bottom w:w="108" w:type="dxa"/>
              <w:right w:w="85" w:type="dxa"/>
            </w:tcMar>
            <w:vAlign w:val="bottom"/>
          </w:tcPr>
          <w:p>
            <w:pPr>
              <w:pStyle w:val="TblHead"/>
              <w:jc w:val="right"/>
            </w:pPr>
            <w:r>
              <w:t>Cost / parcel</w:t>
            </w:r>
          </w:p>
        </w:tc>
        <w:tc>
          <w:tcPr>
            <w:tcW w:type="dxa" w:w="1244"/>
            <w:tcBorders>
              <w:top w:val="single" w:sz="8" w:color="17211E" w:space="0"/>
              <w:left w:val="nil"/>
              <w:bottom w:val="single" w:sz="8" w:color="17211E" w:space="0"/>
              <w:right w:val="nil"/>
            </w:tcBorders>
            <w:tcMar>
              <w:top w:w="108" w:type="dxa"/>
              <w:left w:w="85" w:type="dxa"/>
              <w:bottom w:w="108" w:type="dxa"/>
              <w:right w:w="0" w:type="dxa"/>
            </w:tcMar>
            <w:vAlign w:val="bottom"/>
          </w:tcPr>
          <w:p>
            <w:pPr>
              <w:pStyle w:val="TblHead"/>
              <w:jc w:val="right"/>
            </w:pPr>
            <w:r>
              <w:t>Overtime</w:t>
            </w:r>
          </w:p>
        </w:tc>
      </w:tr>
      <w:tr>
        <w:trPr>
          <w:cantSplit/>
        </w:trPr>
        <w:tc>
          <w:tcPr>
            <w:tcW w:type="dxa" w:w="2798"/>
            <w:tcBorders>
              <w:top w:val="nil"/>
              <w:left w:val="nil"/>
              <w:bottom w:val="single" w:sz="4" w:color="B9BFBB" w:space="0"/>
              <w:right w:val="nil"/>
            </w:tcBorders>
            <w:tcMar>
              <w:top w:w="85" w:type="dxa"/>
              <w:left w:w="0" w:type="dxa"/>
              <w:bottom w:w="85" w:type="dxa"/>
              <w:right w:w="85" w:type="dxa"/>
            </w:tcMar>
            <w:vAlign w:val="top"/>
          </w:tcPr>
          <w:p>
            <w:pPr>
              <w:pStyle w:val="TblText"/>
              <w:jc w:val="left"/>
            </w:pPr>
            <w:r>
              <w:rPr>
                <w:sz w:val="17"/>
              </w:rPr>
              <w:t>Urban core</w:t>
            </w:r>
          </w:p>
        </w:tc>
        <w:tc>
          <w:tcPr>
            <w:tcW w:type="dxa" w:w="933"/>
            <w:tcBorders>
              <w:top w:val="nil"/>
              <w:left w:val="nil"/>
              <w:bottom w:val="single" w:sz="4" w:color="B9BFBB" w:space="0"/>
              <w:right w:val="nil"/>
            </w:tcBorders>
            <w:tcMar>
              <w:top w:w="85" w:type="dxa"/>
              <w:left w:w="85" w:type="dxa"/>
              <w:bottom w:w="85" w:type="dxa"/>
              <w:right w:w="85" w:type="dxa"/>
            </w:tcMar>
            <w:vAlign w:val="top"/>
          </w:tcPr>
          <w:p>
            <w:pPr>
              <w:pStyle w:val="TblText"/>
              <w:jc w:val="right"/>
            </w:pPr>
            <w:r>
              <w:rPr>
                <w:sz w:val="17"/>
              </w:rPr>
              <w:t>4</w:t>
            </w:r>
          </w:p>
        </w:tc>
        <w:tc>
          <w:tcPr>
            <w:tcW w:type="dxa" w:w="933"/>
            <w:tcBorders>
              <w:top w:val="nil"/>
              <w:left w:val="nil"/>
              <w:bottom w:val="single" w:sz="4" w:color="B9BFBB" w:space="0"/>
              <w:right w:val="nil"/>
            </w:tcBorders>
            <w:tcMar>
              <w:top w:w="85" w:type="dxa"/>
              <w:left w:w="85" w:type="dxa"/>
              <w:bottom w:w="85" w:type="dxa"/>
              <w:right w:w="85" w:type="dxa"/>
            </w:tcMar>
            <w:vAlign w:val="top"/>
          </w:tcPr>
          <w:p>
            <w:pPr>
              <w:pStyle w:val="TblText"/>
              <w:jc w:val="right"/>
            </w:pPr>
            <w:r>
              <w:rPr>
                <w:sz w:val="17"/>
              </w:rPr>
              <w:t>96</w:t>
            </w:r>
          </w:p>
        </w:tc>
        <w:tc>
          <w:tcPr>
            <w:tcW w:type="dxa" w:w="1865"/>
            <w:tcBorders>
              <w:top w:val="nil"/>
              <w:left w:val="nil"/>
              <w:bottom w:val="single" w:sz="4" w:color="B9BFBB" w:space="0"/>
              <w:right w:val="nil"/>
            </w:tcBorders>
            <w:tcMar>
              <w:top w:w="85" w:type="dxa"/>
              <w:left w:w="85" w:type="dxa"/>
              <w:bottom w:w="85" w:type="dxa"/>
              <w:right w:w="85" w:type="dxa"/>
            </w:tcMar>
            <w:vAlign w:val="top"/>
          </w:tcPr>
          <w:p>
            <w:pPr>
              <w:pStyle w:val="TblText"/>
              <w:jc w:val="right"/>
            </w:pPr>
            <w:r>
              <w:rPr>
                <w:sz w:val="17"/>
              </w:rPr>
              <w:t>84</w:t>
            </w:r>
          </w:p>
        </w:tc>
        <w:tc>
          <w:tcPr>
            <w:tcW w:type="dxa" w:w="1865"/>
            <w:tcBorders>
              <w:top w:val="nil"/>
              <w:left w:val="nil"/>
              <w:bottom w:val="single" w:sz="4" w:color="B9BFBB" w:space="0"/>
              <w:right w:val="nil"/>
            </w:tcBorders>
            <w:shd w:val="clear" w:color="auto" w:fill="F1F2EE"/>
            <w:tcMar>
              <w:top w:w="85" w:type="dxa"/>
              <w:left w:w="85" w:type="dxa"/>
              <w:bottom w:w="85" w:type="dxa"/>
              <w:right w:w="85" w:type="dxa"/>
            </w:tcMar>
            <w:vAlign w:val="top"/>
          </w:tcPr>
          <w:p>
            <w:pPr>
              <w:pStyle w:val="TblText"/>
              <w:jc w:val="right"/>
            </w:pPr>
            <w:r>
              <w:rPr>
                <w:b/>
                <w:sz w:val="17"/>
              </w:rPr>
              <w:t>2.41</w:t>
            </w:r>
          </w:p>
        </w:tc>
        <w:tc>
          <w:tcPr>
            <w:tcW w:type="dxa" w:w="1244"/>
            <w:tcBorders>
              <w:top w:val="nil"/>
              <w:left w:val="nil"/>
              <w:bottom w:val="single" w:sz="4" w:color="B9BFBB" w:space="0"/>
              <w:right w:val="nil"/>
            </w:tcBorders>
            <w:tcMar>
              <w:top w:w="85" w:type="dxa"/>
              <w:left w:w="85" w:type="dxa"/>
              <w:bottom w:w="85" w:type="dxa"/>
              <w:right w:w="0" w:type="dxa"/>
            </w:tcMar>
            <w:vAlign w:val="top"/>
          </w:tcPr>
          <w:p>
            <w:pPr>
              <w:pStyle w:val="TblText"/>
              <w:jc w:val="right"/>
            </w:pPr>
            <w:r>
              <w:rPr>
                <w:sz w:val="17"/>
              </w:rPr>
              <w:t>4.1%</w:t>
            </w:r>
          </w:p>
        </w:tc>
      </w:tr>
      <w:tr>
        <w:trPr>
          <w:cantSplit/>
        </w:trPr>
        <w:tc>
          <w:tcPr>
            <w:tcW w:type="dxa" w:w="2798"/>
            <w:tcBorders>
              <w:top w:val="nil"/>
              <w:left w:val="nil"/>
              <w:bottom w:val="single" w:sz="4" w:color="B9BFBB" w:space="0"/>
              <w:right w:val="nil"/>
            </w:tcBorders>
            <w:tcMar>
              <w:top w:w="85" w:type="dxa"/>
              <w:left w:w="0" w:type="dxa"/>
              <w:bottom w:w="85" w:type="dxa"/>
              <w:right w:w="85" w:type="dxa"/>
            </w:tcMar>
            <w:vAlign w:val="top"/>
          </w:tcPr>
          <w:p>
            <w:pPr>
              <w:pStyle w:val="TblText"/>
              <w:jc w:val="left"/>
            </w:pPr>
            <w:r>
              <w:rPr>
                <w:sz w:val="17"/>
              </w:rPr>
              <w:t>Regional</w:t>
            </w:r>
          </w:p>
        </w:tc>
        <w:tc>
          <w:tcPr>
            <w:tcW w:type="dxa" w:w="933"/>
            <w:tcBorders>
              <w:top w:val="nil"/>
              <w:left w:val="nil"/>
              <w:bottom w:val="single" w:sz="4" w:color="B9BFBB" w:space="0"/>
              <w:right w:val="nil"/>
            </w:tcBorders>
            <w:tcMar>
              <w:top w:w="85" w:type="dxa"/>
              <w:left w:w="85" w:type="dxa"/>
              <w:bottom w:w="85" w:type="dxa"/>
              <w:right w:w="85" w:type="dxa"/>
            </w:tcMar>
            <w:vAlign w:val="top"/>
          </w:tcPr>
          <w:p>
            <w:pPr>
              <w:pStyle w:val="TblText"/>
              <w:jc w:val="right"/>
            </w:pPr>
            <w:r>
              <w:rPr>
                <w:sz w:val="17"/>
              </w:rPr>
              <w:t>8</w:t>
            </w:r>
          </w:p>
        </w:tc>
        <w:tc>
          <w:tcPr>
            <w:tcW w:type="dxa" w:w="933"/>
            <w:tcBorders>
              <w:top w:val="nil"/>
              <w:left w:val="nil"/>
              <w:bottom w:val="single" w:sz="4" w:color="B9BFBB" w:space="0"/>
              <w:right w:val="nil"/>
            </w:tcBorders>
            <w:tcMar>
              <w:top w:w="85" w:type="dxa"/>
              <w:left w:w="85" w:type="dxa"/>
              <w:bottom w:w="85" w:type="dxa"/>
              <w:right w:w="85" w:type="dxa"/>
            </w:tcMar>
            <w:vAlign w:val="top"/>
          </w:tcPr>
          <w:p>
            <w:pPr>
              <w:pStyle w:val="TblText"/>
              <w:jc w:val="right"/>
            </w:pPr>
            <w:r>
              <w:rPr>
                <w:sz w:val="17"/>
              </w:rPr>
              <w:t>98</w:t>
            </w:r>
          </w:p>
        </w:tc>
        <w:tc>
          <w:tcPr>
            <w:tcW w:type="dxa" w:w="1865"/>
            <w:tcBorders>
              <w:top w:val="nil"/>
              <w:left w:val="nil"/>
              <w:bottom w:val="single" w:sz="4" w:color="B9BFBB" w:space="0"/>
              <w:right w:val="nil"/>
            </w:tcBorders>
            <w:tcMar>
              <w:top w:w="85" w:type="dxa"/>
              <w:left w:w="85" w:type="dxa"/>
              <w:bottom w:w="85" w:type="dxa"/>
              <w:right w:w="85" w:type="dxa"/>
            </w:tcMar>
            <w:vAlign w:val="top"/>
          </w:tcPr>
          <w:p>
            <w:pPr>
              <w:pStyle w:val="TblText"/>
              <w:jc w:val="right"/>
            </w:pPr>
            <w:r>
              <w:rPr>
                <w:sz w:val="17"/>
              </w:rPr>
              <w:t>58</w:t>
            </w:r>
          </w:p>
        </w:tc>
        <w:tc>
          <w:tcPr>
            <w:tcW w:type="dxa" w:w="1865"/>
            <w:tcBorders>
              <w:top w:val="nil"/>
              <w:left w:val="nil"/>
              <w:bottom w:val="single" w:sz="4" w:color="B9BFBB" w:space="0"/>
              <w:right w:val="nil"/>
            </w:tcBorders>
            <w:shd w:val="clear" w:color="auto" w:fill="F1F2EE"/>
            <w:tcMar>
              <w:top w:w="85" w:type="dxa"/>
              <w:left w:w="85" w:type="dxa"/>
              <w:bottom w:w="85" w:type="dxa"/>
              <w:right w:w="85" w:type="dxa"/>
            </w:tcMar>
            <w:vAlign w:val="top"/>
          </w:tcPr>
          <w:p>
            <w:pPr>
              <w:pStyle w:val="TblText"/>
              <w:jc w:val="right"/>
            </w:pPr>
            <w:r>
              <w:rPr>
                <w:b/>
                <w:sz w:val="17"/>
              </w:rPr>
              <w:t>3.12</w:t>
            </w:r>
          </w:p>
        </w:tc>
        <w:tc>
          <w:tcPr>
            <w:tcW w:type="dxa" w:w="1244"/>
            <w:tcBorders>
              <w:top w:val="nil"/>
              <w:left w:val="nil"/>
              <w:bottom w:val="single" w:sz="4" w:color="B9BFBB" w:space="0"/>
              <w:right w:val="nil"/>
            </w:tcBorders>
            <w:tcMar>
              <w:top w:w="85" w:type="dxa"/>
              <w:left w:w="85" w:type="dxa"/>
              <w:bottom w:w="85" w:type="dxa"/>
              <w:right w:w="0" w:type="dxa"/>
            </w:tcMar>
            <w:vAlign w:val="top"/>
          </w:tcPr>
          <w:p>
            <w:pPr>
              <w:pStyle w:val="TblText"/>
              <w:jc w:val="right"/>
            </w:pPr>
            <w:r>
              <w:rPr>
                <w:sz w:val="17"/>
              </w:rPr>
              <w:t>8.9%</w:t>
            </w:r>
          </w:p>
        </w:tc>
      </w:tr>
      <w:tr>
        <w:trPr>
          <w:cantSplit/>
        </w:trPr>
        <w:tc>
          <w:tcPr>
            <w:tcW w:type="dxa" w:w="2798"/>
            <w:tcBorders>
              <w:top w:val="nil"/>
              <w:left w:val="nil"/>
              <w:bottom w:val="single" w:sz="4" w:color="B9BFBB" w:space="0"/>
              <w:right w:val="nil"/>
            </w:tcBorders>
            <w:tcMar>
              <w:top w:w="85" w:type="dxa"/>
              <w:left w:w="0" w:type="dxa"/>
              <w:bottom w:w="85" w:type="dxa"/>
              <w:right w:w="85" w:type="dxa"/>
            </w:tcMar>
            <w:vAlign w:val="top"/>
          </w:tcPr>
          <w:p>
            <w:pPr>
              <w:pStyle w:val="TblText"/>
              <w:jc w:val="left"/>
            </w:pPr>
            <w:r>
              <w:rPr>
                <w:sz w:val="17"/>
              </w:rPr>
              <w:t>Coastal (seasonal)</w:t>
            </w:r>
          </w:p>
        </w:tc>
        <w:tc>
          <w:tcPr>
            <w:tcW w:type="dxa" w:w="933"/>
            <w:tcBorders>
              <w:top w:val="nil"/>
              <w:left w:val="nil"/>
              <w:bottom w:val="single" w:sz="4" w:color="B9BFBB" w:space="0"/>
              <w:right w:val="nil"/>
            </w:tcBorders>
            <w:tcMar>
              <w:top w:w="85" w:type="dxa"/>
              <w:left w:w="85" w:type="dxa"/>
              <w:bottom w:w="85" w:type="dxa"/>
              <w:right w:w="85" w:type="dxa"/>
            </w:tcMar>
            <w:vAlign w:val="top"/>
          </w:tcPr>
          <w:p>
            <w:pPr>
              <w:pStyle w:val="TblText"/>
              <w:jc w:val="right"/>
            </w:pPr>
            <w:r>
              <w:rPr>
                <w:sz w:val="17"/>
              </w:rPr>
              <w:t>2</w:t>
            </w:r>
          </w:p>
        </w:tc>
        <w:tc>
          <w:tcPr>
            <w:tcW w:type="dxa" w:w="933"/>
            <w:tcBorders>
              <w:top w:val="nil"/>
              <w:left w:val="nil"/>
              <w:bottom w:val="single" w:sz="4" w:color="B9BFBB" w:space="0"/>
              <w:right w:val="nil"/>
            </w:tcBorders>
            <w:tcMar>
              <w:top w:w="85" w:type="dxa"/>
              <w:left w:w="85" w:type="dxa"/>
              <w:bottom w:w="85" w:type="dxa"/>
              <w:right w:w="85" w:type="dxa"/>
            </w:tcMar>
            <w:vAlign w:val="top"/>
          </w:tcPr>
          <w:p>
            <w:pPr>
              <w:pStyle w:val="TblText"/>
              <w:jc w:val="right"/>
            </w:pPr>
            <w:r>
              <w:rPr>
                <w:sz w:val="17"/>
              </w:rPr>
              <w:t>18</w:t>
            </w:r>
          </w:p>
        </w:tc>
        <w:tc>
          <w:tcPr>
            <w:tcW w:type="dxa" w:w="1865"/>
            <w:tcBorders>
              <w:top w:val="nil"/>
              <w:left w:val="nil"/>
              <w:bottom w:val="single" w:sz="4" w:color="B9BFBB" w:space="0"/>
              <w:right w:val="nil"/>
            </w:tcBorders>
            <w:tcMar>
              <w:top w:w="85" w:type="dxa"/>
              <w:left w:w="85" w:type="dxa"/>
              <w:bottom w:w="85" w:type="dxa"/>
              <w:right w:w="85" w:type="dxa"/>
            </w:tcMar>
            <w:vAlign w:val="top"/>
          </w:tcPr>
          <w:p>
            <w:pPr>
              <w:pStyle w:val="TblText"/>
              <w:jc w:val="right"/>
            </w:pPr>
            <w:r>
              <w:rPr>
                <w:sz w:val="17"/>
              </w:rPr>
              <w:t>47</w:t>
            </w:r>
          </w:p>
        </w:tc>
        <w:tc>
          <w:tcPr>
            <w:tcW w:type="dxa" w:w="1865"/>
            <w:tcBorders>
              <w:top w:val="nil"/>
              <w:left w:val="nil"/>
              <w:bottom w:val="single" w:sz="4" w:color="B9BFBB" w:space="0"/>
              <w:right w:val="nil"/>
            </w:tcBorders>
            <w:shd w:val="clear" w:color="auto" w:fill="F1F2EE"/>
            <w:tcMar>
              <w:top w:w="85" w:type="dxa"/>
              <w:left w:w="85" w:type="dxa"/>
              <w:bottom w:w="85" w:type="dxa"/>
              <w:right w:w="85" w:type="dxa"/>
            </w:tcMar>
            <w:vAlign w:val="top"/>
          </w:tcPr>
          <w:p>
            <w:pPr>
              <w:pStyle w:val="TblText"/>
              <w:jc w:val="right"/>
            </w:pPr>
            <w:r>
              <w:rPr>
                <w:b/>
                <w:sz w:val="17"/>
              </w:rPr>
              <w:t>3.88</w:t>
            </w:r>
          </w:p>
        </w:tc>
        <w:tc>
          <w:tcPr>
            <w:tcW w:type="dxa" w:w="1244"/>
            <w:tcBorders>
              <w:top w:val="nil"/>
              <w:left w:val="nil"/>
              <w:bottom w:val="single" w:sz="4" w:color="B9BFBB" w:space="0"/>
              <w:right w:val="nil"/>
            </w:tcBorders>
            <w:tcMar>
              <w:top w:w="85" w:type="dxa"/>
              <w:left w:w="85" w:type="dxa"/>
              <w:bottom w:w="85" w:type="dxa"/>
              <w:right w:w="0" w:type="dxa"/>
            </w:tcMar>
            <w:vAlign w:val="top"/>
          </w:tcPr>
          <w:p>
            <w:pPr>
              <w:pStyle w:val="TblText"/>
              <w:jc w:val="right"/>
            </w:pPr>
            <w:r>
              <w:rPr>
                <w:sz w:val="17"/>
              </w:rPr>
              <w:t>11.2%</w:t>
            </w:r>
          </w:p>
        </w:tc>
      </w:tr>
      <w:tr>
        <w:trPr>
          <w:cantSplit/>
        </w:trPr>
        <w:tc>
          <w:tcPr>
            <w:tcW w:type="dxa" w:w="2798"/>
            <w:tcBorders>
              <w:top w:val="single" w:sz="8" w:color="17211E" w:space="0"/>
              <w:left w:val="nil"/>
              <w:bottom w:val="single" w:sz="8" w:color="17211E" w:space="0"/>
              <w:right w:val="nil"/>
            </w:tcBorders>
            <w:tcMar>
              <w:top w:w="85" w:type="dxa"/>
              <w:left w:w="0" w:type="dxa"/>
              <w:bottom w:w="85" w:type="dxa"/>
              <w:right w:w="85" w:type="dxa"/>
            </w:tcMar>
            <w:vAlign w:val="top"/>
          </w:tcPr>
          <w:p>
            <w:pPr>
              <w:pStyle w:val="TblText"/>
              <w:jc w:val="left"/>
            </w:pPr>
            <w:r>
              <w:rPr>
                <w:b/>
                <w:sz w:val="17"/>
              </w:rPr>
              <w:t>Network</w:t>
            </w:r>
          </w:p>
        </w:tc>
        <w:tc>
          <w:tcPr>
            <w:tcW w:type="dxa" w:w="933"/>
            <w:tcBorders>
              <w:top w:val="single" w:sz="8" w:color="17211E" w:space="0"/>
              <w:left w:val="nil"/>
              <w:bottom w:val="single" w:sz="8" w:color="17211E" w:space="0"/>
              <w:right w:val="nil"/>
            </w:tcBorders>
            <w:tcMar>
              <w:top w:w="85" w:type="dxa"/>
              <w:left w:w="85" w:type="dxa"/>
              <w:bottom w:w="85" w:type="dxa"/>
              <w:right w:w="85" w:type="dxa"/>
            </w:tcMar>
            <w:vAlign w:val="top"/>
          </w:tcPr>
          <w:p>
            <w:pPr>
              <w:pStyle w:val="TblText"/>
              <w:jc w:val="right"/>
            </w:pPr>
            <w:r>
              <w:rPr>
                <w:b/>
                <w:sz w:val="17"/>
              </w:rPr>
              <w:t>14</w:t>
            </w:r>
          </w:p>
        </w:tc>
        <w:tc>
          <w:tcPr>
            <w:tcW w:type="dxa" w:w="933"/>
            <w:tcBorders>
              <w:top w:val="single" w:sz="8" w:color="17211E" w:space="0"/>
              <w:left w:val="nil"/>
              <w:bottom w:val="single" w:sz="8" w:color="17211E" w:space="0"/>
              <w:right w:val="nil"/>
            </w:tcBorders>
            <w:tcMar>
              <w:top w:w="85" w:type="dxa"/>
              <w:left w:w="85" w:type="dxa"/>
              <w:bottom w:w="85" w:type="dxa"/>
              <w:right w:w="85" w:type="dxa"/>
            </w:tcMar>
            <w:vAlign w:val="top"/>
          </w:tcPr>
          <w:p>
            <w:pPr>
              <w:pStyle w:val="TblText"/>
              <w:jc w:val="right"/>
            </w:pPr>
            <w:r>
              <w:rPr>
                <w:b/>
                <w:sz w:val="17"/>
              </w:rPr>
              <w:t>212</w:t>
            </w:r>
          </w:p>
        </w:tc>
        <w:tc>
          <w:tcPr>
            <w:tcW w:type="dxa" w:w="1865"/>
            <w:tcBorders>
              <w:top w:val="single" w:sz="8" w:color="17211E" w:space="0"/>
              <w:left w:val="nil"/>
              <w:bottom w:val="single" w:sz="8" w:color="17211E" w:space="0"/>
              <w:right w:val="nil"/>
            </w:tcBorders>
            <w:tcMar>
              <w:top w:w="85" w:type="dxa"/>
              <w:left w:w="85" w:type="dxa"/>
              <w:bottom w:w="85" w:type="dxa"/>
              <w:right w:w="85" w:type="dxa"/>
            </w:tcMar>
            <w:vAlign w:val="top"/>
          </w:tcPr>
          <w:p>
            <w:pPr>
              <w:pStyle w:val="TblText"/>
              <w:jc w:val="right"/>
            </w:pPr>
            <w:r>
              <w:rPr>
                <w:b/>
                <w:sz w:val="17"/>
              </w:rPr>
              <w:t>67</w:t>
            </w:r>
          </w:p>
        </w:tc>
        <w:tc>
          <w:tcPr>
            <w:tcW w:type="dxa" w:w="1865"/>
            <w:tcBorders>
              <w:top w:val="single" w:sz="8" w:color="17211E" w:space="0"/>
              <w:left w:val="nil"/>
              <w:bottom w:val="single" w:sz="8" w:color="17211E" w:space="0"/>
              <w:right w:val="nil"/>
            </w:tcBorders>
            <w:shd w:val="clear" w:color="auto" w:fill="F1F2EE"/>
            <w:tcMar>
              <w:top w:w="85" w:type="dxa"/>
              <w:left w:w="85" w:type="dxa"/>
              <w:bottom w:w="85" w:type="dxa"/>
              <w:right w:w="85" w:type="dxa"/>
            </w:tcMar>
            <w:vAlign w:val="top"/>
          </w:tcPr>
          <w:p>
            <w:pPr>
              <w:pStyle w:val="TblText"/>
              <w:jc w:val="right"/>
            </w:pPr>
            <w:r>
              <w:rPr>
                <w:b/>
                <w:sz w:val="17"/>
              </w:rPr>
              <w:t>2.97</w:t>
            </w:r>
          </w:p>
        </w:tc>
        <w:tc>
          <w:tcPr>
            <w:tcW w:type="dxa" w:w="1244"/>
            <w:tcBorders>
              <w:top w:val="single" w:sz="8" w:color="17211E" w:space="0"/>
              <w:left w:val="nil"/>
              <w:bottom w:val="single" w:sz="8" w:color="17211E" w:space="0"/>
              <w:right w:val="nil"/>
            </w:tcBorders>
            <w:tcMar>
              <w:top w:w="85" w:type="dxa"/>
              <w:left w:w="85" w:type="dxa"/>
              <w:bottom w:w="85" w:type="dxa"/>
              <w:right w:w="0" w:type="dxa"/>
            </w:tcMar>
            <w:vAlign w:val="top"/>
          </w:tcPr>
          <w:p>
            <w:pPr>
              <w:pStyle w:val="TblText"/>
              <w:jc w:val="right"/>
            </w:pPr>
            <w:r>
              <w:rPr>
                <w:b/>
                <w:sz w:val="17"/>
              </w:rPr>
              <w:t>7.4%</w:t>
            </w:r>
          </w:p>
        </w:tc>
      </w:tr>
    </w:tbl>
    <w:p>
      <w:pPr>
        <w:pStyle w:val="Caption"/>
      </w:pPr>
      <w:r>
        <w:t>Source: Illustrative data.</w:t>
      </w:r>
    </w:p>
    <w:p>
      <w:pPr>
        <w:pStyle w:val="Label"/>
        <w:keepNext/>
        <w:pBdr>
          <w:left w:val="single" w:sz="24" w:space="8" w:color="0B5D4F"/>
        </w:pBdr>
        <w:spacing w:before="120"/>
        <w:ind w:left="283"/>
      </w:pPr>
      <w:r>
        <w:t>What this means</w:t>
      </w:r>
    </w:p>
    <w:p>
      <w:pPr>
        <w:pStyle w:val="Callout"/>
        <w:pBdr>
          <w:left w:val="single" w:sz="24" w:space="8" w:color="0B5D4F"/>
        </w:pBdr>
        <w:ind w:left="283"/>
      </w:pPr>
      <w:r>
        <w:t>Moving the 98 regional rounds from 58 to 62 stops would remove the cost penalty on most of them, without adding vehicles.</w:t>
      </w:r>
    </w:p>
    <w:p>
      <w:pPr>
        <w:spacing w:before="0" w:after="0" w:line="20" w:lineRule="exact"/>
        <w:sectPr>
          <w:headerReference w:type="default" r:id="rId19"/>
          <w:footerReference w:type="default" r:id="rId20"/>
          <w:pgSz w:w="11906" w:h="16838"/>
          <w:pgMar w:top="1361" w:right="1020" w:bottom="1134" w:left="1247" w:header="624" w:footer="567" w:gutter="0"/>
          <w:cols w:num="1" w:space="453"/>
          <w:docGrid w:linePitch="360"/>
        </w:sectPr>
      </w:pPr>
    </w:p>
    <w:tbl>
      <w:tblPr>
        <w:tblW w:type="dxa" w:w="9637"/>
        <w:jc w:val="left"/>
        <w:tblLayout w:type="fixed"/>
        <w:tblLayout w:type="fixed"/>
        <w:tblCellMar>
          <w:top w:w="0" w:type="dxa"/>
          <w:left w:w="0" w:type="dxa"/>
          <w:bottom w:w="0" w:type="dxa"/>
          <w:right w:w="0" w:type="dxa"/>
        </w:tblCellMar>
        <w:tblLook w:firstColumn="1" w:firstRow="1" w:lastColumn="0" w:lastRow="0" w:noHBand="0" w:noVBand="1" w:val="04A0"/>
      </w:tblPr>
      <w:tblGrid>
        <w:gridCol w:w="794"/>
        <w:gridCol w:w="8844"/>
      </w:tblGrid>
      <w:tr>
        <w:trPr>
          <w:trHeight w:val="5386" w:hRule="exact"/>
        </w:trPr>
        <w:tc>
          <w:tcPr>
            <w:tcW w:type="dxa" w:w="794"/>
            <w:vMerge w:val="restart"/>
            <w:tcMar>
              <w:top w:w="0" w:type="dxa"/>
              <w:left w:w="0" w:type="dxa"/>
              <w:bottom w:w="0" w:type="dxa"/>
              <w:right w:w="0" w:type="dxa"/>
            </w:tcMar>
            <w:textDirection w:val="btLr"/>
            <w:vAlign w:val="bottom"/>
          </w:tcPr>
          <w:p>
            <w:pPr>
              <w:pStyle w:val="Label"/>
            </w:pPr>
            <w:r>
              <w:t>Section 02 — Diagnosis</w:t>
            </w:r>
          </w:p>
        </w:tc>
        <w:tc>
          <w:tcPr>
            <w:tcW w:type="dxa" w:w="8844"/>
            <w:tcMar>
              <w:top w:w="454" w:type="dxa"/>
              <w:left w:w="227" w:type="dxa"/>
              <w:bottom w:w="0" w:type="dxa"/>
              <w:right w:w="0" w:type="dxa"/>
            </w:tcMar>
          </w:tcPr>
          <w:p>
            <w:pPr>
              <w:pStyle w:val="NumXL"/>
            </w:pPr>
            <w:r>
              <w:t>02</w:t>
            </w:r>
          </w:p>
        </w:tc>
      </w:tr>
      <w:tr>
        <w:trPr>
          <w:trHeight w:val="3969" w:hRule="exact"/>
        </w:trPr>
        <w:tc>
          <w:tcPr>
            <w:tcW w:type="dxa" w:w="794"/>
            <w:vMerge/>
          </w:tcPr>
          <w:p/>
        </w:tc>
        <w:tc>
          <w:tcPr>
            <w:tcW w:type="dxa" w:w="8844"/>
            <w:tcMar>
              <w:top w:w="0" w:type="dxa"/>
              <w:left w:w="227" w:type="dxa"/>
              <w:bottom w:w="340" w:type="dxa"/>
              <w:right w:w="0" w:type="dxa"/>
            </w:tcMar>
            <w:vAlign w:val="bottom"/>
          </w:tcPr>
          <w:p>
            <w:pPr>
              <w:pBdr>
                <w:bottom w:val="single" w:sz="24" w:space="1" w:color="0B5D4F"/>
              </w:pBdr>
              <w:spacing w:before="0" w:after="280" w:line="20" w:lineRule="exact"/>
              <w:ind w:right="7370"/>
              <w:rPr>
                <w:sz w:val="2"/>
              </w:rPr>
            </w:pPr>
            <w:r/>
          </w:p>
          <w:p>
            <w:pPr>
              <w:pStyle w:val="Display"/>
            </w:pPr>
            <w:r>
              <w:t>What is driving the cost</w:t>
            </w:r>
          </w:p>
        </w:tc>
      </w:tr>
      <w:tr>
        <w:trPr>
          <w:trHeight w:val="3969" w:hRule="exact"/>
        </w:trPr>
        <w:tc>
          <w:tcPr>
            <w:tcW w:type="dxa" w:w="794"/>
            <w:vMerge/>
          </w:tcPr>
          <w:p/>
        </w:tc>
        <w:tc>
          <w:tcPr>
            <w:tcW w:type="dxa" w:w="8844"/>
            <w:tcMar>
              <w:top w:w="340" w:type="dxa"/>
              <w:left w:w="227" w:type="dxa"/>
              <w:bottom w:w="0" w:type="dxa"/>
              <w:right w:w="1701" w:type="dxa"/>
            </w:tcMar>
          </w:tcPr>
          <w:p>
            <w:pPr>
              <w:pStyle w:val="Lead"/>
            </w:pPr>
            <w:r>
              <w:t>Three mechanisms explain most of the gap between Northgate's best and worst rounds.</w:t>
            </w:r>
          </w:p>
        </w:tc>
      </w:tr>
    </w:tbl>
    <w:p>
      <w:pPr>
        <w:spacing w:before="0" w:after="0" w:line="20" w:lineRule="exact"/>
        <w:sectPr>
          <w:headerReference w:type="default" r:id="rId22"/>
          <w:footerReference w:type="default" r:id="rId23"/>
          <w:pgSz w:w="11906" w:h="16838"/>
          <w:pgMar w:top="1361" w:right="1020" w:bottom="1134" w:left="1247" w:header="0" w:footer="0" w:gutter="0"/>
          <w:pgBorders w:offsetFrom="page">
            <w:top w:val="single" w:sz="4" w:space="28" w:color="B9BFBB"/>
            <w:left w:val="single" w:sz="4" w:space="28" w:color="B9BFBB"/>
            <w:bottom w:val="single" w:sz="4" w:space="28" w:color="B9BFBB"/>
            <w:right w:val="single" w:sz="4" w:space="28" w:color="B9BFBB"/>
          </w:pgBorders>
          <w:cols w:num="1" w:space="453"/>
          <w:docGrid w:linePitch="360"/>
        </w:sectPr>
      </w:pPr>
    </w:p>
    <w:p>
      <w:pPr>
        <w:pStyle w:val="Kicker"/>
      </w:pPr>
      <w:r>
        <w:t>Diagnosis</w:t>
      </w:r>
    </w:p>
    <w:p>
      <w:pPr>
        <w:pStyle w:val="Heading1"/>
      </w:pPr>
      <w:r>
        <w:t>Three mechanisms behind the gap</w:t>
      </w:r>
    </w:p>
    <w:p>
      <w:pPr>
        <w:pBdr>
          <w:bottom w:val="single" w:sz="24" w:space="1" w:color="0B5D4F"/>
        </w:pBdr>
        <w:spacing w:before="0" w:after="280" w:line="20" w:lineRule="exact"/>
        <w:ind w:right="8391"/>
        <w:rPr>
          <w:sz w:val="2"/>
        </w:rPr>
      </w:pPr>
      <w:r/>
    </w:p>
    <w:p>
      <w:pPr>
        <w:pStyle w:val="Lead"/>
        <w:ind w:right="1984"/>
      </w:pPr>
      <w:r>
        <w:t>Dwell time, route design and carrier mix interact. Treating them separately would understate the opportunity.</w:t>
      </w:r>
    </w:p>
    <w:p>
      <w:pPr>
        <w:spacing w:before="0" w:after="0" w:line="20" w:lineRule="exact"/>
        <w:sectPr>
          <w:headerReference w:type="default" r:id="rId24"/>
          <w:footerReference w:type="default" r:id="rId25"/>
          <w:pgSz w:w="11906" w:h="16838"/>
          <w:pgMar w:top="1361" w:right="1020" w:bottom="1134" w:left="1247" w:header="624" w:footer="567" w:gutter="0"/>
          <w:cols w:num="1" w:space="453"/>
          <w:docGrid w:linePitch="360"/>
        </w:sectPr>
      </w:pPr>
    </w:p>
    <w:p>
      <w:pPr>
        <w:pStyle w:val="Heading2"/>
        <w:keepNext/>
      </w:pPr>
      <w:r>
        <w:t>Dwell time</w:t>
      </w:r>
    </w:p>
    <w:p>
      <w:pPr/>
      <w:r>
        <w:t>At the three largest depots the median parcel waits 5.3 hours between arrival and van loading. Part of that wait is deliberate sorting. Most is queueing behind late inbound trailers and a single manifest cut-off at 06:30.</w:t>
      </w:r>
      <w:r>
        <w:rPr>
          <w:rFonts w:ascii="IBM Plex Sans" w:hAnsi="IBM Plex Sans" w:cs="IBM Plex Sans" w:eastAsia="IBM Plex Sans"/>
          <w:vertAlign w:val="superscript"/>
        </w:rPr>
        <w:t>2</w:t>
      </w:r>
      <w:r>
        <w:t xml:space="preserve"> Late loading forces drivers to leave after 08:00, which pushes the last third of their stops into peak traffic.</w:t>
      </w:r>
    </w:p>
    <w:p>
      <w:pPr>
        <w:pStyle w:val="Heading2"/>
        <w:keepNext/>
      </w:pPr>
      <w:r>
        <w:t>Route design</w:t>
      </w:r>
    </w:p>
    <w:p>
      <w:pPr/>
      <w:r>
        <w:t>Rounds are drawn on postcode boundaries set in 2019. Since then, two new housing developments and a logistics park have shifted demand. Three adjacent rounds in the north-east serve overlapping streets at different times of day, each with a low drop density.</w:t>
      </w:r>
    </w:p>
    <w:p>
      <w:pPr>
        <w:pStyle w:val="Bullet"/>
      </w:pPr>
      <w:r>
        <w:t>–</w:t>
        <w:tab/>
        <w:t>Round boundaries unchanged since 2019 in 11 of 14 depots.</w:t>
      </w:r>
    </w:p>
    <w:p>
      <w:pPr>
        <w:pStyle w:val="Bullet"/>
      </w:pPr>
      <w:r>
        <w:t>–</w:t>
        <w:tab/>
        <w:t>Median stop spacing 31% higher on regional rounds than on urban ones.</w:t>
      </w:r>
    </w:p>
    <w:p>
      <w:pPr>
        <w:pStyle w:val="Bullet"/>
      </w:pPr>
      <w:r>
        <w:t>–</w:t>
        <w:tab/>
        <w:t>No weekly re-optimisation; changes only at quarterly reviews.</w:t>
      </w:r>
    </w:p>
    <w:p>
      <w:pPr>
        <w:pStyle w:val="Heading2"/>
        <w:keepNext/>
      </w:pPr>
      <w:r>
        <w:t>Carrier mix</w:t>
      </w:r>
    </w:p>
    <w:p>
      <w:pPr/>
      <w:r>
        <w:t>Third-party carriers are used as overflow, not by design. On comparable routes their unit cost is 17% above in-house rounds, and service scores are two points lower.</w:t>
      </w:r>
      <w:r>
        <w:rPr>
          <w:rFonts w:ascii="IBM Plex Sans" w:hAnsi="IBM Plex Sans" w:cs="IBM Plex Sans" w:eastAsia="IBM Plex Sans"/>
          <w:vertAlign w:val="superscript"/>
        </w:rPr>
        <w:t>3</w:t>
      </w:r>
      <w:r>
        <w:t xml:space="preserve"> Their share is highest exactly where in-house rounds are shortest of drivers, which suggests the root cause is scheduling, not carrier capability.</w:t>
      </w:r>
    </w:p>
    <w:p>
      <w:pPr>
        <w:pStyle w:val="Label"/>
        <w:keepNext/>
        <w:pBdr>
          <w:left w:val="single" w:sz="24" w:space="8" w:color="0B5D4F"/>
        </w:pBdr>
        <w:spacing w:before="120"/>
        <w:ind w:left="283"/>
      </w:pPr>
      <w:r>
        <w:t>Interaction</w:t>
      </w:r>
    </w:p>
    <w:p>
      <w:pPr>
        <w:pStyle w:val="Callout"/>
        <w:pBdr>
          <w:left w:val="single" w:sz="24" w:space="8" w:color="0B5D4F"/>
        </w:pBdr>
        <w:ind w:left="283"/>
      </w:pPr>
      <w:r>
        <w:t>The three mechanisms compound: late loading shortens the working day, shorter days leave routes undercovered, and undercovered routes are handed to the most expensive option.</w:t>
      </w:r>
    </w:p>
    <w:p>
      <w:pPr>
        <w:pStyle w:val="Heading2"/>
        <w:keepNext/>
      </w:pPr>
      <w:r>
        <w:t>What the data does not explain</w:t>
      </w:r>
    </w:p>
    <w:p>
      <w:pPr/>
      <w:r>
        <w:t>Several explanations were tested and set aside. Fleet age shows no relationship with cost per parcel once route density is controlled for. Driver tenure is weakly associated with on-time delivery but not with cost. Fuel price movements affect all depots alike and do not explain the spread between them.</w:t>
      </w:r>
    </w:p>
    <w:p>
      <w:pPr/>
      <w:r>
        <w:t>Two questions remain open: whether the manifest cut-off has a contractual basis, and whether the coastal depots need a separate, seasonal benchmark. Both are flagged for the pilot.</w:t>
      </w:r>
    </w:p>
    <w:p>
      <w:pPr>
        <w:pStyle w:val="Heading2"/>
        <w:keepNext/>
      </w:pPr>
      <w:r>
        <w:t>Why the order of fixes matters</w:t>
      </w:r>
    </w:p>
    <w:p>
      <w:pPr/>
      <w:r>
        <w:t>Redrawing rounds before fixing dwell time would build new routes on an unstable loading schedule. Fixing carrier mix first would lock in volume commitments before demand per round is known.</w:t>
      </w:r>
    </w:p>
    <w:p>
      <w:pPr>
        <w:spacing w:before="0" w:after="0" w:line="20" w:lineRule="exact"/>
        <w:sectPr>
          <w:type w:val="continuous"/>
          <w:pgSz w:w="11906" w:h="16838"/>
          <w:pgMar w:top="1361" w:right="1020" w:bottom="1134" w:left="1247" w:header="624" w:footer="567" w:gutter="0"/>
          <w:cols w:num="2" w:space="453"/>
          <w:docGrid w:linePitch="360"/>
        </w:sectPr>
      </w:pPr>
    </w:p>
    <w:p>
      <w:pPr>
        <w:pStyle w:val="Kicker"/>
      </w:pPr>
      <w:r>
        <w:t>Data appendix to Section 02</w:t>
      </w:r>
    </w:p>
    <w:p>
      <w:pPr>
        <w:pStyle w:val="Heading1"/>
      </w:pPr>
      <w:r>
        <w:t>Depot-by-depot performance</w:t>
      </w:r>
    </w:p>
    <w:p>
      <w:pPr>
        <w:pBdr>
          <w:bottom w:val="single" w:sz="24" w:space="1" w:color="0B5D4F"/>
        </w:pBdr>
        <w:spacing w:before="0" w:after="280" w:line="20" w:lineRule="exact"/>
        <w:ind w:right="13323"/>
        <w:rPr>
          <w:sz w:val="2"/>
        </w:rPr>
      </w:pPr>
      <w:r/>
    </w:p>
    <w:p>
      <w:pPr>
        <w:pStyle w:val="Lead"/>
        <w:ind w:right="6917"/>
      </w:pPr>
      <w:r>
        <w:t>Dense tables run in landscape with a repeating header row, tabular figures and no splitting of rows across pages.</w:t>
      </w:r>
    </w:p>
    <w:p>
      <w:pPr>
        <w:pStyle w:val="FigLabel"/>
      </w:pPr>
      <w:r>
        <w:t>Table 2  —  Operating metrics by depot, twelve months to September 2026 (illustrative)</w:t>
      </w:r>
    </w:p>
    <w:tbl>
      <w:tblPr>
        <w:tblW w:type="dxa" w:w="14570"/>
        <w:jc w:val="left"/>
        <w:tblLayout w:type="fixed"/>
        <w:tblLayout w:type="fixed"/>
        <w:tblCellMar>
          <w:top w:w="0" w:type="dxa"/>
          <w:left w:w="0" w:type="dxa"/>
          <w:bottom w:w="0" w:type="dxa"/>
          <w:right w:w="0" w:type="dxa"/>
        </w:tblCellMar>
        <w:tblLook w:firstColumn="1" w:firstRow="1" w:lastColumn="0" w:lastRow="0" w:noHBand="0" w:noVBand="1" w:val="04A0"/>
      </w:tblPr>
      <w:tblGrid>
        <w:gridCol w:w="1906"/>
        <w:gridCol w:w="1362"/>
        <w:gridCol w:w="817"/>
        <w:gridCol w:w="1634"/>
        <w:gridCol w:w="1634"/>
        <w:gridCol w:w="1089"/>
        <w:gridCol w:w="1634"/>
        <w:gridCol w:w="1634"/>
        <w:gridCol w:w="1226"/>
        <w:gridCol w:w="1634"/>
      </w:tblGrid>
      <w:tr>
        <w:trPr>
          <w:cantSplit/>
          <w:tblHeader/>
        </w:trPr>
        <w:tc>
          <w:tcPr>
            <w:tcW w:type="dxa" w:w="1906"/>
            <w:tcBorders>
              <w:top w:val="single" w:sz="8" w:color="17211E" w:space="0"/>
              <w:left w:val="nil"/>
              <w:bottom w:val="single" w:sz="8" w:color="17211E" w:space="0"/>
              <w:right w:val="nil"/>
            </w:tcBorders>
            <w:tcMar>
              <w:top w:w="79" w:type="dxa"/>
              <w:left w:w="0" w:type="dxa"/>
              <w:bottom w:w="79" w:type="dxa"/>
              <w:right w:w="85" w:type="dxa"/>
            </w:tcMar>
            <w:vAlign w:val="bottom"/>
          </w:tcPr>
          <w:p>
            <w:pPr>
              <w:pStyle w:val="TblHead"/>
              <w:jc w:val="left"/>
            </w:pPr>
            <w:r>
              <w:t>Depot</w:t>
            </w:r>
          </w:p>
        </w:tc>
        <w:tc>
          <w:tcPr>
            <w:tcW w:type="dxa" w:w="1362"/>
            <w:tcBorders>
              <w:top w:val="single" w:sz="8" w:color="17211E" w:space="0"/>
              <w:left w:val="nil"/>
              <w:bottom w:val="single" w:sz="8" w:color="17211E" w:space="0"/>
              <w:right w:val="nil"/>
            </w:tcBorders>
            <w:tcMar>
              <w:top w:w="79" w:type="dxa"/>
              <w:left w:w="85" w:type="dxa"/>
              <w:bottom w:w="79" w:type="dxa"/>
              <w:right w:w="85" w:type="dxa"/>
            </w:tcMar>
            <w:vAlign w:val="bottom"/>
          </w:tcPr>
          <w:p>
            <w:pPr>
              <w:pStyle w:val="TblHead"/>
              <w:jc w:val="left"/>
            </w:pPr>
            <w:r>
              <w:t>Group</w:t>
            </w:r>
          </w:p>
        </w:tc>
        <w:tc>
          <w:tcPr>
            <w:tcW w:type="dxa" w:w="817"/>
            <w:tcBorders>
              <w:top w:val="single" w:sz="8" w:color="17211E" w:space="0"/>
              <w:left w:val="nil"/>
              <w:bottom w:val="single" w:sz="8" w:color="17211E" w:space="0"/>
              <w:right w:val="nil"/>
            </w:tcBorders>
            <w:tcMar>
              <w:top w:w="79" w:type="dxa"/>
              <w:left w:w="85" w:type="dxa"/>
              <w:bottom w:w="79" w:type="dxa"/>
              <w:right w:w="85" w:type="dxa"/>
            </w:tcMar>
            <w:vAlign w:val="bottom"/>
          </w:tcPr>
          <w:p>
            <w:pPr>
              <w:pStyle w:val="TblHead"/>
              <w:jc w:val="right"/>
            </w:pPr>
            <w:r>
              <w:t>Rounds</w:t>
            </w:r>
          </w:p>
        </w:tc>
        <w:tc>
          <w:tcPr>
            <w:tcW w:type="dxa" w:w="1634"/>
            <w:tcBorders>
              <w:top w:val="single" w:sz="8" w:color="17211E" w:space="0"/>
              <w:left w:val="nil"/>
              <w:bottom w:val="single" w:sz="8" w:color="17211E" w:space="0"/>
              <w:right w:val="nil"/>
            </w:tcBorders>
            <w:tcMar>
              <w:top w:w="79" w:type="dxa"/>
              <w:left w:w="85" w:type="dxa"/>
              <w:bottom w:w="79" w:type="dxa"/>
              <w:right w:w="85" w:type="dxa"/>
            </w:tcMar>
            <w:vAlign w:val="bottom"/>
          </w:tcPr>
          <w:p>
            <w:pPr>
              <w:pStyle w:val="TblHead"/>
              <w:jc w:val="right"/>
            </w:pPr>
            <w:r>
              <w:t>Stops / round</w:t>
            </w:r>
          </w:p>
        </w:tc>
        <w:tc>
          <w:tcPr>
            <w:tcW w:type="dxa" w:w="1634"/>
            <w:tcBorders>
              <w:top w:val="single" w:sz="8" w:color="17211E" w:space="0"/>
              <w:left w:val="nil"/>
              <w:bottom w:val="single" w:sz="8" w:color="17211E" w:space="0"/>
              <w:right w:val="nil"/>
            </w:tcBorders>
            <w:tcMar>
              <w:top w:w="79" w:type="dxa"/>
              <w:left w:w="85" w:type="dxa"/>
              <w:bottom w:w="79" w:type="dxa"/>
              <w:right w:w="85" w:type="dxa"/>
            </w:tcMar>
            <w:vAlign w:val="bottom"/>
          </w:tcPr>
          <w:p>
            <w:pPr>
              <w:pStyle w:val="TblHead"/>
              <w:jc w:val="right"/>
            </w:pPr>
            <w:r>
              <w:t>Median dwell (h)</w:t>
            </w:r>
          </w:p>
        </w:tc>
        <w:tc>
          <w:tcPr>
            <w:tcW w:type="dxa" w:w="1089"/>
            <w:tcBorders>
              <w:top w:val="single" w:sz="8" w:color="17211E" w:space="0"/>
              <w:left w:val="nil"/>
              <w:bottom w:val="single" w:sz="8" w:color="17211E" w:space="0"/>
              <w:right w:val="nil"/>
            </w:tcBorders>
            <w:tcMar>
              <w:top w:w="79" w:type="dxa"/>
              <w:left w:w="85" w:type="dxa"/>
              <w:bottom w:w="79" w:type="dxa"/>
              <w:right w:w="85" w:type="dxa"/>
            </w:tcMar>
            <w:vAlign w:val="bottom"/>
          </w:tcPr>
          <w:p>
            <w:pPr>
              <w:pStyle w:val="TblHead"/>
              <w:jc w:val="right"/>
            </w:pPr>
            <w:r>
              <w:t>Overtime</w:t>
            </w:r>
          </w:p>
        </w:tc>
        <w:tc>
          <w:tcPr>
            <w:tcW w:type="dxa" w:w="1634"/>
            <w:tcBorders>
              <w:top w:val="single" w:sz="8" w:color="17211E" w:space="0"/>
              <w:left w:val="nil"/>
              <w:bottom w:val="single" w:sz="8" w:color="17211E" w:space="0"/>
              <w:right w:val="nil"/>
            </w:tcBorders>
            <w:tcMar>
              <w:top w:w="79" w:type="dxa"/>
              <w:left w:w="85" w:type="dxa"/>
              <w:bottom w:w="79" w:type="dxa"/>
              <w:right w:w="85" w:type="dxa"/>
            </w:tcMar>
            <w:vAlign w:val="bottom"/>
          </w:tcPr>
          <w:p>
            <w:pPr>
              <w:pStyle w:val="TblHead"/>
              <w:jc w:val="right"/>
            </w:pPr>
            <w:r>
              <w:t>3rd-party share</w:t>
            </w:r>
          </w:p>
        </w:tc>
        <w:tc>
          <w:tcPr>
            <w:tcW w:type="dxa" w:w="1634"/>
            <w:tcBorders>
              <w:top w:val="single" w:sz="8" w:color="17211E" w:space="0"/>
              <w:left w:val="nil"/>
              <w:bottom w:val="single" w:sz="8" w:color="17211E" w:space="0"/>
              <w:right w:val="nil"/>
            </w:tcBorders>
            <w:tcMar>
              <w:top w:w="79" w:type="dxa"/>
              <w:left w:w="85" w:type="dxa"/>
              <w:bottom w:w="79" w:type="dxa"/>
              <w:right w:w="85" w:type="dxa"/>
            </w:tcMar>
            <w:vAlign w:val="bottom"/>
          </w:tcPr>
          <w:p>
            <w:pPr>
              <w:pStyle w:val="TblHead"/>
              <w:jc w:val="right"/>
            </w:pPr>
            <w:r>
              <w:t>Cost / parcel</w:t>
            </w:r>
          </w:p>
        </w:tc>
        <w:tc>
          <w:tcPr>
            <w:tcW w:type="dxa" w:w="1226"/>
            <w:tcBorders>
              <w:top w:val="single" w:sz="8" w:color="17211E" w:space="0"/>
              <w:left w:val="nil"/>
              <w:bottom w:val="single" w:sz="8" w:color="17211E" w:space="0"/>
              <w:right w:val="nil"/>
            </w:tcBorders>
            <w:tcMar>
              <w:top w:w="79" w:type="dxa"/>
              <w:left w:w="85" w:type="dxa"/>
              <w:bottom w:w="79" w:type="dxa"/>
              <w:right w:w="85" w:type="dxa"/>
            </w:tcMar>
            <w:vAlign w:val="bottom"/>
          </w:tcPr>
          <w:p>
            <w:pPr>
              <w:pStyle w:val="TblHead"/>
              <w:jc w:val="right"/>
            </w:pPr>
            <w:r>
              <w:t>On-time %</w:t>
            </w:r>
          </w:p>
        </w:tc>
        <w:tc>
          <w:tcPr>
            <w:tcW w:type="dxa" w:w="1634"/>
            <w:tcBorders>
              <w:top w:val="single" w:sz="8" w:color="17211E" w:space="0"/>
              <w:left w:val="nil"/>
              <w:bottom w:val="single" w:sz="8" w:color="17211E" w:space="0"/>
              <w:right w:val="nil"/>
            </w:tcBorders>
            <w:tcMar>
              <w:top w:w="79" w:type="dxa"/>
              <w:left w:w="85" w:type="dxa"/>
              <w:bottom w:w="79" w:type="dxa"/>
              <w:right w:w="0" w:type="dxa"/>
            </w:tcMar>
            <w:vAlign w:val="bottom"/>
          </w:tcPr>
          <w:p>
            <w:pPr>
              <w:pStyle w:val="TblHead"/>
              <w:jc w:val="right"/>
            </w:pPr>
            <w:r>
              <w:t>Complaints / 1k</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Aldermoor</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Urban core</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31</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88</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4.6</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3.9%</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11%</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2.31</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97.1</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2.4</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Brackenfield</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Urban core</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27</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84</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5.1</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4.2%</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14%</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2.38</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96.8</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2.7</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Carrowgate</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Urban core</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22</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81</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5.3</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4.4%</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15%</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2.44</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96.5</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2.9</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Dunmere</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Urban core</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16</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83</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5.0</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4.0%</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12%</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2.51</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96.9</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2.6</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Eastholme</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Regional</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15</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59</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5.8</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8.1%</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22%</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3.02</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94.8</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4.1</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Fenwick</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Regional</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14</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61</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5.6</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8.4%</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25%</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3.00</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94.6</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4.4</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Garrowby</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Regional</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13</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57</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6.0</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9.2%</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27%</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3.19</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93.9</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4.8</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Hartwell</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Regional</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13</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58</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5.9</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9.0%</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28%</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3.14</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94.1</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4.6</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Ironbridge</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Regional</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12</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60</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5.4</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8.7%</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24%</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3.05</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94.7</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4.3</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Jesmond Vale</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Regional</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12</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56</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6.2</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9.5%</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29%</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3.27</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93.5</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5.0</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Kingsley</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Regional</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10</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55</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6.1</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9.3%</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26%</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3.20</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93.8</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4.9</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Lowmoor</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Regional</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57</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5.7</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8.8%</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23%</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3.16</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94.2</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4.5</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Marram Bay</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Coastal</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10</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48</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6.4</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11.0%</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31%</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3.84</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92.4</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5.6</w:t>
            </w:r>
          </w:p>
        </w:tc>
      </w:tr>
      <w:tr>
        <w:trPr>
          <w:cantSplit/>
        </w:trPr>
        <w:tc>
          <w:tcPr>
            <w:tcW w:type="dxa" w:w="1906"/>
            <w:tcBorders>
              <w:top w:val="nil"/>
              <w:left w:val="nil"/>
              <w:bottom w:val="single" w:sz="4" w:color="B9BFBB" w:space="0"/>
              <w:right w:val="nil"/>
            </w:tcBorders>
            <w:tcMar>
              <w:top w:w="57" w:type="dxa"/>
              <w:left w:w="0" w:type="dxa"/>
              <w:bottom w:w="57" w:type="dxa"/>
              <w:right w:w="85" w:type="dxa"/>
            </w:tcMar>
            <w:vAlign w:val="top"/>
          </w:tcPr>
          <w:p>
            <w:pPr>
              <w:pStyle w:val="TblText"/>
              <w:jc w:val="left"/>
            </w:pPr>
            <w:r>
              <w:rPr>
                <w:sz w:val="15"/>
              </w:rPr>
              <w:t>Netherby Sands</w:t>
            </w:r>
          </w:p>
        </w:tc>
        <w:tc>
          <w:tcPr>
            <w:tcW w:type="dxa" w:w="1362"/>
            <w:tcBorders>
              <w:top w:val="nil"/>
              <w:left w:val="nil"/>
              <w:bottom w:val="single" w:sz="4" w:color="B9BFBB" w:space="0"/>
              <w:right w:val="nil"/>
            </w:tcBorders>
            <w:tcMar>
              <w:top w:w="57" w:type="dxa"/>
              <w:left w:w="85" w:type="dxa"/>
              <w:bottom w:w="57" w:type="dxa"/>
              <w:right w:w="85" w:type="dxa"/>
            </w:tcMar>
            <w:vAlign w:val="top"/>
          </w:tcPr>
          <w:p>
            <w:pPr>
              <w:pStyle w:val="TblText"/>
              <w:jc w:val="left"/>
            </w:pPr>
            <w:r>
              <w:rPr>
                <w:sz w:val="15"/>
              </w:rPr>
              <w:t>Coastal</w:t>
            </w:r>
          </w:p>
        </w:tc>
        <w:tc>
          <w:tcPr>
            <w:tcW w:type="dxa" w:w="817"/>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8</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46</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6.6</w:t>
            </w:r>
          </w:p>
        </w:tc>
        <w:tc>
          <w:tcPr>
            <w:tcW w:type="dxa" w:w="1089"/>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11.5%</w:t>
            </w:r>
          </w:p>
        </w:tc>
        <w:tc>
          <w:tcPr>
            <w:tcW w:type="dxa" w:w="1634"/>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33%</w:t>
            </w:r>
          </w:p>
        </w:tc>
        <w:tc>
          <w:tcPr>
            <w:tcW w:type="dxa" w:w="1634"/>
            <w:tcBorders>
              <w:top w:val="nil"/>
              <w:left w:val="nil"/>
              <w:bottom w:val="single" w:sz="4" w:color="B9BFBB" w:space="0"/>
              <w:right w:val="nil"/>
            </w:tcBorders>
            <w:shd w:val="clear" w:color="auto" w:fill="F1F2EE"/>
            <w:tcMar>
              <w:top w:w="57" w:type="dxa"/>
              <w:left w:w="85" w:type="dxa"/>
              <w:bottom w:w="57" w:type="dxa"/>
              <w:right w:w="85" w:type="dxa"/>
            </w:tcMar>
            <w:vAlign w:val="top"/>
          </w:tcPr>
          <w:p>
            <w:pPr>
              <w:pStyle w:val="TblText"/>
              <w:jc w:val="right"/>
            </w:pPr>
            <w:r>
              <w:rPr>
                <w:b/>
                <w:sz w:val="15"/>
              </w:rPr>
              <w:t>3.93</w:t>
            </w:r>
          </w:p>
        </w:tc>
        <w:tc>
          <w:tcPr>
            <w:tcW w:type="dxa" w:w="1226"/>
            <w:tcBorders>
              <w:top w:val="nil"/>
              <w:left w:val="nil"/>
              <w:bottom w:val="single" w:sz="4" w:color="B9BFBB" w:space="0"/>
              <w:right w:val="nil"/>
            </w:tcBorders>
            <w:tcMar>
              <w:top w:w="57" w:type="dxa"/>
              <w:left w:w="85" w:type="dxa"/>
              <w:bottom w:w="57" w:type="dxa"/>
              <w:right w:w="85" w:type="dxa"/>
            </w:tcMar>
            <w:vAlign w:val="top"/>
          </w:tcPr>
          <w:p>
            <w:pPr>
              <w:pStyle w:val="TblText"/>
              <w:jc w:val="right"/>
            </w:pPr>
            <w:r>
              <w:rPr>
                <w:sz w:val="15"/>
              </w:rPr>
              <w:t>92.0</w:t>
            </w:r>
          </w:p>
        </w:tc>
        <w:tc>
          <w:tcPr>
            <w:tcW w:type="dxa" w:w="1634"/>
            <w:tcBorders>
              <w:top w:val="nil"/>
              <w:left w:val="nil"/>
              <w:bottom w:val="single" w:sz="4" w:color="B9BFBB" w:space="0"/>
              <w:right w:val="nil"/>
            </w:tcBorders>
            <w:tcMar>
              <w:top w:w="57" w:type="dxa"/>
              <w:left w:w="85" w:type="dxa"/>
              <w:bottom w:w="57" w:type="dxa"/>
              <w:right w:w="0" w:type="dxa"/>
            </w:tcMar>
            <w:vAlign w:val="top"/>
          </w:tcPr>
          <w:p>
            <w:pPr>
              <w:pStyle w:val="TblText"/>
              <w:jc w:val="right"/>
            </w:pPr>
            <w:r>
              <w:rPr>
                <w:sz w:val="15"/>
              </w:rPr>
              <w:t>5.9</w:t>
            </w:r>
          </w:p>
        </w:tc>
      </w:tr>
      <w:tr>
        <w:trPr>
          <w:cantSplit/>
        </w:trPr>
        <w:tc>
          <w:tcPr>
            <w:tcW w:type="dxa" w:w="1906"/>
            <w:tcBorders>
              <w:top w:val="single" w:sz="8" w:color="17211E" w:space="0"/>
              <w:left w:val="nil"/>
              <w:bottom w:val="single" w:sz="8" w:color="17211E" w:space="0"/>
              <w:right w:val="nil"/>
            </w:tcBorders>
            <w:tcMar>
              <w:top w:w="57" w:type="dxa"/>
              <w:left w:w="0" w:type="dxa"/>
              <w:bottom w:w="57" w:type="dxa"/>
              <w:right w:w="85" w:type="dxa"/>
            </w:tcMar>
            <w:vAlign w:val="top"/>
          </w:tcPr>
          <w:p>
            <w:pPr>
              <w:pStyle w:val="TblText"/>
              <w:jc w:val="left"/>
            </w:pPr>
            <w:r>
              <w:rPr>
                <w:b/>
                <w:sz w:val="15"/>
              </w:rPr>
              <w:t>Network</w:t>
            </w:r>
          </w:p>
        </w:tc>
        <w:tc>
          <w:tcPr>
            <w:tcW w:type="dxa" w:w="1362"/>
            <w:tcBorders>
              <w:top w:val="single" w:sz="8" w:color="17211E" w:space="0"/>
              <w:left w:val="nil"/>
              <w:bottom w:val="single" w:sz="8" w:color="17211E" w:space="0"/>
              <w:right w:val="nil"/>
            </w:tcBorders>
            <w:tcMar>
              <w:top w:w="57" w:type="dxa"/>
              <w:left w:w="85" w:type="dxa"/>
              <w:bottom w:w="57" w:type="dxa"/>
              <w:right w:w="85" w:type="dxa"/>
            </w:tcMar>
            <w:vAlign w:val="top"/>
          </w:tcPr>
          <w:p>
            <w:pPr>
              <w:pStyle w:val="TblText"/>
              <w:jc w:val="left"/>
            </w:pPr>
            <w:r>
              <w:rPr>
                <w:b/>
                <w:sz w:val="15"/>
              </w:rPr>
            </w:r>
          </w:p>
        </w:tc>
        <w:tc>
          <w:tcPr>
            <w:tcW w:type="dxa" w:w="817"/>
            <w:tcBorders>
              <w:top w:val="single" w:sz="8" w:color="17211E" w:space="0"/>
              <w:left w:val="nil"/>
              <w:bottom w:val="single" w:sz="8" w:color="17211E" w:space="0"/>
              <w:right w:val="nil"/>
            </w:tcBorders>
            <w:tcMar>
              <w:top w:w="57" w:type="dxa"/>
              <w:left w:w="85" w:type="dxa"/>
              <w:bottom w:w="57" w:type="dxa"/>
              <w:right w:w="85" w:type="dxa"/>
            </w:tcMar>
            <w:vAlign w:val="top"/>
          </w:tcPr>
          <w:p>
            <w:pPr>
              <w:pStyle w:val="TblText"/>
              <w:jc w:val="right"/>
            </w:pPr>
            <w:r>
              <w:rPr>
                <w:b/>
                <w:sz w:val="15"/>
              </w:rPr>
              <w:t>212</w:t>
            </w:r>
          </w:p>
        </w:tc>
        <w:tc>
          <w:tcPr>
            <w:tcW w:type="dxa" w:w="1634"/>
            <w:tcBorders>
              <w:top w:val="single" w:sz="8" w:color="17211E" w:space="0"/>
              <w:left w:val="nil"/>
              <w:bottom w:val="single" w:sz="8" w:color="17211E" w:space="0"/>
              <w:right w:val="nil"/>
            </w:tcBorders>
            <w:tcMar>
              <w:top w:w="57" w:type="dxa"/>
              <w:left w:w="85" w:type="dxa"/>
              <w:bottom w:w="57" w:type="dxa"/>
              <w:right w:w="85" w:type="dxa"/>
            </w:tcMar>
            <w:vAlign w:val="top"/>
          </w:tcPr>
          <w:p>
            <w:pPr>
              <w:pStyle w:val="TblText"/>
              <w:jc w:val="right"/>
            </w:pPr>
            <w:r>
              <w:rPr>
                <w:b/>
                <w:sz w:val="15"/>
              </w:rPr>
              <w:t>67</w:t>
            </w:r>
          </w:p>
        </w:tc>
        <w:tc>
          <w:tcPr>
            <w:tcW w:type="dxa" w:w="1634"/>
            <w:tcBorders>
              <w:top w:val="single" w:sz="8" w:color="17211E" w:space="0"/>
              <w:left w:val="nil"/>
              <w:bottom w:val="single" w:sz="8" w:color="17211E" w:space="0"/>
              <w:right w:val="nil"/>
            </w:tcBorders>
            <w:tcMar>
              <w:top w:w="57" w:type="dxa"/>
              <w:left w:w="85" w:type="dxa"/>
              <w:bottom w:w="57" w:type="dxa"/>
              <w:right w:w="85" w:type="dxa"/>
            </w:tcMar>
            <w:vAlign w:val="top"/>
          </w:tcPr>
          <w:p>
            <w:pPr>
              <w:pStyle w:val="TblText"/>
              <w:jc w:val="right"/>
            </w:pPr>
            <w:r>
              <w:rPr>
                <w:b/>
                <w:sz w:val="15"/>
              </w:rPr>
              <w:t>5.3</w:t>
            </w:r>
          </w:p>
        </w:tc>
        <w:tc>
          <w:tcPr>
            <w:tcW w:type="dxa" w:w="1089"/>
            <w:tcBorders>
              <w:top w:val="single" w:sz="8" w:color="17211E" w:space="0"/>
              <w:left w:val="nil"/>
              <w:bottom w:val="single" w:sz="8" w:color="17211E" w:space="0"/>
              <w:right w:val="nil"/>
            </w:tcBorders>
            <w:tcMar>
              <w:top w:w="57" w:type="dxa"/>
              <w:left w:w="85" w:type="dxa"/>
              <w:bottom w:w="57" w:type="dxa"/>
              <w:right w:w="85" w:type="dxa"/>
            </w:tcMar>
            <w:vAlign w:val="top"/>
          </w:tcPr>
          <w:p>
            <w:pPr>
              <w:pStyle w:val="TblText"/>
              <w:jc w:val="right"/>
            </w:pPr>
            <w:r>
              <w:rPr>
                <w:b/>
                <w:sz w:val="15"/>
              </w:rPr>
              <w:t>7.4%</w:t>
            </w:r>
          </w:p>
        </w:tc>
        <w:tc>
          <w:tcPr>
            <w:tcW w:type="dxa" w:w="1634"/>
            <w:tcBorders>
              <w:top w:val="single" w:sz="8" w:color="17211E" w:space="0"/>
              <w:left w:val="nil"/>
              <w:bottom w:val="single" w:sz="8" w:color="17211E" w:space="0"/>
              <w:right w:val="nil"/>
            </w:tcBorders>
            <w:tcMar>
              <w:top w:w="57" w:type="dxa"/>
              <w:left w:w="85" w:type="dxa"/>
              <w:bottom w:w="57" w:type="dxa"/>
              <w:right w:w="85" w:type="dxa"/>
            </w:tcMar>
            <w:vAlign w:val="top"/>
          </w:tcPr>
          <w:p>
            <w:pPr>
              <w:pStyle w:val="TblText"/>
              <w:jc w:val="right"/>
            </w:pPr>
            <w:r>
              <w:rPr>
                <w:b/>
                <w:sz w:val="15"/>
              </w:rPr>
              <w:t>24%</w:t>
            </w:r>
          </w:p>
        </w:tc>
        <w:tc>
          <w:tcPr>
            <w:tcW w:type="dxa" w:w="1634"/>
            <w:tcBorders>
              <w:top w:val="single" w:sz="8" w:color="17211E" w:space="0"/>
              <w:left w:val="nil"/>
              <w:bottom w:val="single" w:sz="8" w:color="17211E" w:space="0"/>
              <w:right w:val="nil"/>
            </w:tcBorders>
            <w:shd w:val="clear" w:color="auto" w:fill="F1F2EE"/>
            <w:tcMar>
              <w:top w:w="57" w:type="dxa"/>
              <w:left w:w="85" w:type="dxa"/>
              <w:bottom w:w="57" w:type="dxa"/>
              <w:right w:w="85" w:type="dxa"/>
            </w:tcMar>
            <w:vAlign w:val="top"/>
          </w:tcPr>
          <w:p>
            <w:pPr>
              <w:pStyle w:val="TblText"/>
              <w:jc w:val="right"/>
            </w:pPr>
            <w:r>
              <w:rPr>
                <w:b/>
                <w:sz w:val="15"/>
              </w:rPr>
              <w:t>2.97</w:t>
            </w:r>
          </w:p>
        </w:tc>
        <w:tc>
          <w:tcPr>
            <w:tcW w:type="dxa" w:w="1226"/>
            <w:tcBorders>
              <w:top w:val="single" w:sz="8" w:color="17211E" w:space="0"/>
              <w:left w:val="nil"/>
              <w:bottom w:val="single" w:sz="8" w:color="17211E" w:space="0"/>
              <w:right w:val="nil"/>
            </w:tcBorders>
            <w:tcMar>
              <w:top w:w="57" w:type="dxa"/>
              <w:left w:w="85" w:type="dxa"/>
              <w:bottom w:w="57" w:type="dxa"/>
              <w:right w:w="85" w:type="dxa"/>
            </w:tcMar>
            <w:vAlign w:val="top"/>
          </w:tcPr>
          <w:p>
            <w:pPr>
              <w:pStyle w:val="TblText"/>
              <w:jc w:val="right"/>
            </w:pPr>
            <w:r>
              <w:rPr>
                <w:b/>
                <w:sz w:val="15"/>
              </w:rPr>
              <w:t>95.0</w:t>
            </w:r>
          </w:p>
        </w:tc>
        <w:tc>
          <w:tcPr>
            <w:tcW w:type="dxa" w:w="1634"/>
            <w:tcBorders>
              <w:top w:val="single" w:sz="8" w:color="17211E" w:space="0"/>
              <w:left w:val="nil"/>
              <w:bottom w:val="single" w:sz="8" w:color="17211E" w:space="0"/>
              <w:right w:val="nil"/>
            </w:tcBorders>
            <w:tcMar>
              <w:top w:w="57" w:type="dxa"/>
              <w:left w:w="85" w:type="dxa"/>
              <w:bottom w:w="57" w:type="dxa"/>
              <w:right w:w="0" w:type="dxa"/>
            </w:tcMar>
            <w:vAlign w:val="top"/>
          </w:tcPr>
          <w:p>
            <w:pPr>
              <w:pStyle w:val="TblText"/>
              <w:jc w:val="right"/>
            </w:pPr>
            <w:r>
              <w:rPr>
                <w:b/>
                <w:sz w:val="15"/>
              </w:rPr>
              <w:t>3.9</w:t>
            </w:r>
          </w:p>
        </w:tc>
      </w:tr>
    </w:tbl>
    <w:p>
      <w:pPr>
        <w:pStyle w:val="Caption"/>
      </w:pPr>
      <w:r>
        <w:t>Dwell time for Garrowby, Hartwell and Jesmond Vale estimated from gate logs. Source: Illustrative data (invented for this sample).</w:t>
      </w:r>
    </w:p>
    <w:p>
      <w:pPr>
        <w:spacing w:before="0" w:after="0" w:line="20" w:lineRule="exact"/>
        <w:sectPr>
          <w:headerReference w:type="default" r:id="rId26"/>
          <w:footerReference w:type="default" r:id="rId27"/>
          <w:pgSz w:w="16838" w:h="11906" w:orient="landscape"/>
          <w:pgMar w:top="1134" w:right="1020" w:bottom="907" w:left="1247" w:header="624" w:footer="567" w:gutter="0"/>
          <w:cols w:num="1" w:space="453"/>
          <w:docGrid w:linePitch="360"/>
        </w:sectPr>
      </w:pPr>
    </w:p>
    <w:p>
      <w:pPr>
        <w:pStyle w:val="Kicker"/>
      </w:pPr>
      <w:r>
        <w:t>Recommendations</w:t>
      </w:r>
    </w:p>
    <w:p>
      <w:pPr>
        <w:pStyle w:val="Heading1"/>
      </w:pPr>
      <w:r>
        <w:t>Findings and recommendations</w:t>
      </w:r>
    </w:p>
    <w:p>
      <w:pPr>
        <w:pBdr>
          <w:bottom w:val="single" w:sz="24" w:space="1" w:color="0B5D4F"/>
        </w:pBdr>
        <w:spacing w:before="0" w:after="280" w:line="20" w:lineRule="exact"/>
        <w:ind w:right="8391"/>
        <w:rPr>
          <w:sz w:val="2"/>
        </w:rPr>
      </w:pPr>
      <w:r/>
    </w:p>
    <w:p>
      <w:pPr>
        <w:pStyle w:val="Lead"/>
        <w:ind w:right="1984"/>
      </w:pPr>
      <w:r>
        <w:t>Four actions, ordered by dependency rather than by size of prize.</w:t>
      </w:r>
    </w:p>
    <w:tbl>
      <w:tblPr>
        <w:tblW w:type="dxa" w:w="9637"/>
        <w:jc w:val="left"/>
        <w:tblLayout w:type="fixed"/>
        <w:tblLayout w:type="fixed"/>
        <w:tblCellMar>
          <w:top w:w="0" w:type="dxa"/>
          <w:left w:w="0" w:type="dxa"/>
          <w:bottom w:w="0" w:type="dxa"/>
          <w:right w:w="0" w:type="dxa"/>
        </w:tblCellMar>
        <w:tblLook w:firstColumn="1" w:firstRow="1" w:lastColumn="0" w:lastRow="0" w:noHBand="0" w:noVBand="1" w:val="04A0"/>
      </w:tblPr>
      <w:tblGrid>
        <w:gridCol w:w="1134"/>
        <w:gridCol w:w="5896"/>
        <w:gridCol w:w="2608"/>
      </w:tblGrid>
      <w:tr>
        <w:trPr>
          <w:cantSplit/>
        </w:trPr>
        <w:tc>
          <w:tcPr>
            <w:tcW w:type="dxa" w:w="1134"/>
            <w:tcBorders>
              <w:top w:val="single" w:sz="8" w:color="17211E" w:space="0"/>
              <w:left w:val="nil"/>
              <w:bottom w:val="nil"/>
              <w:right w:val="nil"/>
            </w:tcBorders>
            <w:tcMar>
              <w:top w:w="170" w:type="dxa"/>
              <w:left w:w="0" w:type="dxa"/>
              <w:bottom w:w="170" w:type="dxa"/>
              <w:right w:w="0" w:type="dxa"/>
            </w:tcMar>
          </w:tcPr>
          <w:p>
            <w:pPr>
              <w:pStyle w:val="NumL"/>
            </w:pPr>
            <w:r>
              <w:t>01</w:t>
            </w:r>
          </w:p>
        </w:tc>
        <w:tc>
          <w:tcPr>
            <w:tcW w:type="dxa" w:w="5896"/>
            <w:tcBorders>
              <w:top w:val="single" w:sz="8" w:color="17211E" w:space="0"/>
              <w:left w:val="nil"/>
              <w:bottom w:val="nil"/>
              <w:right w:val="nil"/>
            </w:tcBorders>
            <w:tcMar>
              <w:top w:w="170" w:type="dxa"/>
              <w:left w:w="0" w:type="dxa"/>
              <w:bottom w:w="170" w:type="dxa"/>
              <w:right w:w="454" w:type="dxa"/>
            </w:tcMar>
          </w:tcPr>
          <w:p>
            <w:pPr>
              <w:pStyle w:val="Heading2"/>
              <w:keepNext w:val="0"/>
              <w:spacing w:before="0"/>
            </w:pPr>
            <w:r>
              <w:t>Remove the single manifest cut-off</w:t>
            </w:r>
          </w:p>
          <w:p>
            <w:pPr/>
            <w:r>
              <w:t>Stagger manifest release in three waves between 05:00 and 07:00 at the three largest depots. This cuts median dwell and lets drivers leave before peak traffic.</w:t>
            </w:r>
          </w:p>
        </w:tc>
        <w:tc>
          <w:tcPr>
            <w:tcW w:type="dxa" w:w="2608"/>
            <w:tcBorders>
              <w:top w:val="single" w:sz="8" w:color="17211E" w:space="0"/>
              <w:left w:val="nil"/>
              <w:bottom w:val="nil"/>
              <w:right w:val="nil"/>
            </w:tcBorders>
            <w:tcMar>
              <w:top w:w="193" w:type="dxa"/>
              <w:left w:w="0" w:type="dxa"/>
              <w:bottom w:w="170" w:type="dxa"/>
              <w:right w:w="0" w:type="dxa"/>
            </w:tcMar>
          </w:tcPr>
          <w:p>
            <w:pPr>
              <w:pStyle w:val="Label"/>
              <w:spacing w:after="0"/>
            </w:pPr>
            <w:r>
              <w:t>Priority</w:t>
            </w:r>
          </w:p>
          <w:p>
            <w:pPr>
              <w:pStyle w:val="Meta"/>
              <w:spacing w:after="80"/>
            </w:pPr>
            <w:r>
              <w:t>High</w:t>
            </w:r>
          </w:p>
          <w:p>
            <w:pPr>
              <w:pStyle w:val="Label"/>
              <w:spacing w:after="0"/>
            </w:pPr>
            <w:r>
              <w:t>Owner</w:t>
            </w:r>
          </w:p>
          <w:p>
            <w:pPr>
              <w:pStyle w:val="Meta"/>
              <w:spacing w:after="80"/>
            </w:pPr>
            <w:r>
              <w:t>Head of depot operations</w:t>
            </w:r>
          </w:p>
          <w:p>
            <w:pPr>
              <w:pStyle w:val="Label"/>
              <w:spacing w:after="0"/>
            </w:pPr>
            <w:r>
              <w:t>Timing</w:t>
            </w:r>
          </w:p>
          <w:p>
            <w:pPr>
              <w:pStyle w:val="Meta"/>
              <w:spacing w:after="80"/>
            </w:pPr>
            <w:r>
              <w:t>Weeks 1–8</w:t>
            </w:r>
          </w:p>
          <w:p>
            <w:pPr>
              <w:pStyle w:val="Label"/>
              <w:spacing w:after="0"/>
            </w:pPr>
            <w:r>
              <w:t>Effect</w:t>
            </w:r>
          </w:p>
          <w:p>
            <w:pPr>
              <w:pStyle w:val="Meta"/>
              <w:spacing w:after="80"/>
            </w:pPr>
            <w:r>
              <w:t>~3.8% cost / parcel</w:t>
            </w:r>
          </w:p>
        </w:tc>
      </w:tr>
      <w:tr>
        <w:trPr>
          <w:cantSplit/>
        </w:trPr>
        <w:tc>
          <w:tcPr>
            <w:tcW w:type="dxa" w:w="1134"/>
            <w:tcBorders>
              <w:top w:val="single" w:sz="4" w:color="B9BFBB" w:space="0"/>
              <w:left w:val="nil"/>
              <w:bottom w:val="nil"/>
              <w:right w:val="nil"/>
            </w:tcBorders>
            <w:tcMar>
              <w:top w:w="170" w:type="dxa"/>
              <w:left w:w="0" w:type="dxa"/>
              <w:bottom w:w="170" w:type="dxa"/>
              <w:right w:w="0" w:type="dxa"/>
            </w:tcMar>
          </w:tcPr>
          <w:p>
            <w:pPr>
              <w:pStyle w:val="NumL"/>
            </w:pPr>
            <w:r>
              <w:t>02</w:t>
            </w:r>
          </w:p>
        </w:tc>
        <w:tc>
          <w:tcPr>
            <w:tcW w:type="dxa" w:w="5896"/>
            <w:tcBorders>
              <w:top w:val="single" w:sz="4" w:color="B9BFBB" w:space="0"/>
              <w:left w:val="nil"/>
              <w:bottom w:val="nil"/>
              <w:right w:val="nil"/>
            </w:tcBorders>
            <w:tcMar>
              <w:top w:w="170" w:type="dxa"/>
              <w:left w:w="0" w:type="dxa"/>
              <w:bottom w:w="170" w:type="dxa"/>
              <w:right w:w="454" w:type="dxa"/>
            </w:tcMar>
          </w:tcPr>
          <w:p>
            <w:pPr>
              <w:pStyle w:val="Heading2"/>
              <w:keepNext w:val="0"/>
              <w:spacing w:before="0"/>
            </w:pPr>
            <w:r>
              <w:t>Redraw regional rounds to 62 stops</w:t>
            </w:r>
          </w:p>
          <w:p>
            <w:pPr/>
            <w:r>
              <w:t>Rebuild rounds around density, not postcode boundaries, starting with the north-east cluster. Adopt weekly re-optimisation in the routing tool.</w:t>
            </w:r>
          </w:p>
          <w:p>
            <w:pPr/>
            <w:r>
              <w:t>Pilot at two depots before scaling, so the savings estimate can be checked against real stop counts.</w:t>
            </w:r>
          </w:p>
        </w:tc>
        <w:tc>
          <w:tcPr>
            <w:tcW w:type="dxa" w:w="2608"/>
            <w:tcBorders>
              <w:top w:val="single" w:sz="4" w:color="B9BFBB" w:space="0"/>
              <w:left w:val="nil"/>
              <w:bottom w:val="nil"/>
              <w:right w:val="nil"/>
            </w:tcBorders>
            <w:tcMar>
              <w:top w:w="193" w:type="dxa"/>
              <w:left w:w="0" w:type="dxa"/>
              <w:bottom w:w="170" w:type="dxa"/>
              <w:right w:w="0" w:type="dxa"/>
            </w:tcMar>
          </w:tcPr>
          <w:p>
            <w:pPr>
              <w:pStyle w:val="Label"/>
              <w:spacing w:after="0"/>
            </w:pPr>
            <w:r>
              <w:t>Priority</w:t>
            </w:r>
          </w:p>
          <w:p>
            <w:pPr>
              <w:pStyle w:val="Meta"/>
              <w:spacing w:after="80"/>
            </w:pPr>
            <w:r>
              <w:t>High</w:t>
            </w:r>
          </w:p>
          <w:p>
            <w:pPr>
              <w:pStyle w:val="Label"/>
              <w:spacing w:after="0"/>
            </w:pPr>
            <w:r>
              <w:t>Owner</w:t>
            </w:r>
          </w:p>
          <w:p>
            <w:pPr>
              <w:pStyle w:val="Meta"/>
              <w:spacing w:after="80"/>
            </w:pPr>
            <w:r>
              <w:t>Network planning</w:t>
            </w:r>
          </w:p>
          <w:p>
            <w:pPr>
              <w:pStyle w:val="Label"/>
              <w:spacing w:after="0"/>
            </w:pPr>
            <w:r>
              <w:t>Timing</w:t>
            </w:r>
          </w:p>
          <w:p>
            <w:pPr>
              <w:pStyle w:val="Meta"/>
              <w:spacing w:after="80"/>
            </w:pPr>
            <w:r>
              <w:t>Weeks 6–30</w:t>
            </w:r>
          </w:p>
          <w:p>
            <w:pPr>
              <w:pStyle w:val="Label"/>
              <w:spacing w:after="0"/>
            </w:pPr>
            <w:r>
              <w:t>Effect</w:t>
            </w:r>
          </w:p>
          <w:p>
            <w:pPr>
              <w:pStyle w:val="Meta"/>
              <w:spacing w:after="80"/>
            </w:pPr>
            <w:r>
              <w:t>~4.9% cost / parcel</w:t>
            </w:r>
          </w:p>
        </w:tc>
      </w:tr>
      <w:tr>
        <w:trPr>
          <w:cantSplit/>
        </w:trPr>
        <w:tc>
          <w:tcPr>
            <w:tcW w:type="dxa" w:w="1134"/>
            <w:tcBorders>
              <w:top w:val="single" w:sz="4" w:color="B9BFBB" w:space="0"/>
              <w:left w:val="nil"/>
              <w:bottom w:val="nil"/>
              <w:right w:val="nil"/>
            </w:tcBorders>
            <w:tcMar>
              <w:top w:w="170" w:type="dxa"/>
              <w:left w:w="0" w:type="dxa"/>
              <w:bottom w:w="170" w:type="dxa"/>
              <w:right w:w="0" w:type="dxa"/>
            </w:tcMar>
          </w:tcPr>
          <w:p>
            <w:pPr>
              <w:pStyle w:val="NumL"/>
            </w:pPr>
            <w:r>
              <w:rPr>
                <w:color w:val="17211E"/>
              </w:rPr>
              <w:t>03</w:t>
            </w:r>
          </w:p>
        </w:tc>
        <w:tc>
          <w:tcPr>
            <w:tcW w:type="dxa" w:w="5896"/>
            <w:tcBorders>
              <w:top w:val="single" w:sz="4" w:color="B9BFBB" w:space="0"/>
              <w:left w:val="nil"/>
              <w:bottom w:val="nil"/>
              <w:right w:val="nil"/>
            </w:tcBorders>
            <w:tcMar>
              <w:top w:w="170" w:type="dxa"/>
              <w:left w:w="0" w:type="dxa"/>
              <w:bottom w:w="170" w:type="dxa"/>
              <w:right w:w="454" w:type="dxa"/>
            </w:tcMar>
          </w:tcPr>
          <w:p>
            <w:pPr>
              <w:pStyle w:val="Heading2"/>
              <w:keepNext w:val="0"/>
              <w:spacing w:before="0"/>
            </w:pPr>
            <w:r>
              <w:t>Re-tender third-party volume</w:t>
            </w:r>
          </w:p>
          <w:p>
            <w:pPr/>
            <w:r>
              <w:t>Move from overflow use to two contracted carriers with committed volumes and a quality clause. Bring back in-house any route that exceeds in-house unit cost by more than 10%.</w:t>
            </w:r>
          </w:p>
        </w:tc>
        <w:tc>
          <w:tcPr>
            <w:tcW w:type="dxa" w:w="2608"/>
            <w:tcBorders>
              <w:top w:val="single" w:sz="4" w:color="B9BFBB" w:space="0"/>
              <w:left w:val="nil"/>
              <w:bottom w:val="nil"/>
              <w:right w:val="nil"/>
            </w:tcBorders>
            <w:tcMar>
              <w:top w:w="193" w:type="dxa"/>
              <w:left w:w="0" w:type="dxa"/>
              <w:bottom w:w="170" w:type="dxa"/>
              <w:right w:w="0" w:type="dxa"/>
            </w:tcMar>
          </w:tcPr>
          <w:p>
            <w:pPr>
              <w:pStyle w:val="Label"/>
              <w:spacing w:after="0"/>
            </w:pPr>
            <w:r>
              <w:t>Priority</w:t>
            </w:r>
          </w:p>
          <w:p>
            <w:pPr>
              <w:pStyle w:val="Meta"/>
              <w:spacing w:after="80"/>
            </w:pPr>
            <w:r>
              <w:t>Medium</w:t>
            </w:r>
          </w:p>
          <w:p>
            <w:pPr>
              <w:pStyle w:val="Label"/>
              <w:spacing w:after="0"/>
            </w:pPr>
            <w:r>
              <w:t>Owner</w:t>
            </w:r>
          </w:p>
          <w:p>
            <w:pPr>
              <w:pStyle w:val="Meta"/>
              <w:spacing w:after="80"/>
            </w:pPr>
            <w:r>
              <w:t>Procurement</w:t>
            </w:r>
          </w:p>
          <w:p>
            <w:pPr>
              <w:pStyle w:val="Label"/>
              <w:spacing w:after="0"/>
            </w:pPr>
            <w:r>
              <w:t>Timing</w:t>
            </w:r>
          </w:p>
          <w:p>
            <w:pPr>
              <w:pStyle w:val="Meta"/>
              <w:spacing w:after="80"/>
            </w:pPr>
            <w:r>
              <w:t>Weeks 12–40</w:t>
            </w:r>
          </w:p>
          <w:p>
            <w:pPr>
              <w:pStyle w:val="Label"/>
              <w:spacing w:after="0"/>
            </w:pPr>
            <w:r>
              <w:t>Effect</w:t>
            </w:r>
          </w:p>
          <w:p>
            <w:pPr>
              <w:pStyle w:val="Meta"/>
              <w:spacing w:after="80"/>
            </w:pPr>
            <w:r>
              <w:t>~2.3% cost / parcel</w:t>
            </w:r>
          </w:p>
        </w:tc>
      </w:tr>
      <w:tr>
        <w:trPr>
          <w:cantSplit/>
        </w:trPr>
        <w:tc>
          <w:tcPr>
            <w:tcW w:type="dxa" w:w="1134"/>
            <w:tcBorders>
              <w:top w:val="single" w:sz="4" w:color="B9BFBB" w:space="0"/>
              <w:left w:val="nil"/>
              <w:bottom w:val="single" w:sz="8" w:color="17211E" w:space="0"/>
              <w:right w:val="nil"/>
            </w:tcBorders>
            <w:tcMar>
              <w:top w:w="170" w:type="dxa"/>
              <w:left w:w="0" w:type="dxa"/>
              <w:bottom w:w="170" w:type="dxa"/>
              <w:right w:w="0" w:type="dxa"/>
            </w:tcMar>
          </w:tcPr>
          <w:p>
            <w:pPr>
              <w:pStyle w:val="NumL"/>
            </w:pPr>
            <w:r>
              <w:rPr>
                <w:color w:val="17211E"/>
              </w:rPr>
              <w:t>04</w:t>
            </w:r>
          </w:p>
        </w:tc>
        <w:tc>
          <w:tcPr>
            <w:tcW w:type="dxa" w:w="5896"/>
            <w:tcBorders>
              <w:top w:val="single" w:sz="4" w:color="B9BFBB" w:space="0"/>
              <w:left w:val="nil"/>
              <w:bottom w:val="single" w:sz="8" w:color="17211E" w:space="0"/>
              <w:right w:val="nil"/>
            </w:tcBorders>
            <w:tcMar>
              <w:top w:w="170" w:type="dxa"/>
              <w:left w:w="0" w:type="dxa"/>
              <w:bottom w:w="170" w:type="dxa"/>
              <w:right w:w="454" w:type="dxa"/>
            </w:tcMar>
          </w:tcPr>
          <w:p>
            <w:pPr>
              <w:pStyle w:val="Heading2"/>
              <w:keepNext w:val="0"/>
              <w:spacing w:before="0"/>
            </w:pPr>
            <w:r>
              <w:t>Track four measures weekly</w:t>
            </w:r>
          </w:p>
          <w:p>
            <w:pPr/>
            <w:r>
              <w:t>Stops per round, median dwell, overtime share and third-party share, reported by depot to the same operating review.</w:t>
            </w:r>
          </w:p>
        </w:tc>
        <w:tc>
          <w:tcPr>
            <w:tcW w:type="dxa" w:w="2608"/>
            <w:tcBorders>
              <w:top w:val="single" w:sz="4" w:color="B9BFBB" w:space="0"/>
              <w:left w:val="nil"/>
              <w:bottom w:val="single" w:sz="8" w:color="17211E" w:space="0"/>
              <w:right w:val="nil"/>
            </w:tcBorders>
            <w:tcMar>
              <w:top w:w="193" w:type="dxa"/>
              <w:left w:w="0" w:type="dxa"/>
              <w:bottom w:w="170" w:type="dxa"/>
              <w:right w:w="0" w:type="dxa"/>
            </w:tcMar>
          </w:tcPr>
          <w:p>
            <w:pPr>
              <w:pStyle w:val="Label"/>
              <w:spacing w:after="0"/>
            </w:pPr>
            <w:r>
              <w:t>Priority</w:t>
            </w:r>
          </w:p>
          <w:p>
            <w:pPr>
              <w:pStyle w:val="Meta"/>
              <w:spacing w:after="80"/>
            </w:pPr>
            <w:r>
              <w:t>Medium</w:t>
            </w:r>
          </w:p>
          <w:p>
            <w:pPr>
              <w:pStyle w:val="Label"/>
              <w:spacing w:after="0"/>
            </w:pPr>
            <w:r>
              <w:t>Owner</w:t>
            </w:r>
          </w:p>
          <w:p>
            <w:pPr>
              <w:pStyle w:val="Meta"/>
              <w:spacing w:after="80"/>
            </w:pPr>
            <w:r>
              <w:t>Finance and operations</w:t>
            </w:r>
          </w:p>
          <w:p>
            <w:pPr>
              <w:pStyle w:val="Label"/>
              <w:spacing w:after="0"/>
            </w:pPr>
            <w:r>
              <w:t>Timing</w:t>
            </w:r>
          </w:p>
          <w:p>
            <w:pPr>
              <w:pStyle w:val="Meta"/>
              <w:spacing w:after="80"/>
            </w:pPr>
            <w:r>
              <w:t>From week 4</w:t>
            </w:r>
          </w:p>
          <w:p>
            <w:pPr>
              <w:pStyle w:val="Label"/>
              <w:spacing w:after="0"/>
            </w:pPr>
            <w:r>
              <w:t>Effect</w:t>
            </w:r>
          </w:p>
          <w:p>
            <w:pPr>
              <w:pStyle w:val="Meta"/>
              <w:spacing w:after="80"/>
            </w:pPr>
            <w:r>
              <w:t>Enabler</w:t>
            </w:r>
          </w:p>
        </w:tc>
      </w:tr>
    </w:tbl>
    <w:p>
      <w:pPr>
        <w:spacing w:before="0" w:after="0" w:line="20" w:lineRule="exact"/>
        <w:sectPr>
          <w:headerReference w:type="default" r:id="rId28"/>
          <w:footerReference w:type="default" r:id="rId29"/>
          <w:pgSz w:w="11906" w:h="16838"/>
          <w:pgMar w:top="1361" w:right="1020" w:bottom="1134" w:left="1247" w:header="624" w:footer="567" w:gutter="0"/>
          <w:cols w:num="1" w:space="453"/>
          <w:docGrid w:linePitch="360"/>
        </w:sectPr>
      </w:pPr>
    </w:p>
    <w:p>
      <w:pPr>
        <w:pStyle w:val="Kicker"/>
      </w:pPr>
      <w:r>
        <w:t>Sources</w:t>
      </w:r>
    </w:p>
    <w:p>
      <w:pPr>
        <w:pStyle w:val="Heading1"/>
      </w:pPr>
      <w:r>
        <w:t>References</w:t>
      </w:r>
    </w:p>
    <w:p>
      <w:pPr>
        <w:pBdr>
          <w:bottom w:val="single" w:sz="24" w:space="1" w:color="0B5D4F"/>
        </w:pBdr>
        <w:spacing w:before="0" w:after="280" w:line="20" w:lineRule="exact"/>
        <w:ind w:right="8391"/>
        <w:rPr>
          <w:sz w:val="2"/>
        </w:rPr>
      </w:pPr>
      <w:r/>
    </w:p>
    <w:p>
      <w:pPr>
        <w:spacing w:before="0" w:after="0" w:line="20" w:lineRule="exact"/>
        <w:sectPr>
          <w:headerReference w:type="default" r:id="rId30"/>
          <w:footerReference w:type="default" r:id="rId31"/>
          <w:pgSz w:w="11906" w:h="16838"/>
          <w:pgMar w:top="1361" w:right="1020" w:bottom="1134" w:left="1247" w:header="624" w:footer="567" w:gutter="0"/>
          <w:cols w:num="1" w:space="453"/>
          <w:docGrid w:linePitch="360"/>
        </w:sectPr>
      </w:pPr>
    </w:p>
    <w:p>
      <w:pPr>
        <w:pStyle w:val="Ref"/>
        <w:tabs>
          <w:tab w:pos="340" w:val="left"/>
        </w:tabs>
      </w:pPr>
      <w:r>
        <w:t>1</w:t>
        <w:tab/>
        <w:t xml:space="preserve">Northgate Freight (fictional). </w:t>
      </w:r>
      <w:r>
        <w:rPr>
          <w:i/>
        </w:rPr>
        <w:t>Route performance log, October 2025–September 2026.</w:t>
      </w:r>
      <w:r>
        <w:t xml:space="preserve"> Operations data extract, invented for this sample.</w:t>
      </w:r>
    </w:p>
    <w:p>
      <w:pPr>
        <w:pStyle w:val="Ref"/>
        <w:tabs>
          <w:tab w:pos="340" w:val="left"/>
        </w:tabs>
      </w:pPr>
      <w:r>
        <w:t>2</w:t>
        <w:tab/>
        <w:t xml:space="preserve">Northgate Freight (fictional). </w:t>
      </w:r>
      <w:r>
        <w:rPr>
          <w:i/>
        </w:rPr>
        <w:t>Depot gate and scan timestamps, FY2026.</w:t>
      </w:r>
      <w:r>
        <w:t xml:space="preserve"> Operations data extract, invented for this sample.</w:t>
      </w:r>
    </w:p>
    <w:p>
      <w:pPr>
        <w:pStyle w:val="Ref"/>
        <w:tabs>
          <w:tab w:pos="340" w:val="left"/>
        </w:tabs>
      </w:pPr>
      <w:r>
        <w:t>3</w:t>
        <w:tab/>
        <w:t xml:space="preserve">Northgate Freight (fictional). </w:t>
      </w:r>
      <w:r>
        <w:rPr>
          <w:i/>
        </w:rPr>
        <w:t>Carrier rate cards and invoice reconciliation, 2022–2026.</w:t>
      </w:r>
      <w:r>
        <w:t xml:space="preserve"> Procurement file, invented for this sample.</w:t>
      </w:r>
    </w:p>
    <w:p>
      <w:pPr>
        <w:pStyle w:val="Ref"/>
        <w:tabs>
          <w:tab w:pos="340" w:val="left"/>
        </w:tabs>
      </w:pPr>
      <w:r>
        <w:t>4</w:t>
        <w:tab/>
        <w:t xml:space="preserve">Illustrative Advisory Group. </w:t>
      </w:r>
      <w:r>
        <w:rPr>
          <w:i/>
        </w:rPr>
        <w:t>Method note: matching cost centres to routes.</w:t>
      </w:r>
      <w:r>
        <w:t xml:space="preserve"> Internal working paper, invented for this sample.</w:t>
      </w:r>
    </w:p>
    <w:p>
      <w:pPr>
        <w:spacing w:before="0" w:after="0" w:line="20" w:lineRule="exact"/>
        <w:sectPr>
          <w:type w:val="continuous"/>
          <w:pgSz w:w="11906" w:h="16838"/>
          <w:pgMar w:top="1361" w:right="1020" w:bottom="1134" w:left="1247" w:header="624" w:footer="567" w:gutter="0"/>
          <w:cols w:num="2" w:space="453"/>
          <w:docGrid w:linePitch="360"/>
        </w:sectPr>
      </w:pPr>
    </w:p>
    <w:p>
      <w:pPr>
        <w:pStyle w:val="Kicker"/>
      </w:pPr>
      <w:r>
        <w:t>Appendix</w:t>
      </w:r>
    </w:p>
    <w:p>
      <w:pPr>
        <w:pStyle w:val="Heading1"/>
      </w:pPr>
      <w:r>
        <w:t>Appendix A — Method and data quality</w:t>
      </w:r>
    </w:p>
    <w:p>
      <w:pPr>
        <w:pBdr>
          <w:bottom w:val="single" w:sz="24" w:space="1" w:color="0B5D4F"/>
        </w:pBdr>
        <w:spacing w:before="0" w:after="280" w:line="20" w:lineRule="exact"/>
        <w:ind w:right="8391"/>
        <w:rPr>
          <w:sz w:val="2"/>
        </w:rPr>
      </w:pPr>
      <w:r/>
    </w:p>
    <w:p>
      <w:pPr/>
      <w:r>
        <w:t>Cost per parcel is total depot delivery cost (drivers, vehicles, fuel, third-party invoices) divided by parcels delivered, matched to routes via the finance cost-centre map.</w:t>
      </w:r>
      <w:r>
        <w:rPr>
          <w:rFonts w:ascii="IBM Plex Sans" w:hAnsi="IBM Plex Sans" w:cs="IBM Plex Sans" w:eastAsia="IBM Plex Sans"/>
          <w:vertAlign w:val="superscript"/>
        </w:rPr>
        <w:t>4</w:t>
      </w:r>
    </w:p>
    <w:p>
      <w:pPr>
        <w:pStyle w:val="FigLabel"/>
      </w:pPr>
      <w:r>
        <w:t>Table 3  —  Data quality flags</w:t>
      </w:r>
    </w:p>
    <w:tbl>
      <w:tblPr>
        <w:tblW w:type="dxa" w:w="9637"/>
        <w:jc w:val="left"/>
        <w:tblLayout w:type="fixed"/>
        <w:tblLayout w:type="fixed"/>
        <w:tblCellMar>
          <w:top w:w="0" w:type="dxa"/>
          <w:left w:w="0" w:type="dxa"/>
          <w:bottom w:w="0" w:type="dxa"/>
          <w:right w:w="0" w:type="dxa"/>
        </w:tblCellMar>
        <w:tblLook w:firstColumn="1" w:firstRow="1" w:lastColumn="0" w:lastRow="0" w:noHBand="0" w:noVBand="1" w:val="04A0"/>
      </w:tblPr>
      <w:tblGrid>
        <w:gridCol w:w="3084"/>
        <w:gridCol w:w="1028"/>
        <w:gridCol w:w="1157"/>
        <w:gridCol w:w="4369"/>
      </w:tblGrid>
      <w:tr>
        <w:trPr>
          <w:cantSplit/>
          <w:tblHeader/>
        </w:trPr>
        <w:tc>
          <w:tcPr>
            <w:tcW w:type="dxa" w:w="3084"/>
            <w:tcBorders>
              <w:top w:val="single" w:sz="8" w:color="17211E" w:space="0"/>
              <w:left w:val="nil"/>
              <w:bottom w:val="single" w:sz="8" w:color="17211E" w:space="0"/>
              <w:right w:val="nil"/>
            </w:tcBorders>
            <w:tcMar>
              <w:top w:w="108" w:type="dxa"/>
              <w:left w:w="0" w:type="dxa"/>
              <w:bottom w:w="108" w:type="dxa"/>
              <w:right w:w="85" w:type="dxa"/>
            </w:tcMar>
            <w:vAlign w:val="bottom"/>
          </w:tcPr>
          <w:p>
            <w:pPr>
              <w:pStyle w:val="TblHead"/>
              <w:jc w:val="left"/>
            </w:pPr>
            <w:r>
              <w:t>Item</w:t>
            </w:r>
          </w:p>
        </w:tc>
        <w:tc>
          <w:tcPr>
            <w:tcW w:type="dxa" w:w="1028"/>
            <w:tcBorders>
              <w:top w:val="single" w:sz="8" w:color="17211E" w:space="0"/>
              <w:left w:val="nil"/>
              <w:bottom w:val="single" w:sz="8" w:color="17211E" w:space="0"/>
              <w:right w:val="nil"/>
            </w:tcBorders>
            <w:tcMar>
              <w:top w:w="108" w:type="dxa"/>
              <w:left w:w="85" w:type="dxa"/>
              <w:bottom w:w="108" w:type="dxa"/>
              <w:right w:w="85" w:type="dxa"/>
            </w:tcMar>
            <w:vAlign w:val="bottom"/>
          </w:tcPr>
          <w:p>
            <w:pPr>
              <w:pStyle w:val="TblHead"/>
              <w:jc w:val="left"/>
            </w:pPr>
            <w:r>
              <w:t>Source</w:t>
            </w:r>
          </w:p>
        </w:tc>
        <w:tc>
          <w:tcPr>
            <w:tcW w:type="dxa" w:w="1157"/>
            <w:tcBorders>
              <w:top w:val="single" w:sz="8" w:color="17211E" w:space="0"/>
              <w:left w:val="nil"/>
              <w:bottom w:val="single" w:sz="8" w:color="17211E" w:space="0"/>
              <w:right w:val="nil"/>
            </w:tcBorders>
            <w:tcMar>
              <w:top w:w="108" w:type="dxa"/>
              <w:left w:w="85" w:type="dxa"/>
              <w:bottom w:w="108" w:type="dxa"/>
              <w:right w:w="85" w:type="dxa"/>
            </w:tcMar>
            <w:vAlign w:val="bottom"/>
          </w:tcPr>
          <w:p>
            <w:pPr>
              <w:pStyle w:val="TblHead"/>
              <w:jc w:val="left"/>
            </w:pPr>
            <w:r>
              <w:t>Flag</w:t>
            </w:r>
          </w:p>
        </w:tc>
        <w:tc>
          <w:tcPr>
            <w:tcW w:type="dxa" w:w="4369"/>
            <w:tcBorders>
              <w:top w:val="single" w:sz="8" w:color="17211E" w:space="0"/>
              <w:left w:val="nil"/>
              <w:bottom w:val="single" w:sz="8" w:color="17211E" w:space="0"/>
              <w:right w:val="nil"/>
            </w:tcBorders>
            <w:tcMar>
              <w:top w:w="108" w:type="dxa"/>
              <w:left w:w="85" w:type="dxa"/>
              <w:bottom w:w="108" w:type="dxa"/>
              <w:right w:w="0" w:type="dxa"/>
            </w:tcMar>
            <w:vAlign w:val="bottom"/>
          </w:tcPr>
          <w:p>
            <w:pPr>
              <w:pStyle w:val="TblHead"/>
              <w:jc w:val="left"/>
            </w:pPr>
            <w:r>
              <w:t>Treatment</w:t>
            </w:r>
          </w:p>
        </w:tc>
      </w:tr>
      <w:tr>
        <w:trPr>
          <w:cantSplit/>
        </w:trPr>
        <w:tc>
          <w:tcPr>
            <w:tcW w:type="dxa" w:w="3084"/>
            <w:tcBorders>
              <w:top w:val="nil"/>
              <w:left w:val="nil"/>
              <w:bottom w:val="single" w:sz="4" w:color="B9BFBB" w:space="0"/>
              <w:right w:val="nil"/>
            </w:tcBorders>
            <w:tcMar>
              <w:top w:w="85" w:type="dxa"/>
              <w:left w:w="0" w:type="dxa"/>
              <w:bottom w:w="85" w:type="dxa"/>
              <w:right w:w="85" w:type="dxa"/>
            </w:tcMar>
            <w:vAlign w:val="top"/>
          </w:tcPr>
          <w:p>
            <w:pPr>
              <w:pStyle w:val="TblText"/>
              <w:jc w:val="left"/>
            </w:pPr>
            <w:r>
              <w:rPr>
                <w:sz w:val="17"/>
              </w:rPr>
              <w:t>Dwell time, Garrowby</w:t>
            </w:r>
          </w:p>
        </w:tc>
        <w:tc>
          <w:tcPr>
            <w:tcW w:type="dxa" w:w="1028"/>
            <w:tcBorders>
              <w:top w:val="nil"/>
              <w:left w:val="nil"/>
              <w:bottom w:val="single" w:sz="4" w:color="B9BFBB" w:space="0"/>
              <w:right w:val="nil"/>
            </w:tcBorders>
            <w:tcMar>
              <w:top w:w="85" w:type="dxa"/>
              <w:left w:w="85" w:type="dxa"/>
              <w:bottom w:w="85" w:type="dxa"/>
              <w:right w:w="85" w:type="dxa"/>
            </w:tcMar>
            <w:vAlign w:val="top"/>
          </w:tcPr>
          <w:p>
            <w:pPr>
              <w:pStyle w:val="TblText"/>
              <w:jc w:val="left"/>
            </w:pPr>
            <w:r>
              <w:rPr>
                <w:sz w:val="17"/>
              </w:rPr>
              <w:t>Gate log</w:t>
            </w:r>
          </w:p>
        </w:tc>
        <w:tc>
          <w:tcPr>
            <w:tcW w:type="dxa" w:w="1157"/>
            <w:tcBorders>
              <w:top w:val="nil"/>
              <w:left w:val="nil"/>
              <w:bottom w:val="single" w:sz="4" w:color="B9BFBB" w:space="0"/>
              <w:right w:val="nil"/>
            </w:tcBorders>
            <w:tcMar>
              <w:top w:w="85" w:type="dxa"/>
              <w:left w:w="85" w:type="dxa"/>
              <w:bottom w:w="85" w:type="dxa"/>
              <w:right w:w="85" w:type="dxa"/>
            </w:tcMar>
            <w:vAlign w:val="top"/>
          </w:tcPr>
          <w:p>
            <w:pPr>
              <w:pStyle w:val="TblText"/>
              <w:jc w:val="left"/>
            </w:pPr>
            <w:r>
              <w:rPr>
                <w:sz w:val="17"/>
              </w:rPr>
              <w:t>Estimated</w:t>
            </w:r>
          </w:p>
        </w:tc>
        <w:tc>
          <w:tcPr>
            <w:tcW w:type="dxa" w:w="4369"/>
            <w:tcBorders>
              <w:top w:val="nil"/>
              <w:left w:val="nil"/>
              <w:bottom w:val="single" w:sz="4" w:color="B9BFBB" w:space="0"/>
              <w:right w:val="nil"/>
            </w:tcBorders>
            <w:tcMar>
              <w:top w:w="85" w:type="dxa"/>
              <w:left w:w="85" w:type="dxa"/>
              <w:bottom w:w="85" w:type="dxa"/>
              <w:right w:w="0" w:type="dxa"/>
            </w:tcMar>
            <w:vAlign w:val="top"/>
          </w:tcPr>
          <w:p>
            <w:pPr>
              <w:pStyle w:val="TblText"/>
              <w:jc w:val="left"/>
            </w:pPr>
            <w:r>
              <w:rPr>
                <w:sz w:val="17"/>
              </w:rPr>
              <w:t>Gate-in to first van scan; excludes sort time</w:t>
            </w:r>
          </w:p>
        </w:tc>
      </w:tr>
      <w:tr>
        <w:trPr>
          <w:cantSplit/>
        </w:trPr>
        <w:tc>
          <w:tcPr>
            <w:tcW w:type="dxa" w:w="3084"/>
            <w:tcBorders>
              <w:top w:val="nil"/>
              <w:left w:val="nil"/>
              <w:bottom w:val="single" w:sz="4" w:color="B9BFBB" w:space="0"/>
              <w:right w:val="nil"/>
            </w:tcBorders>
            <w:tcMar>
              <w:top w:w="85" w:type="dxa"/>
              <w:left w:w="0" w:type="dxa"/>
              <w:bottom w:w="85" w:type="dxa"/>
              <w:right w:w="85" w:type="dxa"/>
            </w:tcMar>
            <w:vAlign w:val="top"/>
          </w:tcPr>
          <w:p>
            <w:pPr>
              <w:pStyle w:val="TblText"/>
              <w:jc w:val="left"/>
            </w:pPr>
            <w:r>
              <w:rPr>
                <w:sz w:val="17"/>
              </w:rPr>
              <w:t>Dwell time, Hartwell</w:t>
            </w:r>
          </w:p>
        </w:tc>
        <w:tc>
          <w:tcPr>
            <w:tcW w:type="dxa" w:w="1028"/>
            <w:tcBorders>
              <w:top w:val="nil"/>
              <w:left w:val="nil"/>
              <w:bottom w:val="single" w:sz="4" w:color="B9BFBB" w:space="0"/>
              <w:right w:val="nil"/>
            </w:tcBorders>
            <w:tcMar>
              <w:top w:w="85" w:type="dxa"/>
              <w:left w:w="85" w:type="dxa"/>
              <w:bottom w:w="85" w:type="dxa"/>
              <w:right w:w="85" w:type="dxa"/>
            </w:tcMar>
            <w:vAlign w:val="top"/>
          </w:tcPr>
          <w:p>
            <w:pPr>
              <w:pStyle w:val="TblText"/>
              <w:jc w:val="left"/>
            </w:pPr>
            <w:r>
              <w:rPr>
                <w:sz w:val="17"/>
              </w:rPr>
              <w:t>Gate log</w:t>
            </w:r>
          </w:p>
        </w:tc>
        <w:tc>
          <w:tcPr>
            <w:tcW w:type="dxa" w:w="1157"/>
            <w:tcBorders>
              <w:top w:val="nil"/>
              <w:left w:val="nil"/>
              <w:bottom w:val="single" w:sz="4" w:color="B9BFBB" w:space="0"/>
              <w:right w:val="nil"/>
            </w:tcBorders>
            <w:tcMar>
              <w:top w:w="85" w:type="dxa"/>
              <w:left w:w="85" w:type="dxa"/>
              <w:bottom w:w="85" w:type="dxa"/>
              <w:right w:w="85" w:type="dxa"/>
            </w:tcMar>
            <w:vAlign w:val="top"/>
          </w:tcPr>
          <w:p>
            <w:pPr>
              <w:pStyle w:val="TblText"/>
              <w:jc w:val="left"/>
            </w:pPr>
            <w:r>
              <w:rPr>
                <w:sz w:val="17"/>
              </w:rPr>
              <w:t>Estimated</w:t>
            </w:r>
          </w:p>
        </w:tc>
        <w:tc>
          <w:tcPr>
            <w:tcW w:type="dxa" w:w="4369"/>
            <w:tcBorders>
              <w:top w:val="nil"/>
              <w:left w:val="nil"/>
              <w:bottom w:val="single" w:sz="4" w:color="B9BFBB" w:space="0"/>
              <w:right w:val="nil"/>
            </w:tcBorders>
            <w:tcMar>
              <w:top w:w="85" w:type="dxa"/>
              <w:left w:w="85" w:type="dxa"/>
              <w:bottom w:w="85" w:type="dxa"/>
              <w:right w:w="0" w:type="dxa"/>
            </w:tcMar>
            <w:vAlign w:val="top"/>
          </w:tcPr>
          <w:p>
            <w:pPr>
              <w:pStyle w:val="TblText"/>
              <w:jc w:val="left"/>
            </w:pPr>
            <w:r>
              <w:rPr>
                <w:sz w:val="17"/>
              </w:rPr>
              <w:t>As above</w:t>
            </w:r>
          </w:p>
        </w:tc>
      </w:tr>
      <w:tr>
        <w:trPr>
          <w:cantSplit/>
        </w:trPr>
        <w:tc>
          <w:tcPr>
            <w:tcW w:type="dxa" w:w="3084"/>
            <w:tcBorders>
              <w:top w:val="nil"/>
              <w:left w:val="nil"/>
              <w:bottom w:val="single" w:sz="4" w:color="B9BFBB" w:space="0"/>
              <w:right w:val="nil"/>
            </w:tcBorders>
            <w:tcMar>
              <w:top w:w="85" w:type="dxa"/>
              <w:left w:w="0" w:type="dxa"/>
              <w:bottom w:w="85" w:type="dxa"/>
              <w:right w:w="85" w:type="dxa"/>
            </w:tcMar>
            <w:vAlign w:val="top"/>
          </w:tcPr>
          <w:p>
            <w:pPr>
              <w:pStyle w:val="TblText"/>
              <w:jc w:val="left"/>
            </w:pPr>
            <w:r>
              <w:rPr>
                <w:sz w:val="17"/>
              </w:rPr>
              <w:t>Dwell time, Jesmond Vale</w:t>
            </w:r>
          </w:p>
        </w:tc>
        <w:tc>
          <w:tcPr>
            <w:tcW w:type="dxa" w:w="1028"/>
            <w:tcBorders>
              <w:top w:val="nil"/>
              <w:left w:val="nil"/>
              <w:bottom w:val="single" w:sz="4" w:color="B9BFBB" w:space="0"/>
              <w:right w:val="nil"/>
            </w:tcBorders>
            <w:tcMar>
              <w:top w:w="85" w:type="dxa"/>
              <w:left w:w="85" w:type="dxa"/>
              <w:bottom w:w="85" w:type="dxa"/>
              <w:right w:w="85" w:type="dxa"/>
            </w:tcMar>
            <w:vAlign w:val="top"/>
          </w:tcPr>
          <w:p>
            <w:pPr>
              <w:pStyle w:val="TblText"/>
              <w:jc w:val="left"/>
            </w:pPr>
            <w:r>
              <w:rPr>
                <w:sz w:val="17"/>
              </w:rPr>
              <w:t>Gate log</w:t>
            </w:r>
          </w:p>
        </w:tc>
        <w:tc>
          <w:tcPr>
            <w:tcW w:type="dxa" w:w="1157"/>
            <w:tcBorders>
              <w:top w:val="nil"/>
              <w:left w:val="nil"/>
              <w:bottom w:val="single" w:sz="4" w:color="B9BFBB" w:space="0"/>
              <w:right w:val="nil"/>
            </w:tcBorders>
            <w:tcMar>
              <w:top w:w="85" w:type="dxa"/>
              <w:left w:w="85" w:type="dxa"/>
              <w:bottom w:w="85" w:type="dxa"/>
              <w:right w:w="85" w:type="dxa"/>
            </w:tcMar>
            <w:vAlign w:val="top"/>
          </w:tcPr>
          <w:p>
            <w:pPr>
              <w:pStyle w:val="TblText"/>
              <w:jc w:val="left"/>
            </w:pPr>
            <w:r>
              <w:rPr>
                <w:sz w:val="17"/>
              </w:rPr>
              <w:t>Estimated</w:t>
            </w:r>
          </w:p>
        </w:tc>
        <w:tc>
          <w:tcPr>
            <w:tcW w:type="dxa" w:w="4369"/>
            <w:tcBorders>
              <w:top w:val="nil"/>
              <w:left w:val="nil"/>
              <w:bottom w:val="single" w:sz="4" w:color="B9BFBB" w:space="0"/>
              <w:right w:val="nil"/>
            </w:tcBorders>
            <w:tcMar>
              <w:top w:w="85" w:type="dxa"/>
              <w:left w:w="85" w:type="dxa"/>
              <w:bottom w:w="85" w:type="dxa"/>
              <w:right w:w="0" w:type="dxa"/>
            </w:tcMar>
            <w:vAlign w:val="top"/>
          </w:tcPr>
          <w:p>
            <w:pPr>
              <w:pStyle w:val="TblText"/>
              <w:jc w:val="left"/>
            </w:pPr>
            <w:r>
              <w:rPr>
                <w:sz w:val="17"/>
              </w:rPr>
              <w:t>As above</w:t>
            </w:r>
          </w:p>
        </w:tc>
      </w:tr>
      <w:tr>
        <w:trPr>
          <w:cantSplit/>
        </w:trPr>
        <w:tc>
          <w:tcPr>
            <w:tcW w:type="dxa" w:w="3084"/>
            <w:tcBorders>
              <w:top w:val="nil"/>
              <w:left w:val="nil"/>
              <w:bottom w:val="single" w:sz="4" w:color="B9BFBB" w:space="0"/>
              <w:right w:val="nil"/>
            </w:tcBorders>
            <w:tcMar>
              <w:top w:w="85" w:type="dxa"/>
              <w:left w:w="0" w:type="dxa"/>
              <w:bottom w:w="85" w:type="dxa"/>
              <w:right w:w="85" w:type="dxa"/>
            </w:tcMar>
            <w:vAlign w:val="top"/>
          </w:tcPr>
          <w:p>
            <w:pPr>
              <w:pStyle w:val="TblText"/>
              <w:jc w:val="left"/>
            </w:pPr>
            <w:r>
              <w:rPr>
                <w:sz w:val="17"/>
              </w:rPr>
              <w:t>Overtime</w:t>
            </w:r>
          </w:p>
        </w:tc>
        <w:tc>
          <w:tcPr>
            <w:tcW w:type="dxa" w:w="1028"/>
            <w:tcBorders>
              <w:top w:val="nil"/>
              <w:left w:val="nil"/>
              <w:bottom w:val="single" w:sz="4" w:color="B9BFBB" w:space="0"/>
              <w:right w:val="nil"/>
            </w:tcBorders>
            <w:tcMar>
              <w:top w:w="85" w:type="dxa"/>
              <w:left w:w="85" w:type="dxa"/>
              <w:bottom w:w="85" w:type="dxa"/>
              <w:right w:w="85" w:type="dxa"/>
            </w:tcMar>
            <w:vAlign w:val="top"/>
          </w:tcPr>
          <w:p>
            <w:pPr>
              <w:pStyle w:val="TblText"/>
              <w:jc w:val="left"/>
            </w:pPr>
            <w:r>
              <w:rPr>
                <w:sz w:val="17"/>
              </w:rPr>
              <w:t>Payroll</w:t>
            </w:r>
          </w:p>
        </w:tc>
        <w:tc>
          <w:tcPr>
            <w:tcW w:type="dxa" w:w="1157"/>
            <w:tcBorders>
              <w:top w:val="nil"/>
              <w:left w:val="nil"/>
              <w:bottom w:val="single" w:sz="4" w:color="B9BFBB" w:space="0"/>
              <w:right w:val="nil"/>
            </w:tcBorders>
            <w:tcMar>
              <w:top w:w="85" w:type="dxa"/>
              <w:left w:w="85" w:type="dxa"/>
              <w:bottom w:w="85" w:type="dxa"/>
              <w:right w:w="85" w:type="dxa"/>
            </w:tcMar>
            <w:vAlign w:val="top"/>
          </w:tcPr>
          <w:p>
            <w:pPr>
              <w:pStyle w:val="TblText"/>
              <w:jc w:val="left"/>
            </w:pPr>
            <w:r>
              <w:rPr>
                <w:sz w:val="17"/>
              </w:rPr>
              <w:t>Complete</w:t>
            </w:r>
          </w:p>
        </w:tc>
        <w:tc>
          <w:tcPr>
            <w:tcW w:type="dxa" w:w="4369"/>
            <w:tcBorders>
              <w:top w:val="nil"/>
              <w:left w:val="nil"/>
              <w:bottom w:val="single" w:sz="4" w:color="B9BFBB" w:space="0"/>
              <w:right w:val="nil"/>
            </w:tcBorders>
            <w:tcMar>
              <w:top w:w="85" w:type="dxa"/>
              <w:left w:w="85" w:type="dxa"/>
              <w:bottom w:w="85" w:type="dxa"/>
              <w:right w:w="0" w:type="dxa"/>
            </w:tcMar>
            <w:vAlign w:val="top"/>
          </w:tcPr>
          <w:p>
            <w:pPr>
              <w:pStyle w:val="TblText"/>
              <w:jc w:val="left"/>
            </w:pPr>
            <w:r>
              <w:rPr>
                <w:sz w:val="17"/>
              </w:rPr>
              <w:t>Paid hours above contract</w:t>
            </w:r>
          </w:p>
        </w:tc>
      </w:tr>
      <w:tr>
        <w:trPr>
          <w:cantSplit/>
        </w:trPr>
        <w:tc>
          <w:tcPr>
            <w:tcW w:type="dxa" w:w="3084"/>
            <w:tcBorders>
              <w:top w:val="nil"/>
              <w:left w:val="nil"/>
              <w:bottom w:val="single" w:sz="8" w:color="17211E" w:space="0"/>
              <w:right w:val="nil"/>
            </w:tcBorders>
            <w:tcMar>
              <w:top w:w="85" w:type="dxa"/>
              <w:left w:w="0" w:type="dxa"/>
              <w:bottom w:w="85" w:type="dxa"/>
              <w:right w:w="85" w:type="dxa"/>
            </w:tcMar>
            <w:vAlign w:val="top"/>
          </w:tcPr>
          <w:p>
            <w:pPr>
              <w:pStyle w:val="TblText"/>
              <w:jc w:val="left"/>
            </w:pPr>
            <w:r>
              <w:rPr>
                <w:sz w:val="17"/>
              </w:rPr>
              <w:t>Third-party share</w:t>
            </w:r>
          </w:p>
        </w:tc>
        <w:tc>
          <w:tcPr>
            <w:tcW w:type="dxa" w:w="1028"/>
            <w:tcBorders>
              <w:top w:val="nil"/>
              <w:left w:val="nil"/>
              <w:bottom w:val="single" w:sz="8" w:color="17211E" w:space="0"/>
              <w:right w:val="nil"/>
            </w:tcBorders>
            <w:tcMar>
              <w:top w:w="85" w:type="dxa"/>
              <w:left w:w="85" w:type="dxa"/>
              <w:bottom w:w="85" w:type="dxa"/>
              <w:right w:w="85" w:type="dxa"/>
            </w:tcMar>
            <w:vAlign w:val="top"/>
          </w:tcPr>
          <w:p>
            <w:pPr>
              <w:pStyle w:val="TblText"/>
              <w:jc w:val="left"/>
            </w:pPr>
            <w:r>
              <w:rPr>
                <w:sz w:val="17"/>
              </w:rPr>
              <w:t>Invoices</w:t>
            </w:r>
          </w:p>
        </w:tc>
        <w:tc>
          <w:tcPr>
            <w:tcW w:type="dxa" w:w="1157"/>
            <w:tcBorders>
              <w:top w:val="nil"/>
              <w:left w:val="nil"/>
              <w:bottom w:val="single" w:sz="8" w:color="17211E" w:space="0"/>
              <w:right w:val="nil"/>
            </w:tcBorders>
            <w:tcMar>
              <w:top w:w="85" w:type="dxa"/>
              <w:left w:w="85" w:type="dxa"/>
              <w:bottom w:w="85" w:type="dxa"/>
              <w:right w:w="85" w:type="dxa"/>
            </w:tcMar>
            <w:vAlign w:val="top"/>
          </w:tcPr>
          <w:p>
            <w:pPr>
              <w:pStyle w:val="TblText"/>
              <w:jc w:val="left"/>
            </w:pPr>
            <w:r>
              <w:rPr>
                <w:sz w:val="17"/>
              </w:rPr>
              <w:t>Complete</w:t>
            </w:r>
          </w:p>
        </w:tc>
        <w:tc>
          <w:tcPr>
            <w:tcW w:type="dxa" w:w="4369"/>
            <w:tcBorders>
              <w:top w:val="nil"/>
              <w:left w:val="nil"/>
              <w:bottom w:val="single" w:sz="8" w:color="17211E" w:space="0"/>
              <w:right w:val="nil"/>
            </w:tcBorders>
            <w:tcMar>
              <w:top w:w="85" w:type="dxa"/>
              <w:left w:w="85" w:type="dxa"/>
              <w:bottom w:w="85" w:type="dxa"/>
              <w:right w:w="0" w:type="dxa"/>
            </w:tcMar>
            <w:vAlign w:val="top"/>
          </w:tcPr>
          <w:p>
            <w:pPr>
              <w:pStyle w:val="TblText"/>
              <w:jc w:val="left"/>
            </w:pPr>
            <w:r>
              <w:rPr>
                <w:sz w:val="17"/>
              </w:rPr>
              <w:t>Parcels invoiced ÷ parcels delivered</w:t>
            </w:r>
          </w:p>
        </w:tc>
      </w:tr>
    </w:tbl>
    <w:p>
      <w:pPr>
        <w:spacing w:before="0" w:after="200" w:line="20" w:lineRule="exact"/>
        <w:rPr>
          <w:sz w:val="2"/>
        </w:rPr>
      </w:pPr>
    </w:p>
    <w:p>
      <w:pPr>
        <w:pStyle w:val="FigLabel"/>
      </w:pPr>
      <w:r>
        <w:t>Figure 2  —  Depot map with round boundaries</w:t>
      </w:r>
    </w:p>
    <w:tbl>
      <w:tblPr>
        <w:tblW w:type="dxa" w:w="9637"/>
        <w:jc w:val="left"/>
        <w:tblLayout w:type="fixed"/>
        <w:tblLayout w:type="fixed"/>
        <w:tblCellMar>
          <w:top w:w="0" w:type="dxa"/>
          <w:left w:w="0" w:type="dxa"/>
          <w:bottom w:w="0" w:type="dxa"/>
          <w:right w:w="0" w:type="dxa"/>
        </w:tblCellMar>
        <w:tblLook w:firstColumn="1" w:firstRow="1" w:lastColumn="0" w:lastRow="0" w:noHBand="0" w:noVBand="1" w:val="04A0"/>
      </w:tblPr>
      <w:tblGrid>
        <w:gridCol w:w="9638"/>
      </w:tblGrid>
      <w:tr>
        <w:trPr>
          <w:trHeight w:val="3515" w:hRule="atLeast"/>
        </w:trPr>
        <w:tc>
          <w:tcPr>
            <w:tcW w:type="dxa" w:w="9638"/>
            <w:shd w:val="clear" w:color="auto" w:fill="F1F2EE"/>
            <w:tcMar>
              <w:top w:w="227" w:type="dxa"/>
              <w:left w:w="227" w:type="dxa"/>
              <w:bottom w:w="227" w:type="dxa"/>
              <w:right w:w="227" w:type="dxa"/>
            </w:tcMar>
            <w:vAlign w:val="center"/>
          </w:tcPr>
          <w:p>
            <w:pPr>
              <w:pStyle w:val="Label"/>
              <w:jc w:val="center"/>
            </w:pPr>
            <w:r>
              <w:t>Image to be supplied</w:t>
            </w:r>
          </w:p>
          <w:p>
            <w:pPr>
              <w:pStyle w:val="Note"/>
              <w:jc w:val="center"/>
            </w:pPr>
            <w:r>
              <w:t>Map of the 14 depots and 2019 round boundaries. Source file not yet supplied.</w:t>
            </w:r>
          </w:p>
        </w:tc>
      </w:tr>
    </w:tbl>
    <w:p>
      <w:pPr>
        <w:spacing w:before="0" w:after="0" w:line="20" w:lineRule="exact"/>
        <w:rPr>
          <w:sz w:val="2"/>
        </w:rPr>
      </w:pPr>
    </w:p>
    <w:p>
      <w:pPr>
        <w:pStyle w:val="Caption"/>
      </w:pPr>
      <w:r>
        <w:t>Placeholder: replace with the supplied map when available.</w:t>
      </w:r>
    </w:p>
    <w:p>
      <w:pPr>
        <w:spacing w:before="0" w:after="0" w:line="20" w:lineRule="exact"/>
        <w:sectPr>
          <w:headerReference w:type="default" r:id="rId32"/>
          <w:footerReference w:type="default" r:id="rId33"/>
          <w:pgSz w:w="11906" w:h="16838"/>
          <w:pgMar w:top="1361" w:right="1020" w:bottom="1134" w:left="1247" w:header="624" w:footer="567" w:gutter="0"/>
          <w:cols w:num="1" w:space="453"/>
          <w:docGrid w:linePitch="360"/>
        </w:sectPr>
      </w:pPr>
    </w:p>
    <w:tbl>
      <w:tblPr>
        <w:tblW w:type="dxa" w:w="11905"/>
        <w:jc w:val="left"/>
        <w:tblLayout w:type="fixed"/>
        <w:tblLayout w:type="fixed"/>
        <w:tblCellMar>
          <w:top w:w="0" w:type="dxa"/>
          <w:left w:w="0" w:type="dxa"/>
          <w:bottom w:w="0" w:type="dxa"/>
          <w:right w:w="0" w:type="dxa"/>
        </w:tblCellMar>
        <w:tblLook w:firstColumn="1" w:firstRow="1" w:lastColumn="0" w:lastRow="0" w:noHBand="0" w:noVBand="1" w:val="04A0"/>
      </w:tblPr>
      <w:tblGrid>
        <w:gridCol w:w="11906"/>
      </w:tblGrid>
      <w:tr>
        <w:trPr>
          <w:trHeight w:val="6803" w:hRule="exact"/>
        </w:trPr>
        <w:tc>
          <w:tcPr>
            <w:tcW w:type="dxa" w:w="11906"/>
            <w:shd w:val="clear" w:color="auto" w:fill="17211E"/>
            <w:tcMar>
              <w:top w:w="0" w:type="dxa"/>
              <w:left w:w="1247" w:type="dxa"/>
              <w:bottom w:w="1020" w:type="dxa"/>
              <w:right w:w="1247" w:type="dxa"/>
            </w:tcMar>
            <w:vAlign w:val="bottom"/>
          </w:tcPr>
          <w:p>
            <w:pPr>
              <w:pStyle w:val="Display"/>
            </w:pPr>
            <w:r>
              <w:rPr>
                <w:color w:val="FFFFFF"/>
              </w:rPr>
              <w:t>Start with the queue at the depot gate.</w:t>
            </w:r>
          </w:p>
        </w:tc>
      </w:tr>
      <w:tr>
        <w:trPr>
          <w:trHeight w:val="9354" w:hRule="exact"/>
        </w:trPr>
        <w:tc>
          <w:tcPr>
            <w:tcW w:type="dxa" w:w="11906"/>
            <w:tcMar>
              <w:top w:w="794" w:type="dxa"/>
              <w:left w:w="1247" w:type="dxa"/>
              <w:bottom w:w="0" w:type="dxa"/>
              <w:right w:w="1247" w:type="dxa"/>
            </w:tcMar>
          </w:tcPr>
          <w:p>
            <w:pPr>
              <w:pStyle w:val="Label"/>
            </w:pPr>
            <w:r>
              <w:t>About this sample</w:t>
            </w:r>
          </w:p>
          <w:p>
            <w:pPr>
              <w:pStyle w:val="Meta"/>
              <w:spacing w:after="200"/>
              <w:ind w:right="2835"/>
            </w:pPr>
            <w:r>
              <w:t>This report is an illustrative sample prepared to demonstrate a report design system. Its company, data and sources are invented.</w:t>
            </w:r>
          </w:p>
          <w:p>
            <w:pPr>
              <w:pStyle w:val="Label"/>
            </w:pPr>
            <w:r>
              <w:t>Typefaces</w:t>
            </w:r>
          </w:p>
          <w:p>
            <w:pPr>
              <w:pStyle w:val="Meta"/>
              <w:spacing w:after="200"/>
              <w:ind w:right="2835"/>
            </w:pPr>
            <w:r>
              <w:t>IBM Plex Serif and IBM Plex Sans, used under the SIL Open Font License.</w:t>
            </w:r>
          </w:p>
        </w:tc>
      </w:tr>
    </w:tbl>
    <w:p>
      <w:pPr>
        <w:spacing w:before="0" w:after="0" w:line="20" w:lineRule="exact"/>
        <w:rPr>
          <w:sz w:val="2"/>
        </w:rPr>
      </w:pPr>
    </w:p>
    <w:sectPr w:rsidR="00FC693F" w:rsidRPr="0006063C" w:rsidSect="00034616">
      <w:headerReference w:type="default" r:id="rId34"/>
      <w:footerReference w:type="default" r:id="rId35"/>
      <w:pgSz w:w="11906" w:h="16838"/>
      <w:pgMar w:top="0" w:right="0" w:bottom="0" w:left="0" w:header="0" w:footer="0" w:gutter="0"/>
      <w:cols w:num="1" w:space="45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rPr>
        <w:sz w:val="2"/>
      </w:rP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tabs>
        <w:tab w:pos="9638" w:val="right"/>
      </w:tabs>
    </w:pPr>
    <w:r/>
    <w:r>
      <w:t>Illustrative sample content</w:t>
      <w:tab/>
    </w:r>
    <w:fldSimple w:instr="PAGE">
      <w:r>
        <w:rPr>
          <w:rFonts w:ascii="IBM Plex Serif" w:hAnsi="IBM Plex Serif" w:cs="IBM Plex Serif" w:eastAsia="IBM Plex Serif"/>
          <w:color w:val="17211E"/>
          <w:sz w:val="18"/>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tabs>
        <w:tab w:pos="9638" w:val="right"/>
      </w:tabs>
    </w:pPr>
    <w:r/>
    <w:r>
      <w:t>Illustrative sample content</w:t>
      <w:tab/>
    </w:r>
    <w:fldSimple w:instr="PAGE">
      <w:r>
        <w:rPr>
          <w:rFonts w:ascii="IBM Plex Serif" w:hAnsi="IBM Plex Serif" w:cs="IBM Plex Serif" w:eastAsia="IBM Plex Serif"/>
          <w:color w:val="17211E"/>
          <w:sz w:val="18"/>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rPr>
        <w:sz w:val="2"/>
      </w:rP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tabs>
        <w:tab w:pos="9638" w:val="right"/>
      </w:tabs>
    </w:pPr>
    <w:r/>
    <w:r>
      <w:t>Illustrative sample content</w:t>
      <w:tab/>
    </w:r>
    <w:fldSimple w:instr="PAGE">
      <w:r>
        <w:rPr>
          <w:rFonts w:ascii="IBM Plex Serif" w:hAnsi="IBM Plex Serif" w:cs="IBM Plex Serif" w:eastAsia="IBM Plex Serif"/>
          <w:color w:val="17211E"/>
          <w:sz w:val="18"/>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tabs>
        <w:tab w:pos="9638" w:val="right"/>
      </w:tabs>
    </w:pPr>
    <w:r/>
    <w:r>
      <w:t>Illustrative sample content</w:t>
      <w:tab/>
    </w:r>
    <w:fldSimple w:instr="PAGE">
      <w:r>
        <w:rPr>
          <w:rFonts w:ascii="IBM Plex Serif" w:hAnsi="IBM Plex Serif" w:cs="IBM Plex Serif" w:eastAsia="IBM Plex Serif"/>
          <w:color w:val="17211E"/>
          <w:sz w:val="18"/>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rPr>
        <w:sz w:val="2"/>
      </w:rP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tabs>
        <w:tab w:pos="9638" w:val="right"/>
      </w:tabs>
    </w:pPr>
    <w:r/>
    <w:r>
      <w:t>Illustrative sample content</w:t>
      <w:tab/>
    </w:r>
    <w:fldSimple w:instr="PAGE">
      <w:r>
        <w:rPr>
          <w:rFonts w:ascii="IBM Plex Serif" w:hAnsi="IBM Plex Serif" w:cs="IBM Plex Serif" w:eastAsia="IBM Plex Serif"/>
          <w:color w:val="17211E"/>
          <w:sz w:val="18"/>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tabs>
        <w:tab w:pos="14570" w:val="right"/>
      </w:tabs>
    </w:pPr>
    <w:r/>
    <w:r>
      <w:t>Illustrative sample content</w:t>
      <w:tab/>
    </w:r>
    <w:fldSimple w:instr="PAGE">
      <w:r>
        <w:rPr>
          <w:rFonts w:ascii="IBM Plex Serif" w:hAnsi="IBM Plex Serif" w:cs="IBM Plex Serif" w:eastAsia="IBM Plex Serif"/>
          <w:color w:val="17211E"/>
          <w:sz w:val="18"/>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tabs>
        <w:tab w:pos="9638" w:val="right"/>
      </w:tabs>
    </w:pPr>
    <w:r/>
    <w:r>
      <w:t>Illustrative sample content</w:t>
      <w:tab/>
    </w:r>
    <w:fldSimple w:instr="PAGE">
      <w:r>
        <w:rPr>
          <w:rFonts w:ascii="IBM Plex Serif" w:hAnsi="IBM Plex Serif" w:cs="IBM Plex Serif" w:eastAsia="IBM Plex Serif"/>
          <w:color w:val="17211E"/>
          <w:sz w:val="18"/>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tabs>
        <w:tab w:pos="9638" w:val="right"/>
      </w:tabs>
    </w:pPr>
    <w:r/>
    <w:r>
      <w:t>Illustrative sample content</w:t>
      <w:tab/>
    </w:r>
    <w:fldSimple w:instr="PAGE">
      <w:r>
        <w:rPr>
          <w:rFonts w:ascii="IBM Plex Serif" w:hAnsi="IBM Plex Serif" w:cs="IBM Plex Serif" w:eastAsia="IBM Plex Serif"/>
          <w:color w:val="17211E"/>
          <w:sz w:val="18"/>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tabs>
        <w:tab w:pos="9638" w:val="right"/>
      </w:tabs>
    </w:pPr>
    <w:r/>
    <w:r>
      <w:t>Illustrative sample content</w:t>
      <w:tab/>
    </w:r>
    <w:fldSimple w:instr="PAGE">
      <w:r>
        <w:rPr>
          <w:rFonts w:ascii="IBM Plex Serif" w:hAnsi="IBM Plex Serif" w:cs="IBM Plex Serif" w:eastAsia="IBM Plex Serif"/>
          <w:color w:val="17211E"/>
          <w:sz w:val="18"/>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rPr>
        <w:sz w:val="2"/>
      </w:rP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rPr>
        <w:sz w:val="2"/>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pBdr>
        <w:bottom w:val="single" w:sz="4" w:space="6" w:color="B9BFBB"/>
      </w:pBdr>
      <w:tabs>
        <w:tab w:pos="9638" w:val="right"/>
      </w:tabs>
    </w:pPr>
    <w:r/>
    <w:r>
      <w:t>Northgate Freight — Operating-model review</w:t>
      <w:tab/>
      <w:t>Contents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pBdr>
        <w:bottom w:val="single" w:sz="4" w:space="6" w:color="B9BFBB"/>
      </w:pBdr>
      <w:tabs>
        <w:tab w:pos="9638" w:val="right"/>
      </w:tabs>
    </w:pPr>
    <w:r/>
    <w:r>
      <w:t>Northgate Freight — Operating-model review</w:t>
      <w:tab/>
      <w:t>Executive summary</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rPr>
        <w:sz w:val="2"/>
      </w:rP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pBdr>
        <w:bottom w:val="single" w:sz="4" w:space="6" w:color="B9BFBB"/>
      </w:pBdr>
      <w:tabs>
        <w:tab w:pos="9638" w:val="right"/>
      </w:tabs>
    </w:pPr>
    <w:r/>
    <w:r>
      <w:t>Northgate Freight — Operating-model review</w:t>
      <w:tab/>
      <w:t>A network built for yesterday's volumes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pBdr>
        <w:bottom w:val="single" w:sz="4" w:space="6" w:color="B9BFBB"/>
      </w:pBdr>
      <w:tabs>
        <w:tab w:pos="9638" w:val="right"/>
      </w:tabs>
    </w:pPr>
    <w:r/>
    <w:r>
      <w:t>Northgate Freight — Operating-model review</w:t>
      <w:tab/>
      <w:t>Density is the main cost lever</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rPr>
        <w:sz w:val="2"/>
      </w:rP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pBdr>
        <w:bottom w:val="single" w:sz="4" w:space="6" w:color="B9BFBB"/>
      </w:pBdr>
      <w:tabs>
        <w:tab w:pos="9638" w:val="right"/>
      </w:tabs>
    </w:pPr>
    <w:r/>
    <w:r>
      <w:t>Northgate Freight — Operating-model review</w:t>
      <w:tab/>
      <w:t>Three mechanisms behind the gap</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pBdr>
        <w:bottom w:val="single" w:sz="4" w:space="6" w:color="B9BFBB"/>
      </w:pBdr>
      <w:tabs>
        <w:tab w:pos="14570" w:val="right"/>
      </w:tabs>
    </w:pPr>
    <w:r/>
    <w:r>
      <w:t>Northgate Freight — Operating-model review</w:t>
      <w:tab/>
      <w:t>Depot-by-depot performance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pBdr>
        <w:bottom w:val="single" w:sz="4" w:space="6" w:color="B9BFBB"/>
      </w:pBdr>
      <w:tabs>
        <w:tab w:pos="9638" w:val="right"/>
      </w:tabs>
    </w:pPr>
    <w:r/>
    <w:r>
      <w:t>Northgate Freight — Operating-model review</w:t>
      <w:tab/>
      <w:t>Findings and recommendations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pBdr>
        <w:bottom w:val="single" w:sz="4" w:space="6" w:color="B9BFBB"/>
      </w:pBdr>
      <w:tabs>
        <w:tab w:pos="9638" w:val="right"/>
      </w:tabs>
    </w:pPr>
    <w:r/>
    <w:r>
      <w:t>Northgate Freight — Operating-model review</w:t>
      <w:tab/>
      <w:t>References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Head"/>
      <w:pBdr>
        <w:bottom w:val="single" w:sz="4" w:space="6" w:color="B9BFBB"/>
      </w:pBdr>
      <w:tabs>
        <w:tab w:pos="9638" w:val="right"/>
      </w:tabs>
    </w:pPr>
    <w:r/>
    <w:r>
      <w:t>Northgate Freight — Operating-model review</w:t>
      <w:tab/>
      <w:t>Appendix A — Method and data quality</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rPr>
        <w:sz w:val="2"/>
      </w:rP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1" w:lineRule="auto" w:after="120"/>
    </w:pPr>
    <w:rPr>
      <w:rFonts w:ascii="IBM Plex Serif" w:hAnsi="IBM Plex Serif" w:cs="IBM Plex Serif" w:eastAsia="IBM Plex Serif"/>
      <w:color w:val="1721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80" w:line="252" w:lineRule="auto"/>
      <w:outlineLvl w:val="0"/>
    </w:pPr>
    <w:rPr>
      <w:rFonts w:ascii="IBM Plex Serif" w:hAnsi="IBM Plex Serif" w:cs="IBM Plex Serif" w:eastAsia="IBM Plex Serif"/>
      <w:b w:val="0"/>
      <w:bCs/>
      <w:i w:val="0"/>
      <w:caps w:val="0"/>
      <w:color w:val="17211E"/>
      <w:sz w:val="56"/>
      <w:szCs w:val="28"/>
    </w:rPr>
  </w:style>
  <w:style w:type="paragraph" w:styleId="Heading2">
    <w:name w:val="heading 2"/>
    <w:basedOn w:val="Normal"/>
    <w:next w:val="Normal"/>
    <w:link w:val="Heading2Char"/>
    <w:uiPriority w:val="9"/>
    <w:unhideWhenUsed/>
    <w:qFormat/>
    <w:rsid w:val="00FC693F"/>
    <w:pPr>
      <w:keepNext/>
      <w:keepLines/>
      <w:widowControl/>
      <w:spacing w:before="280" w:after="80" w:line="288" w:lineRule="auto"/>
      <w:outlineLvl w:val="1"/>
    </w:pPr>
    <w:rPr>
      <w:rFonts w:ascii="IBM Plex Serif" w:hAnsi="IBM Plex Serif" w:cs="IBM Plex Serif" w:eastAsia="IBM Plex Serif"/>
      <w:b/>
      <w:bCs/>
      <w:i w:val="0"/>
      <w:caps w:val="0"/>
      <w:color w:val="17211E"/>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60" w:line="288" w:lineRule="auto"/>
      <w:outlineLvl w:val="2"/>
    </w:pPr>
    <w:rPr>
      <w:rFonts w:ascii="IBM Plex Sans" w:hAnsi="IBM Plex Sans" w:cs="IBM Plex Sans" w:eastAsia="IBM Plex Sans"/>
      <w:b/>
      <w:bCs/>
      <w:i w:val="0"/>
      <w:caps/>
      <w:color w:val="0B5D4F"/>
      <w:spacing w:val="18"/>
      <w:sz w:val="1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widowControl/>
      <w:spacing w:before="80" w:after="120" w:line="300" w:lineRule="auto"/>
    </w:pPr>
    <w:rPr>
      <w:rFonts w:ascii="IBM Plex Serif" w:hAnsi="IBM Plex Serif" w:cs="IBM Plex Serif" w:eastAsia="IBM Plex Serif"/>
      <w:b w:val="0"/>
      <w:i/>
      <w:iCs/>
      <w:caps w:val="0"/>
      <w:color w:val="0B5D4F"/>
      <w:sz w:val="3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60" w:after="200"/>
    </w:pPr>
    <w:rPr>
      <w:rFonts w:ascii="IBM Plex Sans" w:hAnsi="IBM Plex Sans" w:cs="IBM Plex Sans" w:eastAsia="IBM Plex Sans"/>
      <w:b w:val="0"/>
      <w:bCs/>
      <w:i w:val="0"/>
      <w:caps w:val="0"/>
      <w:color w:val="5E6663"/>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keepNext/>
      <w:widowControl/>
      <w:spacing w:before="0" w:after="120" w:line="288" w:lineRule="auto"/>
    </w:pPr>
    <w:rPr>
      <w:rFonts w:ascii="IBM Plex Sans" w:hAnsi="IBM Plex Sans" w:cs="IBM Plex Sans" w:eastAsia="IBM Plex Sans"/>
      <w:b/>
      <w:i w:val="0"/>
      <w:caps/>
      <w:color w:val="0B5D4F"/>
      <w:spacing w:val="22"/>
      <w:sz w:val="15"/>
    </w:rPr>
  </w:style>
  <w:style w:type="paragraph" w:customStyle="1" w:styleId="Label">
    <w:name w:val="Label"/>
    <w:basedOn w:val="Normal"/>
    <w:pPr>
      <w:keepNext w:val="0"/>
      <w:widowControl/>
      <w:spacing w:before="0" w:after="40" w:line="288" w:lineRule="auto"/>
    </w:pPr>
    <w:rPr>
      <w:rFonts w:ascii="IBM Plex Sans" w:hAnsi="IBM Plex Sans" w:cs="IBM Plex Sans" w:eastAsia="IBM Plex Sans"/>
      <w:b/>
      <w:i w:val="0"/>
      <w:caps/>
      <w:color w:val="5E6663"/>
      <w:spacing w:val="18"/>
      <w:sz w:val="15"/>
    </w:rPr>
  </w:style>
  <w:style w:type="paragraph" w:customStyle="1" w:styleId="Lead">
    <w:name w:val="Lead"/>
    <w:basedOn w:val="Normal"/>
    <w:pPr>
      <w:keepNext w:val="0"/>
      <w:widowControl/>
      <w:spacing w:before="0" w:after="200" w:line="317" w:lineRule="auto"/>
    </w:pPr>
    <w:rPr>
      <w:rFonts w:ascii="IBM Plex Serif" w:hAnsi="IBM Plex Serif" w:cs="IBM Plex Serif" w:eastAsia="IBM Plex Serif"/>
      <w:b w:val="0"/>
      <w:i w:val="0"/>
      <w:caps w:val="0"/>
      <w:color w:val="17211E"/>
      <w:sz w:val="26"/>
    </w:rPr>
  </w:style>
  <w:style w:type="paragraph" w:customStyle="1" w:styleId="Display">
    <w:name w:val="Display"/>
    <w:basedOn w:val="Normal"/>
    <w:pPr>
      <w:keepNext w:val="0"/>
      <w:widowControl/>
      <w:spacing w:before="0" w:after="200" w:line="245" w:lineRule="auto"/>
    </w:pPr>
    <w:rPr>
      <w:rFonts w:ascii="IBM Plex Serif" w:hAnsi="IBM Plex Serif" w:cs="IBM Plex Serif" w:eastAsia="IBM Plex Serif"/>
      <w:b w:val="0"/>
      <w:i w:val="0"/>
      <w:caps w:val="0"/>
      <w:color w:val="17211E"/>
      <w:sz w:val="88"/>
    </w:rPr>
  </w:style>
  <w:style w:type="paragraph" w:customStyle="1" w:styleId="Meta">
    <w:name w:val="Meta"/>
    <w:basedOn w:val="Normal"/>
    <w:pPr>
      <w:keepNext w:val="0"/>
      <w:widowControl/>
      <w:spacing w:before="0" w:after="0" w:line="312" w:lineRule="auto"/>
    </w:pPr>
    <w:rPr>
      <w:rFonts w:ascii="IBM Plex Sans" w:hAnsi="IBM Plex Sans" w:cs="IBM Plex Sans" w:eastAsia="IBM Plex Sans"/>
      <w:b w:val="0"/>
      <w:i w:val="0"/>
      <w:caps w:val="0"/>
      <w:color w:val="17211E"/>
      <w:sz w:val="17"/>
    </w:rPr>
  </w:style>
  <w:style w:type="paragraph" w:customStyle="1" w:styleId="Note">
    <w:name w:val="Note"/>
    <w:basedOn w:val="Normal"/>
    <w:pPr>
      <w:keepNext w:val="0"/>
      <w:widowControl/>
      <w:spacing w:before="0" w:after="120" w:line="324" w:lineRule="auto"/>
    </w:pPr>
    <w:rPr>
      <w:rFonts w:ascii="IBM Plex Sans" w:hAnsi="IBM Plex Sans" w:cs="IBM Plex Sans" w:eastAsia="IBM Plex Sans"/>
      <w:b w:val="0"/>
      <w:i w:val="0"/>
      <w:caps w:val="0"/>
      <w:color w:val="5E6663"/>
      <w:sz w:val="16"/>
    </w:rPr>
  </w:style>
  <w:style w:type="paragraph" w:customStyle="1" w:styleId="FigLabel">
    <w:name w:val="FigLabel"/>
    <w:basedOn w:val="Normal"/>
    <w:pPr>
      <w:keepNext/>
      <w:widowControl/>
      <w:spacing w:before="0" w:after="80" w:line="288" w:lineRule="auto"/>
    </w:pPr>
    <w:rPr>
      <w:rFonts w:ascii="IBM Plex Sans" w:hAnsi="IBM Plex Sans" w:cs="IBM Plex Sans" w:eastAsia="IBM Plex Sans"/>
      <w:b/>
      <w:i w:val="0"/>
      <w:caps/>
      <w:color w:val="17211E"/>
      <w:spacing w:val="14"/>
      <w:sz w:val="15"/>
    </w:rPr>
  </w:style>
  <w:style w:type="paragraph" w:customStyle="1" w:styleId="TblText">
    <w:name w:val="TblText"/>
    <w:basedOn w:val="Normal"/>
    <w:pPr>
      <w:keepNext w:val="0"/>
      <w:widowControl/>
      <w:spacing w:before="0" w:after="0" w:line="288" w:lineRule="auto"/>
    </w:pPr>
    <w:rPr>
      <w:rFonts w:ascii="IBM Plex Sans" w:hAnsi="IBM Plex Sans" w:cs="IBM Plex Sans" w:eastAsia="IBM Plex Sans"/>
      <w:b w:val="0"/>
      <w:i w:val="0"/>
      <w:caps w:val="0"/>
      <w:color w:val="17211E"/>
      <w:sz w:val="17"/>
    </w:rPr>
  </w:style>
  <w:style w:type="paragraph" w:customStyle="1" w:styleId="TblHead">
    <w:name w:val="TblHead"/>
    <w:basedOn w:val="Normal"/>
    <w:pPr>
      <w:keepNext w:val="0"/>
      <w:widowControl/>
      <w:spacing w:before="0" w:after="0" w:line="276" w:lineRule="auto"/>
    </w:pPr>
    <w:rPr>
      <w:rFonts w:ascii="IBM Plex Sans" w:hAnsi="IBM Plex Sans" w:cs="IBM Plex Sans" w:eastAsia="IBM Plex Sans"/>
      <w:b/>
      <w:i w:val="0"/>
      <w:caps/>
      <w:color w:val="17211E"/>
      <w:spacing w:val="12"/>
      <w:sz w:val="14"/>
    </w:rPr>
  </w:style>
  <w:style w:type="paragraph" w:customStyle="1" w:styleId="NumXL">
    <w:name w:val="NumXL"/>
    <w:basedOn w:val="Normal"/>
    <w:pPr>
      <w:keepNext w:val="0"/>
      <w:widowControl/>
      <w:spacing w:before="0" w:after="0" w:line="240" w:lineRule="auto"/>
    </w:pPr>
    <w:rPr>
      <w:rFonts w:ascii="IBM Plex Serif" w:hAnsi="IBM Plex Serif" w:cs="IBM Plex Serif" w:eastAsia="IBM Plex Serif"/>
      <w:b w:val="0"/>
      <w:i w:val="0"/>
      <w:caps w:val="0"/>
      <w:color w:val="0B5D4F"/>
      <w:sz w:val="240"/>
    </w:rPr>
  </w:style>
  <w:style w:type="paragraph" w:customStyle="1" w:styleId="NumL">
    <w:name w:val="NumL"/>
    <w:basedOn w:val="Normal"/>
    <w:pPr>
      <w:keepNext w:val="0"/>
      <w:widowControl/>
      <w:spacing w:before="0" w:after="0" w:line="240" w:lineRule="auto"/>
    </w:pPr>
    <w:rPr>
      <w:rFonts w:ascii="IBM Plex Serif" w:hAnsi="IBM Plex Serif" w:cs="IBM Plex Serif" w:eastAsia="IBM Plex Serif"/>
      <w:b w:val="0"/>
      <w:i w:val="0"/>
      <w:caps w:val="0"/>
      <w:color w:val="0B5D4F"/>
      <w:sz w:val="68"/>
    </w:rPr>
  </w:style>
  <w:style w:type="paragraph" w:customStyle="1" w:styleId="KpiVal">
    <w:name w:val="KpiVal"/>
    <w:basedOn w:val="Normal"/>
    <w:pPr>
      <w:keepNext w:val="0"/>
      <w:widowControl/>
      <w:spacing w:before="0" w:after="40" w:line="240" w:lineRule="auto"/>
    </w:pPr>
    <w:rPr>
      <w:rFonts w:ascii="IBM Plex Serif" w:hAnsi="IBM Plex Serif" w:cs="IBM Plex Serif" w:eastAsia="IBM Plex Serif"/>
      <w:b w:val="0"/>
      <w:i w:val="0"/>
      <w:caps w:val="0"/>
      <w:color w:val="17211E"/>
      <w:sz w:val="52"/>
    </w:rPr>
  </w:style>
  <w:style w:type="paragraph" w:customStyle="1" w:styleId="KpiLab">
    <w:name w:val="KpiLab"/>
    <w:basedOn w:val="Normal"/>
    <w:pPr>
      <w:keepNext w:val="0"/>
      <w:widowControl/>
      <w:spacing w:before="0" w:after="0" w:line="312" w:lineRule="auto"/>
    </w:pPr>
    <w:rPr>
      <w:rFonts w:ascii="IBM Plex Sans" w:hAnsi="IBM Plex Sans" w:cs="IBM Plex Sans" w:eastAsia="IBM Plex Sans"/>
      <w:b w:val="0"/>
      <w:i w:val="0"/>
      <w:caps w:val="0"/>
      <w:color w:val="5E6663"/>
      <w:sz w:val="15"/>
    </w:rPr>
  </w:style>
  <w:style w:type="paragraph" w:customStyle="1" w:styleId="Callout">
    <w:name w:val="Callout"/>
    <w:basedOn w:val="Normal"/>
    <w:pPr>
      <w:keepNext w:val="0"/>
      <w:widowControl/>
      <w:spacing w:before="0" w:after="80" w:line="336" w:lineRule="auto"/>
    </w:pPr>
    <w:rPr>
      <w:rFonts w:ascii="IBM Plex Serif" w:hAnsi="IBM Plex Serif" w:cs="IBM Plex Serif" w:eastAsia="IBM Plex Serif"/>
      <w:b w:val="0"/>
      <w:i w:val="0"/>
      <w:caps w:val="0"/>
      <w:color w:val="17211E"/>
      <w:sz w:val="22"/>
    </w:rPr>
  </w:style>
  <w:style w:type="paragraph" w:customStyle="1" w:styleId="Ref">
    <w:name w:val="Ref"/>
    <w:basedOn w:val="Normal"/>
    <w:pPr>
      <w:keepNext w:val="0"/>
      <w:widowControl/>
      <w:spacing w:before="0" w:after="60" w:line="324" w:lineRule="auto"/>
      <w:ind w:left="340" w:hanging="340"/>
    </w:pPr>
    <w:rPr>
      <w:rFonts w:ascii="IBM Plex Sans" w:hAnsi="IBM Plex Sans" w:cs="IBM Plex Sans" w:eastAsia="IBM Plex Sans"/>
      <w:b w:val="0"/>
      <w:i w:val="0"/>
      <w:caps w:val="0"/>
      <w:color w:val="17211E"/>
      <w:sz w:val="16"/>
    </w:rPr>
  </w:style>
  <w:style w:type="paragraph" w:customStyle="1" w:styleId="Toc1">
    <w:name w:val="Toc1"/>
    <w:basedOn w:val="Normal"/>
    <w:pPr>
      <w:keepNext w:val="0"/>
      <w:widowControl/>
      <w:spacing w:before="280" w:after="60" w:line="288" w:lineRule="auto"/>
    </w:pPr>
    <w:rPr>
      <w:rFonts w:ascii="IBM Plex Serif" w:hAnsi="IBM Plex Serif" w:cs="IBM Plex Serif" w:eastAsia="IBM Plex Serif"/>
      <w:b w:val="0"/>
      <w:i w:val="0"/>
      <w:caps w:val="0"/>
      <w:color w:val="17211E"/>
      <w:sz w:val="30"/>
    </w:rPr>
  </w:style>
  <w:style w:type="paragraph" w:customStyle="1" w:styleId="Toc2">
    <w:name w:val="Toc2"/>
    <w:basedOn w:val="Normal"/>
    <w:pPr>
      <w:keepNext w:val="0"/>
      <w:widowControl/>
      <w:spacing w:before="40" w:after="60" w:line="312" w:lineRule="auto"/>
      <w:ind w:left="794"/>
    </w:pPr>
    <w:rPr>
      <w:rFonts w:ascii="IBM Plex Sans" w:hAnsi="IBM Plex Sans" w:cs="IBM Plex Sans" w:eastAsia="IBM Plex Sans"/>
      <w:b w:val="0"/>
      <w:i w:val="0"/>
      <w:caps w:val="0"/>
      <w:color w:val="17211E"/>
      <w:sz w:val="19"/>
    </w:rPr>
  </w:style>
  <w:style w:type="paragraph" w:customStyle="1" w:styleId="Bullet">
    <w:name w:val="Bullet"/>
    <w:basedOn w:val="Normal"/>
    <w:pPr>
      <w:keepNext w:val="0"/>
      <w:widowControl/>
      <w:spacing w:before="0" w:after="60" w:line="331" w:lineRule="auto"/>
      <w:ind w:left="283" w:hanging="283"/>
    </w:pPr>
    <w:rPr>
      <w:rFonts w:ascii="IBM Plex Serif" w:hAnsi="IBM Plex Serif" w:cs="IBM Plex Serif" w:eastAsia="IBM Plex Serif"/>
      <w:b w:val="0"/>
      <w:i w:val="0"/>
      <w:caps w:val="0"/>
      <w:color w:val="17211E"/>
      <w:sz w:val="20"/>
    </w:rPr>
  </w:style>
  <w:style w:type="paragraph" w:customStyle="1" w:styleId="RunHead">
    <w:name w:val="RunHead"/>
    <w:basedOn w:val="Normal"/>
    <w:pPr>
      <w:keepNext w:val="0"/>
      <w:widowControl/>
      <w:spacing w:before="0" w:after="0" w:line="240" w:lineRule="auto"/>
    </w:pPr>
    <w:rPr>
      <w:rFonts w:ascii="IBM Plex Sans" w:hAnsi="IBM Plex Sans" w:cs="IBM Plex Sans" w:eastAsia="IBM Plex Sans"/>
      <w:b w:val="0"/>
      <w:i w:val="0"/>
      <w:caps/>
      <w:color w:val="5E6663"/>
      <w:spacing w:val="14"/>
      <w:sz w:val="14"/>
    </w:rPr>
  </w:style>
  <w:style w:type="paragraph" w:customStyle="1" w:styleId="SlabLabel">
    <w:name w:val="SlabLabel"/>
    <w:basedOn w:val="Normal"/>
    <w:pPr>
      <w:keepNext w:val="0"/>
      <w:widowControl/>
      <w:spacing w:before="0" w:after="80" w:line="288" w:lineRule="auto"/>
    </w:pPr>
    <w:rPr>
      <w:rFonts w:ascii="IBM Plex Sans" w:hAnsi="IBM Plex Sans" w:cs="IBM Plex Sans" w:eastAsia="IBM Plex Sans"/>
      <w:b/>
      <w:i w:val="0"/>
      <w:caps/>
      <w:color w:val="E3ECE8"/>
      <w:spacing w:val="18"/>
      <w:sz w:val="15"/>
    </w:rPr>
  </w:style>
  <w:style w:type="paragraph" w:customStyle="1" w:styleId="SlabNum">
    <w:name w:val="SlabNum"/>
    <w:basedOn w:val="Normal"/>
    <w:pPr>
      <w:keepNext w:val="0"/>
      <w:widowControl/>
      <w:spacing w:before="0" w:after="0" w:line="240" w:lineRule="auto"/>
    </w:pPr>
    <w:rPr>
      <w:rFonts w:ascii="IBM Plex Serif" w:hAnsi="IBM Plex Serif" w:cs="IBM Plex Serif" w:eastAsia="IBM Plex Serif"/>
      <w:b w:val="0"/>
      <w:i w:val="0"/>
      <w:caps w:val="0"/>
      <w:color w:val="FFFFFF"/>
      <w:sz w:val="60"/>
    </w:rPr>
  </w:style>
  <w:style w:type="paragraph" w:customStyle="1" w:styleId="SlabText">
    <w:name w:val="SlabText"/>
    <w:basedOn w:val="Normal"/>
    <w:pPr>
      <w:keepNext w:val="0"/>
      <w:widowControl/>
      <w:spacing w:before="0" w:after="200" w:line="324" w:lineRule="auto"/>
    </w:pPr>
    <w:rPr>
      <w:rFonts w:ascii="IBM Plex Sans" w:hAnsi="IBM Plex Sans" w:cs="IBM Plex Sans" w:eastAsia="IBM Plex Sans"/>
      <w:b w:val="0"/>
      <w:i w:val="0"/>
      <w:caps w:val="0"/>
      <w:color w:val="FFFF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image" Target="media/image1.png"/><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Cutting the cost of the last mile</dc:title>
  <dc:subject/>
  <dc:creator>Illustrative Advisory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