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🩺 dataDoctor — Data Quality Report</w:t>
      </w:r>
    </w:p>
    <w:p>
      <w:pPr>
        <w:jc w:val="center"/>
      </w:pPr>
      <w:r>
        <w:rPr>
          <w:color w:val="6C757D"/>
          <w:sz w:val="22"/>
        </w:rPr>
        <w:t>Dataset: dataDoctor_big_dataset  |  2026-04-26 12:43  |  Score: 89.6/100 — Grade B</w:t>
      </w:r>
    </w:p>
    <w:p/>
    <w:p>
      <w:pPr>
        <w:pStyle w:val="Heading1"/>
      </w:pPr>
      <w:r>
        <w:rPr>
          <w:color w:val="1E3A5F"/>
        </w:rPr>
        <w:t>1. Executive Summary</w:t>
      </w:r>
    </w:p>
    <w:p>
      <w:r>
        <w:t>This report evaluates dataDoctor_big_dataset across 7 quality dimensions. The dataset (10,300 rows × 8 cols) received an overall score of 89.6/100 (Good 🟡). 4 total issues were identified.</w:t>
      </w:r>
    </w:p>
    <w:p>
      <w:r>
        <w:rPr>
          <w:b/>
          <w:color w:val="E63946"/>
        </w:rPr>
        <w:t>⚠ PII DETECTED in 1 column(s). See Section 8.</w:t>
      </w:r>
    </w:p>
    <w:p>
      <w:pPr>
        <w:pStyle w:val="Heading2"/>
      </w:pPr>
      <w:r>
        <w:rPr>
          <w:color w:val="1E3A5F"/>
        </w:rPr>
        <w:t>Overall Quality Score</w:t>
      </w:r>
    </w:p>
    <w:p>
      <w:r>
        <w:drawing>
          <wp:inline xmlns:a="http://schemas.openxmlformats.org/drawingml/2006/main" xmlns:pic="http://schemas.openxmlformats.org/drawingml/2006/picture">
            <wp:extent cx="2880000" cy="303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3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2. Dimension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81"/>
            <w:shd w:fill="1E3A5F" w:color="auto" w:val="clear"/>
          </w:tcPr>
          <w:p>
            <w:r>
              <w:rPr>
                <w:b/>
                <w:color w:val="FFFFFF"/>
              </w:rPr>
              <w:t>Issues</w:t>
            </w:r>
          </w:p>
        </w:tc>
      </w:tr>
      <w:tr>
        <w:tc>
          <w:tcPr>
            <w:tcW w:type="dxa" w:w="1881"/>
          </w:tcPr>
          <w:p>
            <w:r>
              <w:t>Completeness</w:t>
            </w:r>
          </w:p>
        </w:tc>
        <w:tc>
          <w:tcPr>
            <w:tcW w:type="dxa" w:w="1881"/>
          </w:tcPr>
          <w:p>
            <w:r>
              <w:t>74.2/100</w:t>
            </w:r>
          </w:p>
        </w:tc>
        <w:tc>
          <w:tcPr>
            <w:tcW w:type="dxa" w:w="1881"/>
          </w:tcPr>
          <w:p>
            <w:r>
              <w:t>22%</w:t>
            </w:r>
          </w:p>
        </w:tc>
        <w:tc>
          <w:tcPr>
            <w:tcW w:type="dxa" w:w="1881"/>
          </w:tcPr>
          <w:p>
            <w:r>
              <w:t>🟡 Good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Uniqueness</w:t>
            </w:r>
          </w:p>
        </w:tc>
        <w:tc>
          <w:tcPr>
            <w:tcW w:type="dxa" w:w="1881"/>
          </w:tcPr>
          <w:p>
            <w:r>
              <w:t>77.1/100</w:t>
            </w:r>
          </w:p>
        </w:tc>
        <w:tc>
          <w:tcPr>
            <w:tcW w:type="dxa" w:w="1881"/>
          </w:tcPr>
          <w:p>
            <w:r>
              <w:t>15%</w:t>
            </w:r>
          </w:p>
        </w:tc>
        <w:tc>
          <w:tcPr>
            <w:tcW w:type="dxa" w:w="1881"/>
          </w:tcPr>
          <w:p>
            <w:r>
              <w:t>🟡 Good</w:t>
            </w:r>
          </w:p>
        </w:tc>
        <w:tc>
          <w:tcPr>
            <w:tcW w:type="dxa" w:w="1881"/>
          </w:tcPr>
          <w:p>
            <w:r>
              <w:t>2</w:t>
            </w:r>
          </w:p>
        </w:tc>
      </w:tr>
      <w:tr>
        <w:tc>
          <w:tcPr>
            <w:tcW w:type="dxa" w:w="1881"/>
          </w:tcPr>
          <w:p>
            <w:r>
              <w:t>Validity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18%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Consistency</w:t>
            </w:r>
          </w:p>
        </w:tc>
        <w:tc>
          <w:tcPr>
            <w:tcW w:type="dxa" w:w="1881"/>
          </w:tcPr>
          <w:p>
            <w:r>
              <w:t>100.0/100</w:t>
            </w:r>
          </w:p>
        </w:tc>
        <w:tc>
          <w:tcPr>
            <w:tcW w:type="dxa" w:w="1881"/>
          </w:tcPr>
          <w:p>
            <w:r>
              <w:t>15%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Integrity</w:t>
            </w:r>
          </w:p>
        </w:tc>
        <w:tc>
          <w:tcPr>
            <w:tcW w:type="dxa" w:w="1881"/>
          </w:tcPr>
          <w:p>
            <w:r>
              <w:t>95.0/100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1</w:t>
            </w:r>
          </w:p>
        </w:tc>
      </w:tr>
      <w:tr>
        <w:tc>
          <w:tcPr>
            <w:tcW w:type="dxa" w:w="1881"/>
          </w:tcPr>
          <w:p>
            <w:r>
              <w:t>Distribution</w:t>
            </w:r>
          </w:p>
        </w:tc>
        <w:tc>
          <w:tcPr>
            <w:tcW w:type="dxa" w:w="1881"/>
          </w:tcPr>
          <w:p>
            <w:r>
              <w:t>98.1/100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ML Readiness</w:t>
            </w:r>
          </w:p>
        </w:tc>
        <w:tc>
          <w:tcPr>
            <w:tcW w:type="dxa" w:w="1881"/>
          </w:tcPr>
          <w:p>
            <w:r>
              <w:t>94.0/100</w:t>
            </w:r>
          </w:p>
        </w:tc>
        <w:tc>
          <w:tcPr>
            <w:tcW w:type="dxa" w:w="1881"/>
          </w:tcPr>
          <w:p>
            <w:r>
              <w:t>10%</w:t>
            </w:r>
          </w:p>
        </w:tc>
        <w:tc>
          <w:tcPr>
            <w:tcW w:type="dxa" w:w="1881"/>
          </w:tcPr>
          <w:p>
            <w:r>
              <w:t>✅ Excellent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00000" cy="2960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3. Dimension Details</w:t>
      </w:r>
    </w:p>
    <w:p>
      <w:pPr>
        <w:pStyle w:val="Heading2"/>
      </w:pPr>
      <w:r>
        <w:rPr>
          <w:color w:val="1E3A5F"/>
        </w:rPr>
        <w:t>Completeness — 74.2/100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No column has &gt;50% missing values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4 column(s) missing 10-50%: quantity, region, sales_rep, total</w:t>
      </w:r>
    </w:p>
    <w:p>
      <w:pPr>
        <w:pStyle w:val="Heading2"/>
      </w:pPr>
      <w:r>
        <w:rPr>
          <w:color w:val="1E3A5F"/>
        </w:rPr>
        <w:t>Uniqueness — 77.1/100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No constant (zero-variance) columns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300 duplicate rows (2.9% of dataset)</w:t>
      </w:r>
    </w:p>
    <w:p>
      <w:pPr>
        <w:pStyle w:val="ListBullet"/>
      </w:pPr>
      <w:r>
        <w:rPr>
          <w:color w:val="E63946"/>
        </w:rPr>
        <w:t>⚠ ID column(s) with duplicates: id</w:t>
      </w:r>
    </w:p>
    <w:p>
      <w:pPr>
        <w:pStyle w:val="Heading2"/>
      </w:pPr>
      <w:r>
        <w:rPr>
          <w:color w:val="1E3A5F"/>
        </w:rPr>
        <w:t>Validity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All named numeric columns within expected ranges ✅</w:t>
      </w:r>
    </w:p>
    <w:p>
      <w:pPr>
        <w:pStyle w:val="ListBullet"/>
      </w:pPr>
      <w:r>
        <w:t>No impossible negative values found ✅</w:t>
      </w:r>
    </w:p>
    <w:p>
      <w:pPr>
        <w:pStyle w:val="ListBullet"/>
      </w:pPr>
      <w:r>
        <w:t>String column formatting appears consistent ✅</w:t>
      </w:r>
    </w:p>
    <w:p>
      <w:pPr>
        <w:pStyle w:val="Heading2"/>
      </w:pPr>
      <w:r>
        <w:rPr>
          <w:color w:val="1E3A5F"/>
        </w:rPr>
        <w:t>Consistency — 100.0/100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Date columns appear logically ordered ✅</w:t>
      </w:r>
    </w:p>
    <w:p>
      <w:pPr>
        <w:pStyle w:val="ListBullet"/>
      </w:pPr>
      <w:r>
        <w:t>Min/Max column pairs are consistent ✅</w:t>
      </w:r>
    </w:p>
    <w:p>
      <w:pPr>
        <w:pStyle w:val="ListBullet"/>
      </w:pPr>
      <w:r>
        <w:t>No dtype mismatches detected ✅</w:t>
      </w:r>
    </w:p>
    <w:p>
      <w:pPr>
        <w:pStyle w:val="Heading2"/>
      </w:pPr>
      <w:r>
        <w:rPr>
          <w:color w:val="1E3A5F"/>
        </w:rPr>
        <w:t>Integrity — 95.0/100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All column names are clean and well-formatted ✅</w:t>
      </w:r>
    </w:p>
    <w:p>
      <w:pPr>
        <w:pStyle w:val="ListBullet"/>
      </w:pPr>
      <w:r>
        <w:t>Index integrity is clean ✅</w:t>
      </w:r>
    </w:p>
    <w:p>
      <w:pPr>
        <w:pStyle w:val="ListBullet"/>
      </w:pPr>
      <w:r>
        <w:t>Issues:</w:t>
      </w:r>
    </w:p>
    <w:p>
      <w:pPr>
        <w:pStyle w:val="ListBullet"/>
      </w:pPr>
      <w:r>
        <w:rPr>
          <w:color w:val="E63946"/>
        </w:rPr>
        <w:t>⚠ ⚠️  PII detected in 1 column(s): total</w:t>
      </w:r>
    </w:p>
    <w:p>
      <w:pPr>
        <w:pStyle w:val="Heading2"/>
      </w:pPr>
      <w:r>
        <w:rPr>
          <w:color w:val="1E3A5F"/>
        </w:rPr>
        <w:t>Distribution — 98.1/100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All numeric distributions have acceptable skewness ✅</w:t>
      </w:r>
    </w:p>
    <w:p>
      <w:pPr>
        <w:pStyle w:val="ListBullet"/>
      </w:pPr>
      <w:r>
        <w:t>Outlier rates within acceptable bounds ✅</w:t>
      </w:r>
    </w:p>
    <w:p>
      <w:pPr>
        <w:pStyle w:val="ListBullet"/>
      </w:pPr>
      <w:r>
        <w:t>Categorical columns have good value diversity ✅</w:t>
      </w:r>
    </w:p>
    <w:p>
      <w:pPr>
        <w:pStyle w:val="Heading2"/>
      </w:pPr>
      <w:r>
        <w:rPr>
          <w:color w:val="1E3A5F"/>
        </w:rPr>
        <w:t>ML Readiness — 94.0/100</w:t>
      </w:r>
    </w:p>
    <w:p>
      <w:pPr>
        <w:pStyle w:val="ListBullet"/>
      </w:pPr>
      <w:r>
        <w:t>Positives:</w:t>
      </w:r>
    </w:p>
    <w:p>
      <w:pPr>
        <w:pStyle w:val="ListBullet"/>
      </w:pPr>
      <w:r>
        <w:t>10,300 rows — sufficient for ML ✅</w:t>
      </w:r>
    </w:p>
    <w:p>
      <w:pPr>
        <w:pStyle w:val="ListBullet"/>
      </w:pPr>
      <w:r>
        <w:t>4 numeric features available ✅</w:t>
      </w:r>
    </w:p>
    <w:p>
      <w:pPr>
        <w:pStyle w:val="ListBullet"/>
      </w:pPr>
      <w:r>
        <w:t>Numeric features are well-populated ✅</w:t>
      </w:r>
    </w:p>
    <w:p>
      <w:pPr>
        <w:pStyle w:val="Heading1"/>
      </w:pPr>
      <w:r>
        <w:rPr>
          <w:color w:val="1E3A5F"/>
        </w:rPr>
        <w:t>4. Recommendations</w:t>
      </w:r>
    </w:p>
    <w:p>
      <w:pPr>
        <w:pStyle w:val="ListNumber"/>
      </w:pPr>
      <w:r>
        <w:t>1. 🟡 Dataset quality is good. Minor fixes recommended.</w:t>
      </w:r>
    </w:p>
    <w:p>
      <w:pPr>
        <w:pStyle w:val="ListNumber"/>
      </w:pPr>
      <w:r>
        <w:t>2. 🟠 Impute moderate-missing columns using mean/median/KNN: quantity, region, sales_rep</w:t>
      </w:r>
    </w:p>
    <w:p>
      <w:pPr>
        <w:pStyle w:val="ListNumber"/>
      </w:pPr>
      <w:r>
        <w:t>3. 🟡 Remove 300 duplicate rows → df.drop_duplicates()</w:t>
      </w:r>
    </w:p>
    <w:p>
      <w:pPr>
        <w:pStyle w:val="Heading1"/>
      </w:pPr>
      <w:r>
        <w:rPr>
          <w:color w:val="1E3A5F"/>
        </w:rPr>
        <w:t>5.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4D8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fill="00B4D8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Total Rows</w:t>
            </w:r>
          </w:p>
        </w:tc>
        <w:tc>
          <w:tcPr>
            <w:tcW w:type="dxa" w:w="4703"/>
          </w:tcPr>
          <w:p>
            <w:r>
              <w:t>10300</w:t>
            </w:r>
          </w:p>
        </w:tc>
      </w:tr>
      <w:tr>
        <w:tc>
          <w:tcPr>
            <w:tcW w:type="dxa" w:w="4703"/>
          </w:tcPr>
          <w:p>
            <w:r>
              <w:t>Total Columns</w:t>
            </w:r>
          </w:p>
        </w:tc>
        <w:tc>
          <w:tcPr>
            <w:tcW w:type="dxa" w:w="4703"/>
          </w:tcPr>
          <w:p>
            <w:r>
              <w:t>8</w:t>
            </w:r>
          </w:p>
        </w:tc>
      </w:tr>
      <w:tr>
        <w:tc>
          <w:tcPr>
            <w:tcW w:type="dxa" w:w="4703"/>
          </w:tcPr>
          <w:p>
            <w:r>
              <w:t>Numeric Columns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Categorical Columns</w:t>
            </w:r>
          </w:p>
        </w:tc>
        <w:tc>
          <w:tcPr>
            <w:tcW w:type="dxa" w:w="4703"/>
          </w:tcPr>
          <w:p>
            <w:r>
              <w:t>4</w:t>
            </w:r>
          </w:p>
        </w:tc>
      </w:tr>
      <w:tr>
        <w:tc>
          <w:tcPr>
            <w:tcW w:type="dxa" w:w="4703"/>
          </w:tcPr>
          <w:p>
            <w:r>
              <w:t>Null Cells</w:t>
            </w:r>
          </w:p>
        </w:tc>
        <w:tc>
          <w:tcPr>
            <w:tcW w:type="dxa" w:w="4703"/>
          </w:tcPr>
          <w:p>
            <w:r>
              <w:t>7217</w:t>
            </w:r>
          </w:p>
        </w:tc>
      </w:tr>
      <w:tr>
        <w:tc>
          <w:tcPr>
            <w:tcW w:type="dxa" w:w="4703"/>
          </w:tcPr>
          <w:p>
            <w:r>
              <w:t>Null Rate</w:t>
            </w:r>
          </w:p>
        </w:tc>
        <w:tc>
          <w:tcPr>
            <w:tcW w:type="dxa" w:w="4703"/>
          </w:tcPr>
          <w:p>
            <w:r>
              <w:t>8.76%</w:t>
            </w:r>
          </w:p>
        </w:tc>
      </w:tr>
      <w:tr>
        <w:tc>
          <w:tcPr>
            <w:tcW w:type="dxa" w:w="4703"/>
          </w:tcPr>
          <w:p>
            <w:r>
              <w:t>Duplicate Rows</w:t>
            </w:r>
          </w:p>
        </w:tc>
        <w:tc>
          <w:tcPr>
            <w:tcW w:type="dxa" w:w="4703"/>
          </w:tcPr>
          <w:p>
            <w:r>
              <w:t>300</w:t>
            </w:r>
          </w:p>
        </w:tc>
      </w:tr>
      <w:tr>
        <w:tc>
          <w:tcPr>
            <w:tcW w:type="dxa" w:w="4703"/>
          </w:tcPr>
          <w:p>
            <w:r>
              <w:t>Memory (MB)</w:t>
            </w:r>
          </w:p>
        </w:tc>
        <w:tc>
          <w:tcPr>
            <w:tcW w:type="dxa" w:w="4703"/>
          </w:tcPr>
          <w:p>
            <w:r>
              <w:t>0.882</w:t>
            </w:r>
          </w:p>
        </w:tc>
      </w:tr>
    </w:tbl>
    <w:p>
      <w:pPr>
        <w:pStyle w:val="Heading1"/>
      </w:pPr>
      <w:r>
        <w:rPr>
          <w:color w:val="1E3A5F"/>
        </w:rPr>
        <w:t>6. Missing Values</w:t>
      </w:r>
    </w:p>
    <w:p>
      <w:r>
        <w:drawing>
          <wp:inline xmlns:a="http://schemas.openxmlformats.org/drawingml/2006/main" xmlns:pic="http://schemas.openxmlformats.org/drawingml/2006/picture">
            <wp:extent cx="5400000" cy="1848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7. Numeric Distributions</w:t>
      </w:r>
    </w:p>
    <w:p>
      <w:r>
        <w:drawing>
          <wp:inline xmlns:a="http://schemas.openxmlformats.org/drawingml/2006/main" xmlns:pic="http://schemas.openxmlformats.org/drawingml/2006/picture">
            <wp:extent cx="5400000" cy="2689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5F"/>
        </w:rPr>
        <w:t>8. ⚠ PII Risk Alert</w:t>
      </w:r>
    </w:p>
    <w:p>
      <w:r>
        <w:t>The following columns contain possible PII. Apply anonymization before sharing.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Column</w:t>
            </w:r>
          </w:p>
        </w:tc>
        <w:tc>
          <w:tcPr>
            <w:tcW w:type="dxa" w:w="4703"/>
          </w:tcPr>
          <w:p>
            <w:r>
              <w:t>Signals</w:t>
            </w:r>
          </w:p>
        </w:tc>
      </w:tr>
      <w:tr>
        <w:tc>
          <w:tcPr>
            <w:tcW w:type="dxa" w:w="4703"/>
          </w:tcPr>
          <w:p>
            <w:r>
              <w:t>total</w:t>
            </w:r>
          </w:p>
        </w:tc>
        <w:tc>
          <w:tcPr>
            <w:tcW w:type="dxa" w:w="4703"/>
          </w:tcPr>
          <w:p>
            <w:r>
              <w:t>pattern:phone, pattern:credit_card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