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SPECIFICATION</w:t>
      </w:r>
    </w:p>
    <w:p>
      <w:r>
        <w:t>Speech-to-Text &amp; Named Entity Recognition | Prompt Optimization</w:t>
      </w:r>
    </w:p>
    <w:p>
      <w:r>
        <w:t>Insurance Confirmation Call Processing • Technical design, integration, testing and release readiness</w:t>
      </w:r>
    </w:p>
    <w:p>
      <w:r>
        <w:t>DOCUMENT STATUS  |  DRAFT – TECHNICAL REVIEW REQUIRED</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DOCUMENT CONTROL</w:t>
            </w:r>
          </w:p>
        </w:tc>
        <w:tc>
          <w:tcPr>
            <w:tcW w:type="dxa" w:w="4896"/>
            <w:vAlign w:val="center"/>
          </w:tcPr>
          <w:p>
            <w:r>
              <w:t>DETAIL</w:t>
            </w:r>
          </w:p>
        </w:tc>
      </w:tr>
      <w:tr>
        <w:tc>
          <w:tcPr>
            <w:tcW w:type="dxa" w:w="4896"/>
            <w:vAlign w:val="center"/>
          </w:tcPr>
          <w:p>
            <w:r>
              <w:t>Organization</w:t>
            </w:r>
          </w:p>
        </w:tc>
        <w:tc>
          <w:tcPr>
            <w:tcW w:type="dxa" w:w="4896"/>
            <w:vAlign w:val="center"/>
          </w:tcPr>
          <w:p>
            <w:r>
              <w:t>Dai-ichi Life Vietnam (project context)</w:t>
            </w:r>
          </w:p>
        </w:tc>
      </w:tr>
      <w:tr>
        <w:tc>
          <w:tcPr>
            <w:tcW w:type="dxa" w:w="4896"/>
            <w:vAlign w:val="center"/>
          </w:tcPr>
          <w:p>
            <w:r>
              <w:t>Prepared by</w:t>
            </w:r>
          </w:p>
        </w:tc>
        <w:tc>
          <w:tcPr>
            <w:tcW w:type="dxa" w:w="4896"/>
            <w:vAlign w:val="center"/>
          </w:tcPr>
          <w:p>
            <w:r>
              <w:t>Phát Đàm</w:t>
            </w:r>
          </w:p>
        </w:tc>
      </w:tr>
      <w:tr>
        <w:tc>
          <w:tcPr>
            <w:tcW w:type="dxa" w:w="4896"/>
            <w:vAlign w:val="center"/>
          </w:tcPr>
          <w:p>
            <w:r>
              <w:t>Created / updated</w:t>
            </w:r>
          </w:p>
        </w:tc>
        <w:tc>
          <w:tcPr>
            <w:tcW w:type="dxa" w:w="4896"/>
            <w:vAlign w:val="center"/>
          </w:tcPr>
          <w:p>
            <w:r>
              <w:t>29 October 2026</w:t>
            </w:r>
          </w:p>
        </w:tc>
      </w:tr>
      <w:tr>
        <w:tc>
          <w:tcPr>
            <w:tcW w:type="dxa" w:w="4896"/>
            <w:vAlign w:val="center"/>
          </w:tcPr>
          <w:p>
            <w:r>
              <w:t>Scope</w:t>
            </w:r>
          </w:p>
        </w:tc>
        <w:tc>
          <w:tcPr>
            <w:tcW w:type="dxa" w:w="4896"/>
            <w:vAlign w:val="center"/>
          </w:tcPr>
          <w:p>
            <w:r>
              <w:t>S2T Prompt V3 and NER Prompt V2</w:t>
            </w:r>
          </w:p>
        </w:tc>
      </w:tr>
      <w:tr>
        <w:tc>
          <w:tcPr>
            <w:tcW w:type="dxa" w:w="4896"/>
            <w:vAlign w:val="center"/>
          </w:tcPr>
          <w:p>
            <w:r>
              <w:t>Change category</w:t>
            </w:r>
          </w:p>
        </w:tc>
        <w:tc>
          <w:tcPr>
            <w:tcW w:type="dxa" w:w="4896"/>
            <w:vAlign w:val="center"/>
          </w:tcPr>
          <w:p>
            <w:r>
              <w:t>Enhancement / backward-compatible prompt modification</w:t>
            </w:r>
          </w:p>
        </w:tc>
      </w:tr>
      <w:tr>
        <w:tc>
          <w:tcPr>
            <w:tcW w:type="dxa" w:w="4896"/>
            <w:vAlign w:val="center"/>
          </w:tcPr>
          <w:p>
            <w:r>
              <w:t>Release identifier</w:t>
            </w:r>
          </w:p>
        </w:tc>
        <w:tc>
          <w:tcPr>
            <w:tcW w:type="dxa" w:w="4896"/>
            <w:vAlign w:val="center"/>
          </w:tcPr>
          <w:p>
            <w:r>
              <w:t>TBD – V3/V2 are working labels, not approved release numbers</w:t>
            </w:r>
          </w:p>
        </w:tc>
      </w:tr>
      <w:tr>
        <w:tc>
          <w:tcPr>
            <w:tcW w:type="dxa" w:w="4896"/>
            <w:vAlign w:val="center"/>
          </w:tcPr>
          <w:p>
            <w:r>
              <w:t>Review / approval</w:t>
            </w:r>
          </w:p>
        </w:tc>
        <w:tc>
          <w:tcPr>
            <w:tcW w:type="dxa" w:w="4896"/>
            <w:vAlign w:val="center"/>
          </w:tcPr>
          <w:p>
            <w:r>
              <w:t>Technical Lead, QA, Product/Business Owner – TBD</w:t>
            </w:r>
          </w:p>
        </w:tc>
      </w:tr>
      <w:tr>
        <w:tc>
          <w:tcPr>
            <w:tcW w:type="dxa" w:w="4896"/>
            <w:vAlign w:val="center"/>
          </w:tcPr>
          <w:p>
            <w:r>
              <w:t>Environment</w:t>
            </w:r>
          </w:p>
        </w:tc>
        <w:tc>
          <w:tcPr>
            <w:tcW w:type="dxa" w:w="4896"/>
            <w:vAlign w:val="center"/>
          </w:tcPr>
          <w:p>
            <w:r>
              <w:t>Developer integration and debugger evidence; production release not confirmed</w:t>
            </w:r>
          </w:p>
        </w:tc>
      </w:tr>
    </w:tbl>
    <w:p/>
    <w:p>
      <w:r>
        <w:t>Evidence boundary. This specification is based on previously inspected source-code screenshots, observed Python debugger output, discussed prompt guards, and user-supplied failure examples. It does not assert unverified endpoint details, runtime configuration, deployment architecture, measured improvements, or approval status.</w:t>
      </w:r>
    </w:p>
    <w:p>
      <w:pPr>
        <w:pStyle w:val="Heading1"/>
      </w:pPr>
      <w:r>
        <w:t>Document navigation</w:t>
      </w:r>
    </w:p>
    <w:p>
      <w:r>
        <w:t>01  Document information</w:t>
      </w:r>
    </w:p>
    <w:p>
      <w:r>
        <w:t>02  Definitions and conventions</w:t>
      </w:r>
    </w:p>
    <w:p>
      <w:r>
        <w:t>03  Summary and release notes</w:t>
      </w:r>
    </w:p>
    <w:p>
      <w:r>
        <w:t>04  Objectives and impact</w:t>
      </w:r>
    </w:p>
    <w:p>
      <w:r>
        <w:t>05  System and data flow</w:t>
      </w:r>
    </w:p>
    <w:p>
      <w:r>
        <w:t>06  Detailed change specification</w:t>
      </w:r>
    </w:p>
    <w:p>
      <w:r>
        <w:t>07  S2T prompt specification</w:t>
      </w:r>
    </w:p>
    <w:p>
      <w:r>
        <w:t>08  NER prompt specification</w:t>
      </w:r>
    </w:p>
    <w:p>
      <w:r>
        <w:t>09  Database changes</w:t>
      </w:r>
    </w:p>
    <w:p>
      <w:r>
        <w:t>10  Infrastructure and dependencies</w:t>
      </w:r>
    </w:p>
    <w:p>
      <w:r>
        <w:t>11  Performance and load testing</w:t>
      </w:r>
    </w:p>
    <w:p>
      <w:r>
        <w:t>12  User acceptance and sign-off</w:t>
      </w:r>
    </w:p>
    <w:p>
      <w:r>
        <w:t>13  Test coverage and traceability</w:t>
      </w:r>
    </w:p>
    <w:p>
      <w:r>
        <w:t>14  Deployment and rollback</w:t>
      </w:r>
    </w:p>
    <w:p>
      <w:r>
        <w:t>15  Stakeholder communications</w:t>
      </w:r>
    </w:p>
    <w:p>
      <w:r>
        <w:t>16  Appendices and open decisions</w:t>
      </w:r>
    </w:p>
    <w:p>
      <w:pPr>
        <w:pStyle w:val="Heading1"/>
      </w:pPr>
      <w:r>
        <w:t>1. Document information</w:t>
      </w:r>
    </w:p>
    <w:p>
      <w:r>
        <w:t>Purpose. Define the rationale, supported scope, functional behavior, interface invariants, testing approach, and release controls for iterative prompt enhancements to the speech transcription and entity extraction pipeline.</w:t>
      </w:r>
    </w:p>
    <w:p>
      <w:r>
        <w:t>Audience. AI/ML engineers, backend developers, QA engineers, solution architects, business reviewers, and the deployment owner.</w:t>
      </w:r>
    </w:p>
    <w:p>
      <w:pPr>
        <w:pStyle w:val="Heading2"/>
      </w:pPr>
      <w:r>
        <w:t>1.1 Scope</w:t>
      </w:r>
    </w:p>
    <w:p>
      <w:pPr>
        <w:pStyle w:val="ListBullet"/>
      </w:pPr>
      <w:r>
        <w:t>In scope: prompt construction and guardrails, entity boundary selection, monetary and term formats, backwards-compatible Python wrappers, validation requirements, regression criteria, and operational controls.</w:t>
      </w:r>
    </w:p>
    <w:p>
      <w:pPr>
        <w:pStyle w:val="ListBullet"/>
      </w:pPr>
      <w:r>
        <w:t>Out of scope unless separately approved: model replacement, fine-tuning, altering canonical dictionary mappings, database schema migrations, replacing the Reference masking strategy, and production infrastructure changes.</w:t>
      </w:r>
    </w:p>
    <w:p>
      <w:pPr>
        <w:pStyle w:val="Heading2"/>
      </w:pPr>
      <w:r>
        <w:t>1.2 Evidence and decision status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STATUS</w:t>
            </w:r>
          </w:p>
        </w:tc>
        <w:tc>
          <w:tcPr>
            <w:tcW w:type="dxa" w:w="4896"/>
            <w:vAlign w:val="center"/>
          </w:tcPr>
          <w:p>
            <w:r>
              <w:t>MEANING</w:t>
            </w:r>
          </w:p>
        </w:tc>
      </w:tr>
      <w:tr>
        <w:tc>
          <w:tcPr>
            <w:tcW w:type="dxa" w:w="4896"/>
            <w:vAlign w:val="center"/>
          </w:tcPr>
          <w:p>
            <w:r>
              <w:t>Observed</w:t>
            </w:r>
          </w:p>
        </w:tc>
        <w:tc>
          <w:tcPr>
            <w:tcW w:type="dxa" w:w="4896"/>
            <w:vAlign w:val="center"/>
          </w:tcPr>
          <w:p>
            <w:r>
              <w:t>Demonstrated by prior debugger output or source screenshots.</w:t>
            </w:r>
          </w:p>
        </w:tc>
      </w:tr>
      <w:tr>
        <w:tc>
          <w:tcPr>
            <w:tcW w:type="dxa" w:w="4896"/>
            <w:vAlign w:val="center"/>
          </w:tcPr>
          <w:p>
            <w:r>
              <w:t>Designed</w:t>
            </w:r>
          </w:p>
        </w:tc>
        <w:tc>
          <w:tcPr>
            <w:tcW w:type="dxa" w:w="4896"/>
            <w:vAlign w:val="center"/>
          </w:tcPr>
          <w:p>
            <w:r>
              <w:t>Defined in prompt guards or in this specification; runtime compliance not yet established.</w:t>
            </w:r>
          </w:p>
        </w:tc>
      </w:tr>
      <w:tr>
        <w:tc>
          <w:tcPr>
            <w:tcW w:type="dxa" w:w="4896"/>
            <w:vAlign w:val="center"/>
          </w:tcPr>
          <w:p>
            <w:r>
              <w:t>Proposed</w:t>
            </w:r>
          </w:p>
        </w:tc>
        <w:tc>
          <w:tcPr>
            <w:tcW w:type="dxa" w:w="4896"/>
            <w:vAlign w:val="center"/>
          </w:tcPr>
          <w:p>
            <w:r>
              <w:t>Recommended future implementation; not claimed as existing behavior.</w:t>
            </w:r>
          </w:p>
        </w:tc>
      </w:tr>
      <w:tr>
        <w:tc>
          <w:tcPr>
            <w:tcW w:type="dxa" w:w="4896"/>
            <w:vAlign w:val="center"/>
          </w:tcPr>
          <w:p>
            <w:r>
              <w:t>TBD</w:t>
            </w:r>
          </w:p>
        </w:tc>
        <w:tc>
          <w:tcPr>
            <w:tcW w:type="dxa" w:w="4896"/>
            <w:vAlign w:val="center"/>
          </w:tcPr>
          <w:p>
            <w:r>
              <w:t>Requires code review, operational evidence, or project-owner decision.</w:t>
            </w:r>
          </w:p>
        </w:tc>
      </w:tr>
    </w:tbl>
    <w:p/>
    <w:p>
      <w:pPr>
        <w:pStyle w:val="Heading1"/>
      </w:pPr>
      <w:r>
        <w:t>2. Definitions and conventions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TERM</w:t>
            </w:r>
          </w:p>
        </w:tc>
        <w:tc>
          <w:tcPr>
            <w:tcW w:type="dxa" w:w="4896"/>
            <w:vAlign w:val="center"/>
          </w:tcPr>
          <w:p>
            <w:r>
              <w:t>DEFINITION</w:t>
            </w:r>
          </w:p>
        </w:tc>
      </w:tr>
      <w:tr>
        <w:tc>
          <w:tcPr>
            <w:tcW w:type="dxa" w:w="4896"/>
            <w:vAlign w:val="center"/>
          </w:tcPr>
          <w:p>
            <w:r>
              <w:t>S2T / ASR</w:t>
            </w:r>
          </w:p>
        </w:tc>
        <w:tc>
          <w:tcPr>
            <w:tcW w:type="dxa" w:w="4896"/>
            <w:vAlign w:val="center"/>
          </w:tcPr>
          <w:p>
            <w:r>
              <w:t>Automatic speech recognition: audio-to-text conversion.</w:t>
            </w:r>
          </w:p>
        </w:tc>
      </w:tr>
      <w:tr>
        <w:tc>
          <w:tcPr>
            <w:tcW w:type="dxa" w:w="4896"/>
            <w:vAlign w:val="center"/>
          </w:tcPr>
          <w:p>
            <w:r>
              <w:t>NER</w:t>
            </w:r>
          </w:p>
        </w:tc>
        <w:tc>
          <w:tcPr>
            <w:tcW w:type="dxa" w:w="4896"/>
            <w:vAlign w:val="center"/>
          </w:tcPr>
          <w:p>
            <w:r>
              <w:t>Named Entity Recognition: extracting predefined structured fields from transcript text.</w:t>
            </w:r>
          </w:p>
        </w:tc>
      </w:tr>
      <w:tr>
        <w:tc>
          <w:tcPr>
            <w:tcW w:type="dxa" w:w="4896"/>
            <w:vAlign w:val="center"/>
          </w:tcPr>
          <w:p>
            <w:r>
              <w:t>Step1 / Step2</w:t>
            </w:r>
          </w:p>
        </w:tc>
        <w:tc>
          <w:tcPr>
            <w:tcW w:type="dxa" w:w="4896"/>
            <w:vAlign w:val="center"/>
          </w:tcPr>
          <w:p>
            <w:r>
              <w:t>S2T: raw recognition then normalization; NER: normalization then entity extraction.</w:t>
            </w:r>
          </w:p>
        </w:tc>
      </w:tr>
      <w:tr>
        <w:tc>
          <w:tcPr>
            <w:tcW w:type="dxa" w:w="4896"/>
            <w:vAlign w:val="center"/>
          </w:tcPr>
          <w:p>
            <w:r>
              <w:t>Reference / masked script</w:t>
            </w:r>
          </w:p>
        </w:tc>
        <w:tc>
          <w:tcPr>
            <w:tcW w:type="dxa" w:w="4896"/>
            <w:vAlign w:val="center"/>
          </w:tcPr>
          <w:p>
            <w:r>
              <w:t>Script context with numeric details masked as x sequences; not authoritative for numeric entity values.</w:t>
            </w:r>
          </w:p>
        </w:tc>
      </w:tr>
      <w:tr>
        <w:tc>
          <w:tcPr>
            <w:tcW w:type="dxa" w:w="4896"/>
            <w:vAlign w:val="center"/>
          </w:tcPr>
          <w:p>
            <w:r>
              <w:t>Pattern / anchor</w:t>
            </w:r>
          </w:p>
        </w:tc>
        <w:tc>
          <w:tcPr>
            <w:tcW w:type="dxa" w:w="4896"/>
            <w:vAlign w:val="center"/>
          </w:tcPr>
          <w:p>
            <w:r>
              <w:t>Script placeholder and adjacent context identifying candidate span locations.</w:t>
            </w:r>
          </w:p>
        </w:tc>
      </w:tr>
      <w:tr>
        <w:tc>
          <w:tcPr>
            <w:tcW w:type="dxa" w:w="4896"/>
            <w:vAlign w:val="center"/>
          </w:tcPr>
          <w:p>
            <w:r>
              <w:t>Hint</w:t>
            </w:r>
          </w:p>
        </w:tc>
        <w:tc>
          <w:tcPr>
            <w:tcW w:type="dxa" w:w="4896"/>
            <w:vAlign w:val="center"/>
          </w:tcPr>
          <w:p>
            <w:r>
              <w:t>Case-specific metadata supporting value validation or span selection; cannot authorize invented transcript text.</w:t>
            </w:r>
          </w:p>
        </w:tc>
      </w:tr>
      <w:tr>
        <w:tc>
          <w:tcPr>
            <w:tcW w:type="dxa" w:w="4896"/>
            <w:vAlign w:val="center"/>
          </w:tcPr>
          <w:p>
            <w:r>
              <w:t>DX1 / DX2</w:t>
            </w:r>
          </w:p>
        </w:tc>
        <w:tc>
          <w:tcPr>
            <w:tcW w:type="dxa" w:w="4896"/>
            <w:vAlign w:val="center"/>
          </w:tcPr>
          <w:p>
            <w:r>
              <w:t>Script placeholders identifying agent and customer; not entity values.</w:t>
            </w:r>
          </w:p>
        </w:tc>
      </w:tr>
      <w:tr>
        <w:tc>
          <w:tcPr>
            <w:tcW w:type="dxa" w:w="4896"/>
            <w:vAlign w:val="center"/>
          </w:tcPr>
          <w:p>
            <w:r>
              <w:t>Speech disfluency</w:t>
            </w:r>
          </w:p>
        </w:tc>
        <w:tc>
          <w:tcPr>
            <w:tcW w:type="dxa" w:w="4896"/>
            <w:vAlign w:val="center"/>
          </w:tcPr>
          <w:p>
            <w:r>
              <w:t>False starts, self-corrections, repeated call-outs and fillers in spontaneous speech.</w:t>
            </w:r>
          </w:p>
        </w:tc>
      </w:tr>
      <w:tr>
        <w:tc>
          <w:tcPr>
            <w:tcW w:type="dxa" w:w="4896"/>
            <w:vAlign w:val="center"/>
          </w:tcPr>
          <w:p>
            <w:r>
              <w:t>Boundary error</w:t>
            </w:r>
          </w:p>
        </w:tc>
        <w:tc>
          <w:tcPr>
            <w:tcW w:type="dxa" w:w="4896"/>
            <w:vAlign w:val="center"/>
          </w:tcPr>
          <w:p>
            <w:r>
              <w:t>Extraction includes adjacent non-entity tokens or truncates valid name tokens.</w:t>
            </w:r>
          </w:p>
        </w:tc>
      </w:tr>
      <w:tr>
        <w:tc>
          <w:tcPr>
            <w:tcW w:type="dxa" w:w="4896"/>
            <w:vAlign w:val="center"/>
          </w:tcPr>
          <w:p>
            <w:r>
              <w:t>WER / CER</w:t>
            </w:r>
          </w:p>
        </w:tc>
        <w:tc>
          <w:tcPr>
            <w:tcW w:type="dxa" w:w="4896"/>
            <w:vAlign w:val="center"/>
          </w:tcPr>
          <w:p>
            <w:r>
              <w:t>Word error rate / character error rate for transcription.</w:t>
            </w:r>
          </w:p>
        </w:tc>
      </w:tr>
      <w:tr>
        <w:tc>
          <w:tcPr>
            <w:tcW w:type="dxa" w:w="4896"/>
            <w:vAlign w:val="center"/>
          </w:tcPr>
          <w:p>
            <w:r>
              <w:t>Exact match</w:t>
            </w:r>
          </w:p>
        </w:tc>
        <w:tc>
          <w:tcPr>
            <w:tcW w:type="dxa" w:w="4896"/>
            <w:vAlign w:val="center"/>
          </w:tcPr>
          <w:p>
            <w:r>
              <w:t>Entity output matching labeled truth after only contractually permitted normalization.</w:t>
            </w:r>
          </w:p>
        </w:tc>
      </w:tr>
      <w:tr>
        <w:tc>
          <w:tcPr>
            <w:tcW w:type="dxa" w:w="4896"/>
            <w:vAlign w:val="center"/>
          </w:tcPr>
          <w:p>
            <w:r>
              <w:t>Self-check / validator</w:t>
            </w:r>
          </w:p>
        </w:tc>
        <w:tc>
          <w:tcPr>
            <w:tcW w:type="dxa" w:w="4896"/>
            <w:vAlign w:val="center"/>
          </w:tcPr>
          <w:p>
            <w:r>
              <w:t>Prompt-driven model instruction versus independent, deterministic Python validation.</w:t>
            </w:r>
          </w:p>
        </w:tc>
      </w:tr>
      <w:tr>
        <w:tc>
          <w:tcPr>
            <w:tcW w:type="dxa" w:w="4896"/>
            <w:vAlign w:val="center"/>
          </w:tcPr>
          <w:p>
            <w:r>
              <w:t>UAT / rollback</w:t>
            </w:r>
          </w:p>
        </w:tc>
        <w:tc>
          <w:tcPr>
            <w:tcW w:type="dxa" w:w="4896"/>
            <w:vAlign w:val="center"/>
          </w:tcPr>
          <w:p>
            <w:r>
              <w:t>User acceptance testing / restoration of a previously approved configuration.</w:t>
            </w:r>
          </w:p>
        </w:tc>
      </w:tr>
    </w:tbl>
    <w:p/>
    <w:p>
      <w:pPr>
        <w:pStyle w:val="Heading1"/>
      </w:pPr>
      <w:r>
        <w:t>3. Summary and release notes</w:t>
      </w:r>
    </w:p>
    <w:p>
      <w:r>
        <w:t>The enhancement targets two separate processing stages. S2T V3 improves instructions for recognizing and preserving high-value speech information. NER V2 improves person-name boundary reasoning and output formatting for monetary amounts and premium durations. Their quality must be evaluated independently and end-to-end.</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t>COMPONENT</w:t>
            </w:r>
          </w:p>
        </w:tc>
        <w:tc>
          <w:tcPr>
            <w:tcW w:type="dxa" w:w="2448"/>
            <w:vAlign w:val="center"/>
          </w:tcPr>
          <w:p>
            <w:r>
              <w:t>BEFORE / FAILURE MODE</w:t>
            </w:r>
          </w:p>
        </w:tc>
        <w:tc>
          <w:tcPr>
            <w:tcW w:type="dxa" w:w="2448"/>
            <w:vAlign w:val="center"/>
          </w:tcPr>
          <w:p>
            <w:r>
              <w:t>ENHANCEMENT</w:t>
            </w:r>
          </w:p>
        </w:tc>
        <w:tc>
          <w:tcPr>
            <w:tcW w:type="dxa" w:w="2448"/>
            <w:vAlign w:val="center"/>
          </w:tcPr>
          <w:p>
            <w:r>
              <w:t>STATUS</w:t>
            </w:r>
          </w:p>
        </w:tc>
      </w:tr>
      <w:tr>
        <w:tc>
          <w:tcPr>
            <w:tcW w:type="dxa" w:w="2448"/>
            <w:vAlign w:val="center"/>
          </w:tcPr>
          <w:p>
            <w:r>
              <w:t>S2T recognition</w:t>
            </w:r>
          </w:p>
        </w:tc>
        <w:tc>
          <w:tcPr>
            <w:tcW w:type="dxa" w:w="2448"/>
            <w:vAlign w:val="center"/>
          </w:tcPr>
          <w:p>
            <w:r>
              <w:t>Incorrectly heard monetary magnitude, numerical code, name or proposal reference.</w:t>
            </w:r>
          </w:p>
        </w:tc>
        <w:tc>
          <w:tcPr>
            <w:tcW w:type="dxa" w:w="2448"/>
            <w:vAlign w:val="center"/>
          </w:tcPr>
          <w:p>
            <w:r>
              <w:t>Audio-grounded precision; prohibit inferred numerical components.</w:t>
            </w:r>
          </w:p>
        </w:tc>
        <w:tc>
          <w:tcPr>
            <w:tcW w:type="dxa" w:w="2448"/>
            <w:vAlign w:val="center"/>
          </w:tcPr>
          <w:p>
            <w:r>
              <w:t>Designed; quantitative gain TBD</w:t>
            </w:r>
          </w:p>
        </w:tc>
      </w:tr>
      <w:tr>
        <w:tc>
          <w:tcPr>
            <w:tcW w:type="dxa" w:w="2448"/>
            <w:vAlign w:val="center"/>
          </w:tcPr>
          <w:p>
            <w:r>
              <w:t>S2T normalization</w:t>
            </w:r>
          </w:p>
        </w:tc>
        <w:tc>
          <w:tcPr>
            <w:tcW w:type="dxa" w:w="2448"/>
            <w:vAlign w:val="center"/>
          </w:tcPr>
          <w:p>
            <w:r>
              <w:t>Adds an unspoken magnitude, e.g. “400” interpreted as “400 thousand”.</w:t>
            </w:r>
          </w:p>
        </w:tc>
        <w:tc>
          <w:tcPr>
            <w:tcW w:type="dxa" w:w="2448"/>
            <w:vAlign w:val="center"/>
          </w:tcPr>
          <w:p>
            <w:r>
              <w:t>Preserve spoken magnitude and units.</w:t>
            </w:r>
          </w:p>
        </w:tc>
        <w:tc>
          <w:tcPr>
            <w:tcW w:type="dxa" w:w="2448"/>
            <w:vAlign w:val="center"/>
          </w:tcPr>
          <w:p>
            <w:r>
              <w:t>Designed; quantitative gain TBD</w:t>
            </w:r>
          </w:p>
        </w:tc>
      </w:tr>
      <w:tr>
        <w:tc>
          <w:tcPr>
            <w:tcW w:type="dxa" w:w="2448"/>
            <w:vAlign w:val="center"/>
          </w:tcPr>
          <w:p>
            <w:r>
              <w:t>NER name boundary</w:t>
            </w:r>
          </w:p>
        </w:tc>
        <w:tc>
          <w:tcPr>
            <w:tcW w:type="dxa" w:w="2448"/>
            <w:vAlign w:val="center"/>
          </w:tcPr>
          <w:p>
            <w:r>
              <w:t>Extra repeated name token before complete person name.</w:t>
            </w:r>
          </w:p>
        </w:tc>
        <w:tc>
          <w:tcPr>
            <w:tcW w:type="dxa" w:w="2448"/>
            <w:vAlign w:val="center"/>
          </w:tcPr>
          <w:p>
            <w:r>
              <w:t>Use trusted exact-match hint to select supported full-name span.</w:t>
            </w:r>
          </w:p>
        </w:tc>
        <w:tc>
          <w:tcPr>
            <w:tcW w:type="dxa" w:w="2448"/>
            <w:vAlign w:val="center"/>
          </w:tcPr>
          <w:p>
            <w:r>
              <w:t>Prompt inserted; accuracy TBD</w:t>
            </w:r>
          </w:p>
        </w:tc>
      </w:tr>
      <w:tr>
        <w:tc>
          <w:tcPr>
            <w:tcW w:type="dxa" w:w="2448"/>
            <w:vAlign w:val="center"/>
          </w:tcPr>
          <w:p>
            <w:r>
              <w:t>NER amount</w:t>
            </w:r>
          </w:p>
        </w:tc>
        <w:tc>
          <w:tcPr>
            <w:tcW w:type="dxa" w:w="2448"/>
            <w:vAlign w:val="center"/>
          </w:tcPr>
          <w:p>
            <w:r>
              <w:t>Outputs text such as “280 million”.</w:t>
            </w:r>
          </w:p>
        </w:tc>
        <w:tc>
          <w:tcPr>
            <w:tcW w:type="dxa" w:w="2448"/>
            <w:vAlign w:val="center"/>
          </w:tcPr>
          <w:p>
            <w:r>
              <w:t>Return integer-VND digit string.</w:t>
            </w:r>
          </w:p>
        </w:tc>
        <w:tc>
          <w:tcPr>
            <w:tcW w:type="dxa" w:w="2448"/>
            <w:vAlign w:val="center"/>
          </w:tcPr>
          <w:p>
            <w:r>
              <w:t>Designed; case testing TBD</w:t>
            </w:r>
          </w:p>
        </w:tc>
      </w:tr>
      <w:tr>
        <w:tc>
          <w:tcPr>
            <w:tcW w:type="dxa" w:w="2448"/>
            <w:vAlign w:val="center"/>
          </w:tcPr>
          <w:p>
            <w:r>
              <w:t>NER term</w:t>
            </w:r>
          </w:p>
        </w:tc>
        <w:tc>
          <w:tcPr>
            <w:tcW w:type="dxa" w:w="2448"/>
            <w:vAlign w:val="center"/>
          </w:tcPr>
          <w:p>
            <w:r>
              <w:t>Outputs “20 years”.</w:t>
            </w:r>
          </w:p>
        </w:tc>
        <w:tc>
          <w:tcPr>
            <w:tcW w:type="dxa" w:w="2448"/>
            <w:vAlign w:val="center"/>
          </w:tcPr>
          <w:p>
            <w:r>
              <w:t>Return numeric duration string only.</w:t>
            </w:r>
          </w:p>
        </w:tc>
        <w:tc>
          <w:tcPr>
            <w:tcW w:type="dxa" w:w="2448"/>
            <w:vAlign w:val="center"/>
          </w:tcPr>
          <w:p>
            <w:r>
              <w:t>Designed; case testing TBD</w:t>
            </w:r>
          </w:p>
        </w:tc>
      </w:tr>
      <w:tr>
        <w:tc>
          <w:tcPr>
            <w:tcW w:type="dxa" w:w="2448"/>
            <w:vAlign w:val="center"/>
          </w:tcPr>
          <w:p>
            <w:r>
              <w:t>Schema compatibility</w:t>
            </w:r>
          </w:p>
        </w:tc>
        <w:tc>
          <w:tcPr>
            <w:tcW w:type="dxa" w:w="2448"/>
            <w:vAlign w:val="center"/>
          </w:tcPr>
          <w:p>
            <w:r>
              <w:t>Unexpected entity keys / schema break.</w:t>
            </w:r>
          </w:p>
        </w:tc>
        <w:tc>
          <w:tcPr>
            <w:tcW w:type="dxa" w:w="2448"/>
            <w:vAlign w:val="center"/>
          </w:tcPr>
          <w:p>
            <w:r>
              <w:t>Keep exact entity key set and existing JSON shape.</w:t>
            </w:r>
          </w:p>
        </w:tc>
        <w:tc>
          <w:tcPr>
            <w:tcW w:type="dxa" w:w="2448"/>
            <w:vAlign w:val="center"/>
          </w:tcPr>
          <w:p>
            <w:r>
              <w:t>Requirement; validate in UAT</w:t>
            </w:r>
          </w:p>
        </w:tc>
      </w:tr>
    </w:tbl>
    <w:p/>
    <w:p>
      <w:r>
        <w:t>Release classification: proposed enhancement. Successful runtime operation, deployment readiness, and business acceptance remain pending measured evidence.</w:t>
      </w:r>
    </w:p>
    <w:p>
      <w:pPr>
        <w:pStyle w:val="Heading1"/>
      </w:pPr>
      <w:r>
        <w:t>4. Objectives and impact</w:t>
      </w:r>
    </w:p>
    <w:p>
      <w:pPr>
        <w:pStyle w:val="Heading2"/>
      </w:pPr>
      <w:r>
        <w:t>4.1 Technical objectives</w:t>
      </w:r>
    </w:p>
    <w:p>
      <w:pPr>
        <w:pStyle w:val="ListBullet"/>
      </w:pPr>
      <w:r>
        <w:t>Preserve source fidelity: do not insert unspoken numeric values or currency units.</w:t>
      </w:r>
    </w:p>
    <w:p>
      <w:pPr>
        <w:pStyle w:val="ListBullet"/>
      </w:pPr>
      <w:r>
        <w:t>Reduce entity extraction overreach while avoiding truncation of legitimate multi-token Vietnamese names.</w:t>
      </w:r>
    </w:p>
    <w:p>
      <w:pPr>
        <w:pStyle w:val="ListBullet"/>
      </w:pPr>
      <w:r>
        <w:t>Standardize monetary and term entity values as digit-only strings.</w:t>
      </w:r>
    </w:p>
    <w:p>
      <w:pPr>
        <w:pStyle w:val="ListBullet"/>
      </w:pPr>
      <w:r>
        <w:t>Maintain get_prompt() signatures, dictionary mappings, template identifiers and output structures.</w:t>
      </w:r>
    </w:p>
    <w:p>
      <w:pPr>
        <w:pStyle w:val="ListBullet"/>
      </w:pPr>
      <w:r>
        <w:t>Provide observable, reproducible test evidence and regression comparisons.</w:t>
      </w:r>
    </w:p>
    <w:p>
      <w:pPr>
        <w:pStyle w:val="Heading2"/>
      </w:pPr>
      <w:r>
        <w:t>4.2 Expected business outcomes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OBJECTIVE</w:t>
            </w:r>
          </w:p>
        </w:tc>
        <w:tc>
          <w:tcPr>
            <w:tcW w:type="dxa" w:w="3264"/>
            <w:vAlign w:val="center"/>
          </w:tcPr>
          <w:p>
            <w:r>
              <w:t>EXPECTED BENEFIT</w:t>
            </w:r>
          </w:p>
        </w:tc>
        <w:tc>
          <w:tcPr>
            <w:tcW w:type="dxa" w:w="3264"/>
            <w:vAlign w:val="center"/>
          </w:tcPr>
          <w:p>
            <w:r>
              <w:t>EVIDENCE REQUIRED</w:t>
            </w:r>
          </w:p>
        </w:tc>
      </w:tr>
      <w:tr>
        <w:tc>
          <w:tcPr>
            <w:tcW w:type="dxa" w:w="3264"/>
            <w:vAlign w:val="center"/>
          </w:tcPr>
          <w:p>
            <w:r>
              <w:t>Call quality evaluation</w:t>
            </w:r>
          </w:p>
        </w:tc>
        <w:tc>
          <w:tcPr>
            <w:tcW w:type="dxa" w:w="3264"/>
            <w:vAlign w:val="center"/>
          </w:tcPr>
          <w:p>
            <w:r>
              <w:t>Fewer incorrect findings caused by text/entity extraction defects.</w:t>
            </w:r>
          </w:p>
        </w:tc>
        <w:tc>
          <w:tcPr>
            <w:tcW w:type="dxa" w:w="3264"/>
            <w:vAlign w:val="center"/>
          </w:tcPr>
          <w:p>
            <w:r>
              <w:t>QA agreement on sampled calls</w:t>
            </w:r>
          </w:p>
        </w:tc>
      </w:tr>
      <w:tr>
        <w:tc>
          <w:tcPr>
            <w:tcW w:type="dxa" w:w="3264"/>
            <w:vAlign w:val="center"/>
          </w:tcPr>
          <w:p>
            <w:r>
              <w:t>Critical data reliability</w:t>
            </w:r>
          </w:p>
        </w:tc>
        <w:tc>
          <w:tcPr>
            <w:tcW w:type="dxa" w:w="3264"/>
            <w:vAlign w:val="center"/>
          </w:tcPr>
          <w:p>
            <w:r>
              <w:t>More accurate names, identifiers, and monetary details.</w:t>
            </w:r>
          </w:p>
        </w:tc>
        <w:tc>
          <w:tcPr>
            <w:tcW w:type="dxa" w:w="3264"/>
            <w:vAlign w:val="center"/>
          </w:tcPr>
          <w:p>
            <w:r>
              <w:t>Field-level accuracy</w:t>
            </w:r>
          </w:p>
        </w:tc>
      </w:tr>
      <w:tr>
        <w:tc>
          <w:tcPr>
            <w:tcW w:type="dxa" w:w="3264"/>
            <w:vAlign w:val="center"/>
          </w:tcPr>
          <w:p>
            <w:r>
              <w:t>Operational efficiency</w:t>
            </w:r>
          </w:p>
        </w:tc>
        <w:tc>
          <w:tcPr>
            <w:tcW w:type="dxa" w:w="3264"/>
            <w:vAlign w:val="center"/>
          </w:tcPr>
          <w:p>
            <w:r>
              <w:t>Less manual correction and investigation.</w:t>
            </w:r>
          </w:p>
        </w:tc>
        <w:tc>
          <w:tcPr>
            <w:tcW w:type="dxa" w:w="3264"/>
            <w:vAlign w:val="center"/>
          </w:tcPr>
          <w:p>
            <w:r>
              <w:t>Review effort baseline vs after</w:t>
            </w:r>
          </w:p>
        </w:tc>
      </w:tr>
      <w:tr>
        <w:tc>
          <w:tcPr>
            <w:tcW w:type="dxa" w:w="3264"/>
            <w:vAlign w:val="center"/>
          </w:tcPr>
          <w:p>
            <w:r>
              <w:t>Traceability</w:t>
            </w:r>
          </w:p>
        </w:tc>
        <w:tc>
          <w:tcPr>
            <w:tcW w:type="dxa" w:w="3264"/>
            <w:vAlign w:val="center"/>
          </w:tcPr>
          <w:p>
            <w:r>
              <w:t>Cleaner separation of recognition vs extraction failures.</w:t>
            </w:r>
          </w:p>
        </w:tc>
        <w:tc>
          <w:tcPr>
            <w:tcW w:type="dxa" w:w="3264"/>
            <w:vAlign w:val="center"/>
          </w:tcPr>
          <w:p>
            <w:r>
              <w:t>Debug logs and RCA samples</w:t>
            </w:r>
          </w:p>
        </w:tc>
      </w:tr>
    </w:tbl>
    <w:p/>
    <w:p>
      <w:pPr>
        <w:pStyle w:val="Heading2"/>
      </w:pPr>
      <w:r>
        <w:t>4.3 API and model impact</w:t>
      </w:r>
    </w:p>
    <w:p>
      <w:r>
        <w:t>No API contract change or model swap is planned within this prompt-only scope. Actual endpoint, inference provider, model ID/version, decoding settings and runtime routing remain TBD; these must be checked from the service caller before release.</w:t>
      </w:r>
    </w:p>
    <w:p>
      <w:pPr>
        <w:pStyle w:val="Heading1"/>
      </w:pPr>
      <w:r>
        <w:t>5. System and data flow</w:t>
      </w:r>
    </w:p>
    <w:p>
      <w:pPr>
        <w:pStyle w:val="Heading2"/>
      </w:pPr>
      <w:r>
        <w:t>5.1 Logical pipeline</w:t>
      </w:r>
    </w:p>
    <w:p>
      <w:pPr>
        <w:pStyle w:val="CodeBlock"/>
      </w:pPr>
      <w:r>
        <w:t>[Recorded / streamed call audio]</w:t>
      </w:r>
    </w:p>
    <w:p>
      <w:pPr>
        <w:pStyle w:val="CodeBlock"/>
      </w:pPr>
      <w:r>
        <w:t xml:space="preserve">             |</w:t>
      </w:r>
    </w:p>
    <w:p>
      <w:pPr>
        <w:pStyle w:val="CodeBlock"/>
      </w:pPr>
      <w:r>
        <w:t xml:space="preserve">             v</w:t>
      </w:r>
    </w:p>
    <w:p>
      <w:pPr>
        <w:pStyle w:val="CodeBlock"/>
      </w:pPr>
      <w:r>
        <w:t xml:space="preserve">      [S2T inference]</w:t>
      </w:r>
    </w:p>
    <w:p>
      <w:pPr>
        <w:pStyle w:val="CodeBlock"/>
      </w:pPr>
      <w:r>
        <w:t xml:space="preserve">       |  Step 1: raw recognition</w:t>
      </w:r>
    </w:p>
    <w:p>
      <w:pPr>
        <w:pStyle w:val="CodeBlock"/>
      </w:pPr>
      <w:r>
        <w:t xml:space="preserve">       |  Step 2: normalization + guardrails</w:t>
      </w:r>
    </w:p>
    <w:p>
      <w:pPr>
        <w:pStyle w:val="CodeBlock"/>
      </w:pPr>
      <w:r>
        <w:t xml:space="preserve">       v</w:t>
      </w:r>
    </w:p>
    <w:p>
      <w:pPr>
        <w:pStyle w:val="CodeBlock"/>
      </w:pPr>
      <w:r>
        <w:t xml:space="preserve">       [Transcript]</w:t>
      </w:r>
    </w:p>
    <w:p>
      <w:pPr>
        <w:pStyle w:val="CodeBlock"/>
      </w:pPr>
      <w:r>
        <w:t xml:space="preserve">             |</w:t>
      </w:r>
    </w:p>
    <w:p>
      <w:pPr>
        <w:pStyle w:val="CodeBlock"/>
      </w:pPr>
      <w:r>
        <w:t xml:space="preserve">             v</w:t>
      </w:r>
    </w:p>
    <w:p>
      <w:pPr>
        <w:pStyle w:val="CodeBlock"/>
      </w:pPr>
      <w:r>
        <w:t xml:space="preserve"> [NER input + metadata]</w:t>
      </w:r>
    </w:p>
    <w:p>
      <w:pPr>
        <w:pStyle w:val="CodeBlock"/>
      </w:pPr>
      <w:r>
        <w:t xml:space="preserve">   reference / pattern / hints / entity list</w:t>
      </w:r>
    </w:p>
    <w:p>
      <w:pPr>
        <w:pStyle w:val="CodeBlock"/>
      </w:pPr>
      <w:r>
        <w:t xml:space="preserve">             |</w:t>
      </w:r>
    </w:p>
    <w:p>
      <w:pPr>
        <w:pStyle w:val="CodeBlock"/>
      </w:pPr>
      <w:r>
        <w:t xml:space="preserve">             v</w:t>
      </w:r>
    </w:p>
    <w:p>
      <w:pPr>
        <w:pStyle w:val="CodeBlock"/>
      </w:pPr>
      <w:r>
        <w:t xml:space="preserve"> [NER inference]</w:t>
      </w:r>
    </w:p>
    <w:p>
      <w:pPr>
        <w:pStyle w:val="CodeBlock"/>
      </w:pPr>
      <w:r>
        <w:t xml:space="preserve">   Step 1: normalization</w:t>
      </w:r>
    </w:p>
    <w:p>
      <w:pPr>
        <w:pStyle w:val="CodeBlock"/>
      </w:pPr>
      <w:r>
        <w:t xml:space="preserve">   Step 2: extraction + self-check</w:t>
      </w:r>
    </w:p>
    <w:p>
      <w:pPr>
        <w:pStyle w:val="CodeBlock"/>
      </w:pPr>
      <w:r>
        <w:t xml:space="preserve">             |</w:t>
      </w:r>
    </w:p>
    <w:p>
      <w:pPr>
        <w:pStyle w:val="CodeBlock"/>
      </w:pPr>
      <w:r>
        <w:t xml:space="preserve">             v</w:t>
      </w:r>
    </w:p>
    <w:p>
      <w:pPr>
        <w:pStyle w:val="CodeBlock"/>
      </w:pPr>
      <w:r>
        <w:t xml:space="preserve"> [NER JSON output]</w:t>
      </w:r>
    </w:p>
    <w:p>
      <w:pPr>
        <w:pStyle w:val="CodeBlock"/>
      </w:pPr>
      <w:r>
        <w:t xml:space="preserve">             |</w:t>
      </w:r>
    </w:p>
    <w:p>
      <w:pPr>
        <w:pStyle w:val="CodeBlock"/>
      </w:pPr>
      <w:r>
        <w:t xml:space="preserve">             v</w:t>
      </w:r>
    </w:p>
    <w:p>
      <w:pPr>
        <w:pStyle w:val="CodeBlock"/>
      </w:pPr>
      <w:r>
        <w:t xml:space="preserve"> [Downstream QA / analytics / validation]</w:t>
      </w:r>
    </w:p>
    <w:p>
      <w:r>
        <w:t>This diagram is logical, not a verified service topology or runtime sequencing graph. It does not imply that independent Python validation is already active.</w:t>
      </w:r>
    </w:p>
    <w:p>
      <w:pPr>
        <w:pStyle w:val="Heading2"/>
      </w:pPr>
      <w:r>
        <w:t>5.2 Input and output contract invariants</w:t>
      </w:r>
    </w:p>
    <w:p>
      <w:pPr>
        <w:pStyle w:val="ListBullet"/>
      </w:pPr>
      <w:r>
        <w:t>Only the input transcript can supply extracted factual values; Reference and hints may disambiguate but must not invent absent information.</w:t>
      </w:r>
    </w:p>
    <w:p>
      <w:pPr>
        <w:pStyle w:val="ListBullet"/>
      </w:pPr>
      <w:r>
        <w:t>The dictionary determines required NER entity keys by script_version and question_no.</w:t>
      </w:r>
    </w:p>
    <w:p>
      <w:pPr>
        <w:pStyle w:val="ListBullet"/>
      </w:pPr>
      <w:r>
        <w:t>The JSON objects and public prompt functions used by current callers must remain backward compatible.</w:t>
      </w:r>
    </w:p>
    <w:p>
      <w:pPr>
        <w:pStyle w:val="ListBullet"/>
      </w:pPr>
      <w:r>
        <w:t>Sensitive call data should not be copied into external logs or test artifacts without authorization.</w:t>
      </w:r>
    </w:p>
    <w:p>
      <w:pPr>
        <w:pStyle w:val="Heading1"/>
      </w:pPr>
      <w:r>
        <w:t>6. Detailed change specification</w:t>
      </w:r>
    </w:p>
    <w:p>
      <w:pPr>
        <w:pStyle w:val="Heading2"/>
      </w:pPr>
      <w:r>
        <w:t>6.1 Compatible wrapper pattern</w:t>
      </w:r>
    </w:p>
    <w:p>
      <w:r>
        <w:t>The enhancement uses a wrapper module retaining the original import path while delegating to an unchanged copy of the existing prompt-generation implementation, then injecting new prompt instructions.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S2T FILE</w:t>
            </w:r>
          </w:p>
        </w:tc>
        <w:tc>
          <w:tcPr>
            <w:tcW w:type="dxa" w:w="4896"/>
            <w:vAlign w:val="center"/>
          </w:tcPr>
          <w:p>
            <w:r>
              <w:t>PURPOSE</w:t>
            </w:r>
          </w:p>
        </w:tc>
      </w:tr>
      <w:tr>
        <w:tc>
          <w:tcPr>
            <w:tcW w:type="dxa" w:w="4896"/>
            <w:vAlign w:val="center"/>
          </w:tcPr>
          <w:p>
            <w:r>
              <w:t>s2t_prompts.py</w:t>
            </w:r>
          </w:p>
        </w:tc>
        <w:tc>
          <w:tcPr>
            <w:tcW w:type="dxa" w:w="4896"/>
            <w:vAlign w:val="center"/>
          </w:tcPr>
          <w:p>
            <w:r>
              <w:t>Compatibility wrapper, exposes original prompt interface.</w:t>
            </w:r>
          </w:p>
        </w:tc>
      </w:tr>
      <w:tr>
        <w:tc>
          <w:tcPr>
            <w:tcW w:type="dxa" w:w="4896"/>
            <w:vAlign w:val="center"/>
          </w:tcPr>
          <w:p>
            <w:r>
              <w:t>s2t_prompts_original.py</w:t>
            </w:r>
          </w:p>
        </w:tc>
        <w:tc>
          <w:tcPr>
            <w:tcW w:type="dxa" w:w="4896"/>
            <w:vAlign w:val="center"/>
          </w:tcPr>
          <w:p>
            <w:r>
              <w:t>Preserved original S2T implementation and dictionary.</w:t>
            </w:r>
          </w:p>
        </w:tc>
      </w:tr>
      <w:tr>
        <w:tc>
          <w:tcPr>
            <w:tcW w:type="dxa" w:w="4896"/>
            <w:vAlign w:val="center"/>
          </w:tcPr>
          <w:p>
            <w:r>
              <w:t>s2t_v3_guards.py</w:t>
            </w:r>
          </w:p>
        </w:tc>
        <w:tc>
          <w:tcPr>
            <w:tcW w:type="dxa" w:w="4896"/>
            <w:vAlign w:val="center"/>
          </w:tcPr>
          <w:p>
            <w:r>
              <w:t>Supplementary Step 1 / Step 2 / self-check rules.</w:t>
            </w:r>
          </w:p>
        </w:tc>
      </w:tr>
    </w:tbl>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NER FILE</w:t>
            </w:r>
          </w:p>
        </w:tc>
        <w:tc>
          <w:tcPr>
            <w:tcW w:type="dxa" w:w="4896"/>
            <w:vAlign w:val="center"/>
          </w:tcPr>
          <w:p>
            <w:r>
              <w:t>PURPOSE</w:t>
            </w:r>
          </w:p>
        </w:tc>
      </w:tr>
      <w:tr>
        <w:tc>
          <w:tcPr>
            <w:tcW w:type="dxa" w:w="4896"/>
            <w:vAlign w:val="center"/>
          </w:tcPr>
          <w:p>
            <w:r>
              <w:t>ner_prompts.py</w:t>
            </w:r>
          </w:p>
        </w:tc>
        <w:tc>
          <w:tcPr>
            <w:tcW w:type="dxa" w:w="4896"/>
            <w:vAlign w:val="center"/>
          </w:tcPr>
          <w:p>
            <w:r>
              <w:t>Compatibility wrapper; delegates get_prompt() then enhances rendered prompt.</w:t>
            </w:r>
          </w:p>
        </w:tc>
      </w:tr>
      <w:tr>
        <w:tc>
          <w:tcPr>
            <w:tcW w:type="dxa" w:w="4896"/>
            <w:vAlign w:val="center"/>
          </w:tcPr>
          <w:p>
            <w:r>
              <w:t>ner_prompts_original.py</w:t>
            </w:r>
          </w:p>
        </w:tc>
        <w:tc>
          <w:tcPr>
            <w:tcW w:type="dxa" w:w="4896"/>
            <w:vAlign w:val="center"/>
          </w:tcPr>
          <w:p>
            <w:r>
              <w:t>Preserved original NER implementation and dictionary.</w:t>
            </w:r>
          </w:p>
        </w:tc>
      </w:tr>
      <w:tr>
        <w:tc>
          <w:tcPr>
            <w:tcW w:type="dxa" w:w="4896"/>
            <w:vAlign w:val="center"/>
          </w:tcPr>
          <w:p>
            <w:r>
              <w:t>ner_v2_guards.py</w:t>
            </w:r>
          </w:p>
        </w:tc>
        <w:tc>
          <w:tcPr>
            <w:tcW w:type="dxa" w:w="4896"/>
            <w:vAlign w:val="center"/>
          </w:tcPr>
          <w:p>
            <w:r>
              <w:t>Supplementary name boundary, amount, term and self-check rules.</w:t>
            </w:r>
          </w:p>
        </w:tc>
      </w:tr>
    </w:tbl>
    <w:p/>
    <w:p>
      <w:r>
        <w:t>Observed NER debugger path: the wrapper imports the original module, obtains text using _original.get_prompt(...), verifies that the expected normalization marker exists, then returns enhance_prompt(text). The debugger showed prompt augmentation changed the generated text and that new entity extraction and self-check blocks were present.</w:t>
      </w:r>
    </w:p>
    <w:p>
      <w:pPr>
        <w:pStyle w:val="Heading2"/>
      </w:pPr>
      <w:r>
        <w:t>6.2 Compatibility controls</w:t>
      </w:r>
    </w:p>
    <w:p>
      <w:pPr>
        <w:pStyle w:val="ListBullet"/>
      </w:pPr>
      <w:r>
        <w:t>Preserve exact names and case of all entity keys; do not rename POLICYOWNER, INSUREDNAME, AGENTNAME, FACEAMOUNT, TOTALPREMIUM, SUNDRYAMOUNT, PREMIUMTERM, etc.</w:t>
      </w:r>
    </w:p>
    <w:p>
      <w:pPr>
        <w:pStyle w:val="ListBullet"/>
      </w:pPr>
      <w:r>
        <w:t>Preserve script-version/question dictionary content and I3/C2 mapping unless there is a separately reviewed business change.</w:t>
      </w:r>
    </w:p>
    <w:p>
      <w:pPr>
        <w:pStyle w:val="ListBullet"/>
      </w:pPr>
      <w:r>
        <w:t>Preserve S2T fields step1_raw and transcript; NER fields normalized_transcript and entities.</w:t>
      </w:r>
    </w:p>
    <w:p>
      <w:pPr>
        <w:pStyle w:val="ListBullet"/>
      </w:pPr>
      <w:r>
        <w:t>Preserve Reference masking behavior, including the original numeric masking strategy.</w:t>
      </w:r>
    </w:p>
    <w:p>
      <w:pPr>
        <w:pStyle w:val="ListBullet"/>
      </w:pPr>
      <w:r>
        <w:t>Preserve public function get_prompt() and supported prompt template identifiers.</w:t>
      </w:r>
    </w:p>
    <w:p>
      <w:pPr>
        <w:pStyle w:val="Heading2"/>
      </w:pPr>
      <w:r>
        <w:t>6.3 Behavior precedence</w:t>
      </w:r>
    </w:p>
    <w:p>
      <w:r>
        <w:t>Proposed priority: (1) actual input evidence and immutable output contract, (2) specific entity-format rules, (3) trusted exact-match hint used only for disambiguation, (4) context anchor guidance, (5) fallback for genuinely ambiguous spans. A broad “take all tokens between anchors” rule must not overrule a reliable narrower name span when context establishes a false start.</w:t>
      </w:r>
    </w:p>
    <w:p>
      <w:r>
        <w:t>A prompt instruction alone is probabilistic. A deterministic post-inference validation layer is recommended, but it has not been observed implemented and requires review of extractor.py or the service response handler.</w:t>
      </w:r>
    </w:p>
    <w:p>
      <w:pPr>
        <w:pStyle w:val="Heading1"/>
      </w:pPr>
      <w:r>
        <w:t>7. S2T prompt specification</w:t>
      </w:r>
    </w:p>
    <w:p>
      <w:pPr>
        <w:pStyle w:val="Heading2"/>
      </w:pPr>
      <w:r>
        <w:t>7.1 Prompt templates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TEMPLATE / OUTPUT</w:t>
            </w:r>
          </w:p>
        </w:tc>
        <w:tc>
          <w:tcPr>
            <w:tcW w:type="dxa" w:w="4896"/>
            <w:vAlign w:val="center"/>
          </w:tcPr>
          <w:p>
            <w:r>
              <w:t>REQUIREMENT</w:t>
            </w:r>
          </w:p>
        </w:tc>
      </w:tr>
      <w:tr>
        <w:tc>
          <w:tcPr>
            <w:tcW w:type="dxa" w:w="4896"/>
            <w:vAlign w:val="center"/>
          </w:tcPr>
          <w:p>
            <w:r>
              <w:t>TRANSCRIPTION_WITH_NORMALIZATION</w:t>
            </w:r>
          </w:p>
        </w:tc>
        <w:tc>
          <w:tcPr>
            <w:tcW w:type="dxa" w:w="4896"/>
            <w:vAlign w:val="center"/>
          </w:tcPr>
          <w:p>
            <w:r>
              <w:t>Two-stage recognition and normalization with guardrails.</w:t>
            </w:r>
          </w:p>
        </w:tc>
      </w:tr>
      <w:tr>
        <w:tc>
          <w:tcPr>
            <w:tcW w:type="dxa" w:w="4896"/>
            <w:vAlign w:val="center"/>
          </w:tcPr>
          <w:p>
            <w:r>
              <w:t>BASIC_TRANSCRIPTION</w:t>
            </w:r>
          </w:p>
        </w:tc>
        <w:tc>
          <w:tcPr>
            <w:tcW w:type="dxa" w:w="4896"/>
            <w:vAlign w:val="center"/>
          </w:tcPr>
          <w:p>
            <w:r>
              <w:t>Retain existing caller-compatible behavior.</w:t>
            </w:r>
          </w:p>
        </w:tc>
      </w:tr>
      <w:tr>
        <w:tc>
          <w:tcPr>
            <w:tcW w:type="dxa" w:w="4896"/>
            <w:vAlign w:val="center"/>
          </w:tcPr>
          <w:p>
            <w:r>
              <w:t>step1_raw</w:t>
            </w:r>
          </w:p>
        </w:tc>
        <w:tc>
          <w:tcPr>
            <w:tcW w:type="dxa" w:w="4896"/>
            <w:vAlign w:val="center"/>
          </w:tcPr>
          <w:p>
            <w:r>
              <w:t>Raw recognized speech output key preserved.</w:t>
            </w:r>
          </w:p>
        </w:tc>
      </w:tr>
      <w:tr>
        <w:tc>
          <w:tcPr>
            <w:tcW w:type="dxa" w:w="4896"/>
            <w:vAlign w:val="center"/>
          </w:tcPr>
          <w:p>
            <w:r>
              <w:t>transcript</w:t>
            </w:r>
          </w:p>
        </w:tc>
        <w:tc>
          <w:tcPr>
            <w:tcW w:type="dxa" w:w="4896"/>
            <w:vAlign w:val="center"/>
          </w:tcPr>
          <w:p>
            <w:r>
              <w:t>Final normalized transcript output key preserved.</w:t>
            </w:r>
          </w:p>
        </w:tc>
      </w:tr>
    </w:tbl>
    <w:p/>
    <w:p>
      <w:pPr>
        <w:pStyle w:val="Heading2"/>
      </w:pPr>
      <w:r>
        <w:t>7.2 Step 1: audio-grounded recognition</w:t>
      </w:r>
    </w:p>
    <w:p>
      <w:pPr>
        <w:pStyle w:val="ListBullet"/>
      </w:pPr>
      <w:r>
        <w:t>Recognize numeric place values independently (hundreds, tens, ones, thousands, millions, billions).</w:t>
      </w:r>
    </w:p>
    <w:p>
      <w:pPr>
        <w:pStyle w:val="ListBullet"/>
      </w:pPr>
      <w:r>
        <w:t>Recognize agent IDs, phone numbers, proposal numbers and person names from the actual speech signal.</w:t>
      </w:r>
    </w:p>
    <w:p>
      <w:pPr>
        <w:pStyle w:val="ListBullet"/>
      </w:pPr>
      <w:r>
        <w:t>Do not silently fill missing audio with expected domain data or masked Reference values.</w:t>
      </w:r>
    </w:p>
    <w:p>
      <w:pPr>
        <w:pStyle w:val="ListBullet"/>
      </w:pPr>
      <w:r>
        <w:t>Avoid adding omitted words or converting utterances into more “plausible” insurance phrases.</w:t>
      </w:r>
    </w:p>
    <w:p>
      <w:pPr>
        <w:pStyle w:val="Heading2"/>
      </w:pPr>
      <w:r>
        <w:t>7.3 Step 2: conservative normalization</w:t>
      </w:r>
    </w:p>
    <w:p>
      <w:pPr>
        <w:pStyle w:val="ListBullet"/>
      </w:pPr>
      <w:r>
        <w:t>Keep the same amount and spoken unit; formatting must not imply an extra magnitude.</w:t>
      </w:r>
    </w:p>
    <w:p>
      <w:pPr>
        <w:pStyle w:val="ListBullet"/>
      </w:pPr>
      <w:r>
        <w:t>Retain differences between similarly sounding amounts rather than coercing to expected policy amounts.</w:t>
      </w:r>
    </w:p>
    <w:p>
      <w:pPr>
        <w:pStyle w:val="ListBullet"/>
      </w:pPr>
      <w:r>
        <w:t>Maintain consistent names and codes when clearly supported by audio and Reference.</w:t>
      </w:r>
    </w:p>
    <w:p>
      <w:pPr>
        <w:pStyle w:val="ListBullet"/>
      </w:pPr>
      <w:r>
        <w:t>Do not treat normalization as a mechanism to fix content using guessed business values.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AUDIO / TRUTH</w:t>
            </w:r>
          </w:p>
        </w:tc>
        <w:tc>
          <w:tcPr>
            <w:tcW w:type="dxa" w:w="3264"/>
            <w:vAlign w:val="center"/>
          </w:tcPr>
          <w:p>
            <w:r>
              <w:t>ERROR TO DETECT</w:t>
            </w:r>
          </w:p>
        </w:tc>
        <w:tc>
          <w:tcPr>
            <w:tcW w:type="dxa" w:w="3264"/>
            <w:vAlign w:val="center"/>
          </w:tcPr>
          <w:p>
            <w:r>
              <w:t>DESIRED BEHAVIOR</w:t>
            </w:r>
          </w:p>
        </w:tc>
      </w:tr>
      <w:tr>
        <w:tc>
          <w:tcPr>
            <w:tcW w:type="dxa" w:w="3264"/>
            <w:vAlign w:val="center"/>
          </w:tcPr>
          <w:p>
            <w:r>
              <w:t>750 million VND</w:t>
            </w:r>
          </w:p>
        </w:tc>
        <w:tc>
          <w:tcPr>
            <w:tcW w:type="dxa" w:w="3264"/>
            <w:vAlign w:val="center"/>
          </w:tcPr>
          <w:p>
            <w:r>
              <w:t>350 million VND</w:t>
            </w:r>
          </w:p>
        </w:tc>
        <w:tc>
          <w:tcPr>
            <w:tcW w:type="dxa" w:w="3264"/>
            <w:vAlign w:val="center"/>
          </w:tcPr>
          <w:p>
            <w:r>
              <w:t>Preserve 750 million when audio supports it.</w:t>
            </w:r>
          </w:p>
        </w:tc>
      </w:tr>
      <w:tr>
        <w:tc>
          <w:tcPr>
            <w:tcW w:type="dxa" w:w="3264"/>
            <w:vAlign w:val="center"/>
          </w:tcPr>
          <w:p>
            <w:r>
              <w:t>10 million 400 VND</w:t>
            </w:r>
          </w:p>
        </w:tc>
        <w:tc>
          <w:tcPr>
            <w:tcW w:type="dxa" w:w="3264"/>
            <w:vAlign w:val="center"/>
          </w:tcPr>
          <w:p>
            <w:r>
              <w:t>10 million 400 thousand VND</w:t>
            </w:r>
          </w:p>
        </w:tc>
        <w:tc>
          <w:tcPr>
            <w:tcW w:type="dxa" w:w="3264"/>
            <w:vAlign w:val="center"/>
          </w:tcPr>
          <w:p>
            <w:r>
              <w:t>Do not insert “thousand”.</w:t>
            </w:r>
          </w:p>
        </w:tc>
      </w:tr>
      <w:tr>
        <w:tc>
          <w:tcPr>
            <w:tcW w:type="dxa" w:w="3264"/>
            <w:vAlign w:val="center"/>
          </w:tcPr>
          <w:p>
            <w:r>
              <w:t>Agent code / proposal number</w:t>
            </w:r>
          </w:p>
        </w:tc>
        <w:tc>
          <w:tcPr>
            <w:tcW w:type="dxa" w:w="3264"/>
            <w:vAlign w:val="center"/>
          </w:tcPr>
          <w:p>
            <w:r>
              <w:t>Wrong or omitted digits</w:t>
            </w:r>
          </w:p>
        </w:tc>
        <w:tc>
          <w:tcPr>
            <w:tcW w:type="dxa" w:w="3264"/>
            <w:vAlign w:val="center"/>
          </w:tcPr>
          <w:p>
            <w:r>
              <w:t>Faithfully output heard sequence; flag uncertainty if supported.</w:t>
            </w:r>
          </w:p>
        </w:tc>
      </w:tr>
    </w:tbl>
    <w:p/>
    <w:p>
      <w:pPr>
        <w:pStyle w:val="Heading2"/>
      </w:pPr>
      <w:r>
        <w:t>7.4 Step consistency and limits</w:t>
      </w:r>
    </w:p>
    <w:p>
      <w:r>
        <w:t>Check whether corruption originates in raw recognition or subsequent normalization. Prompt optimization cannot guarantee correction of upstream recognition errors when the actual audio is ambiguous or acoustic evidence is missing.</w:t>
      </w:r>
    </w:p>
    <w:p>
      <w:pPr>
        <w:pStyle w:val="Heading1"/>
      </w:pPr>
      <w:r>
        <w:t>8. NER prompt specification</w:t>
      </w:r>
    </w:p>
    <w:p>
      <w:pPr>
        <w:pStyle w:val="Heading2"/>
      </w:pPr>
      <w:r>
        <w:t>8.1 Original template contract</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PROMPT SECTION</w:t>
            </w:r>
          </w:p>
        </w:tc>
        <w:tc>
          <w:tcPr>
            <w:tcW w:type="dxa" w:w="4896"/>
            <w:vAlign w:val="center"/>
          </w:tcPr>
          <w:p>
            <w:r>
              <w:t>REQUIRED BEHAVIOR</w:t>
            </w:r>
          </w:p>
        </w:tc>
      </w:tr>
      <w:tr>
        <w:tc>
          <w:tcPr>
            <w:tcW w:type="dxa" w:w="4896"/>
            <w:vAlign w:val="center"/>
          </w:tcPr>
          <w:p>
            <w:r>
              <w:t>Role</w:t>
            </w:r>
          </w:p>
        </w:tc>
        <w:tc>
          <w:tcPr>
            <w:tcW w:type="dxa" w:w="4896"/>
            <w:vAlign w:val="center"/>
          </w:tcPr>
          <w:p>
            <w:r>
              <w:t>Vietnamese insurance call NER.</w:t>
            </w:r>
          </w:p>
        </w:tc>
      </w:tr>
      <w:tr>
        <w:tc>
          <w:tcPr>
            <w:tcW w:type="dxa" w:w="4896"/>
            <w:vAlign w:val="center"/>
          </w:tcPr>
          <w:p>
            <w:r>
              <w:t>Input transcript</w:t>
            </w:r>
          </w:p>
        </w:tc>
        <w:tc>
          <w:tcPr>
            <w:tcW w:type="dxa" w:w="4896"/>
            <w:vAlign w:val="center"/>
          </w:tcPr>
          <w:p>
            <w:r>
              <w:t>Single-answer transcript as sole source of extracted facts.</w:t>
            </w:r>
          </w:p>
        </w:tc>
      </w:tr>
      <w:tr>
        <w:tc>
          <w:tcPr>
            <w:tcW w:type="dxa" w:w="4896"/>
            <w:vAlign w:val="center"/>
          </w:tcPr>
          <w:p>
            <w:r>
              <w:t>Reference</w:t>
            </w:r>
          </w:p>
        </w:tc>
        <w:tc>
          <w:tcPr>
            <w:tcW w:type="dxa" w:w="4896"/>
            <w:vAlign w:val="center"/>
          </w:tcPr>
          <w:p>
            <w:r>
              <w:t>Context and proper-noun alignment; numeric values may be masked.</w:t>
            </w:r>
          </w:p>
        </w:tc>
      </w:tr>
      <w:tr>
        <w:tc>
          <w:tcPr>
            <w:tcW w:type="dxa" w:w="4896"/>
            <w:vAlign w:val="center"/>
          </w:tcPr>
          <w:p>
            <w:r>
              <w:t>Pattern</w:t>
            </w:r>
          </w:p>
        </w:tc>
        <w:tc>
          <w:tcPr>
            <w:tcW w:type="dxa" w:w="4896"/>
            <w:vAlign w:val="center"/>
          </w:tcPr>
          <w:p>
            <w:r>
              <w:t>Entity positions and surrounding context anchors.</w:t>
            </w:r>
          </w:p>
        </w:tc>
      </w:tr>
      <w:tr>
        <w:tc>
          <w:tcPr>
            <w:tcW w:type="dxa" w:w="4896"/>
            <w:vAlign w:val="center"/>
          </w:tcPr>
          <w:p>
            <w:r>
              <w:t>Hints</w:t>
            </w:r>
          </w:p>
        </w:tc>
        <w:tc>
          <w:tcPr>
            <w:tcW w:type="dxa" w:w="4896"/>
            <w:vAlign w:val="center"/>
          </w:tcPr>
          <w:p>
            <w:r>
              <w:t>Case-specific comparison / boundary guidance, not independent facts.</w:t>
            </w:r>
          </w:p>
        </w:tc>
      </w:tr>
      <w:tr>
        <w:tc>
          <w:tcPr>
            <w:tcW w:type="dxa" w:w="4896"/>
            <w:vAlign w:val="center"/>
          </w:tcPr>
          <w:p>
            <w:r>
              <w:t>Step 1 normalization</w:t>
            </w:r>
          </w:p>
        </w:tc>
        <w:tc>
          <w:tcPr>
            <w:tcW w:type="dxa" w:w="4896"/>
            <w:vAlign w:val="center"/>
          </w:tcPr>
          <w:p>
            <w:r>
              <w:t>Permitted spelling, numeric and punctuation transformations.</w:t>
            </w:r>
          </w:p>
        </w:tc>
      </w:tr>
      <w:tr>
        <w:tc>
          <w:tcPr>
            <w:tcW w:type="dxa" w:w="4896"/>
            <w:vAlign w:val="center"/>
          </w:tcPr>
          <w:p>
            <w:r>
              <w:t>Step 2 extraction</w:t>
            </w:r>
          </w:p>
        </w:tc>
        <w:tc>
          <w:tcPr>
            <w:tcW w:type="dxa" w:w="4896"/>
            <w:vAlign w:val="center"/>
          </w:tcPr>
          <w:p>
            <w:r>
              <w:t>Exact keys required by dictionary for current question.</w:t>
            </w:r>
          </w:p>
        </w:tc>
      </w:tr>
      <w:tr>
        <w:tc>
          <w:tcPr>
            <w:tcW w:type="dxa" w:w="4896"/>
            <w:vAlign w:val="center"/>
          </w:tcPr>
          <w:p>
            <w:r>
              <w:t>Constraints</w:t>
            </w:r>
          </w:p>
        </w:tc>
        <w:tc>
          <w:tcPr>
            <w:tcW w:type="dxa" w:w="4896"/>
            <w:vAlign w:val="center"/>
          </w:tcPr>
          <w:p>
            <w:r>
              <w:t>No hallucinated values/keys or cross-entity copying.</w:t>
            </w:r>
          </w:p>
        </w:tc>
      </w:tr>
      <w:tr>
        <w:tc>
          <w:tcPr>
            <w:tcW w:type="dxa" w:w="4896"/>
            <w:vAlign w:val="center"/>
          </w:tcPr>
          <w:p>
            <w:r>
              <w:t>Self-check</w:t>
            </w:r>
          </w:p>
        </w:tc>
        <w:tc>
          <w:tcPr>
            <w:tcW w:type="dxa" w:w="4896"/>
            <w:vAlign w:val="center"/>
          </w:tcPr>
          <w:p>
            <w:r>
              <w:t>Validate span traceability and entity format.</w:t>
            </w:r>
          </w:p>
        </w:tc>
      </w:tr>
      <w:tr>
        <w:tc>
          <w:tcPr>
            <w:tcW w:type="dxa" w:w="4896"/>
            <w:vAlign w:val="center"/>
          </w:tcPr>
          <w:p>
            <w:r>
              <w:t>Output</w:t>
            </w:r>
          </w:p>
        </w:tc>
        <w:tc>
          <w:tcPr>
            <w:tcW w:type="dxa" w:w="4896"/>
            <w:vAlign w:val="center"/>
          </w:tcPr>
          <w:p>
            <w:r>
              <w:t>Strict JSON: normalized_transcript + entities.</w:t>
            </w:r>
          </w:p>
        </w:tc>
      </w:tr>
    </w:tbl>
    <w:p/>
    <w:p>
      <w:pPr>
        <w:pStyle w:val="Heading2"/>
      </w:pPr>
      <w:r>
        <w:t>8.2 Person-name boundary and speech disfluency</w:t>
      </w:r>
    </w:p>
    <w:p>
      <w:r>
        <w:t>Observed failure. The transcript contains a repeated first-name token followed by a complete Vietnamese name; the NER output incorrectly includes the repeated initial token. In debugger evidence, the metadata parameter supplied a complete, reliable POLICYOWNER hint, while the script Pattern identified the general name slot.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INPUT FRAGMENT</w:t>
            </w:r>
          </w:p>
        </w:tc>
        <w:tc>
          <w:tcPr>
            <w:tcW w:type="dxa" w:w="3264"/>
            <w:vAlign w:val="center"/>
          </w:tcPr>
          <w:p>
            <w:r>
              <w:t>TRUSTED HINT</w:t>
            </w:r>
          </w:p>
        </w:tc>
        <w:tc>
          <w:tcPr>
            <w:tcW w:type="dxa" w:w="3264"/>
            <w:vAlign w:val="center"/>
          </w:tcPr>
          <w:p>
            <w:r>
              <w:t>EXPECTED ENTITY</w:t>
            </w:r>
          </w:p>
        </w:tc>
      </w:tr>
      <w:tr>
        <w:tc>
          <w:tcPr>
            <w:tcW w:type="dxa" w:w="3264"/>
            <w:vAlign w:val="center"/>
          </w:tcPr>
          <w:p>
            <w:r>
              <w:t>Thủy Nguyễn Thị Thu Thủy</w:t>
            </w:r>
          </w:p>
        </w:tc>
        <w:tc>
          <w:tcPr>
            <w:tcW w:type="dxa" w:w="3264"/>
            <w:vAlign w:val="center"/>
          </w:tcPr>
          <w:p>
            <w:r>
              <w:t>NGUYỄN THỊ THU THỦY</w:t>
            </w:r>
          </w:p>
        </w:tc>
        <w:tc>
          <w:tcPr>
            <w:tcW w:type="dxa" w:w="3264"/>
            <w:vAlign w:val="center"/>
          </w:tcPr>
          <w:p>
            <w:r>
              <w:t>Nguyễn Thị Thu Thủy</w:t>
            </w:r>
          </w:p>
        </w:tc>
      </w:tr>
      <w:tr>
        <w:tc>
          <w:tcPr>
            <w:tcW w:type="dxa" w:w="3264"/>
            <w:vAlign w:val="center"/>
          </w:tcPr>
          <w:p>
            <w:r>
              <w:t>Khánh Nguyễn Quốc Khánh</w:t>
            </w:r>
          </w:p>
        </w:tc>
        <w:tc>
          <w:tcPr>
            <w:tcW w:type="dxa" w:w="3264"/>
            <w:vAlign w:val="center"/>
          </w:tcPr>
          <w:p>
            <w:r>
              <w:t>Nguyễn Quốc Khánh</w:t>
            </w:r>
          </w:p>
        </w:tc>
        <w:tc>
          <w:tcPr>
            <w:tcW w:type="dxa" w:w="3264"/>
            <w:vAlign w:val="center"/>
          </w:tcPr>
          <w:p>
            <w:r>
              <w:t>Nguyễn Quốc Khánh</w:t>
            </w:r>
          </w:p>
        </w:tc>
      </w:tr>
    </w:tbl>
    <w:p/>
    <w:p>
      <w:r>
        <w:t>Decision rule. If a complete trusted name hint matches a contiguous span in normalized_transcript using the permitted matching transformations, and an adjacent extra token is independently identifiable as a false start or call-out, select the supported complete name span. Preserve normalized_transcript; do not rewrite it to conceal disfluencies. If competing boundaries cannot be resolved, do not hardcode “drop first word” or “take final three words.”</w:t>
      </w:r>
    </w:p>
    <w:p>
      <w:r>
        <w:t>Important limitation. A narrower matching hint is not conclusive if metadata is stale or inaccurate. Validate hint provenance, exact matching, and surrounding context before any automatic correction.</w:t>
      </w:r>
    </w:p>
    <w:p>
      <w:pPr>
        <w:pStyle w:val="Heading2"/>
      </w:pPr>
      <w:r>
        <w:t>8.3 Monetary formatting</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KEYS</w:t>
            </w:r>
          </w:p>
        </w:tc>
        <w:tc>
          <w:tcPr>
            <w:tcW w:type="dxa" w:w="3264"/>
            <w:vAlign w:val="center"/>
          </w:tcPr>
          <w:p>
            <w:r>
              <w:t>TRANSCRIPT EXAMPLE</w:t>
            </w:r>
          </w:p>
        </w:tc>
        <w:tc>
          <w:tcPr>
            <w:tcW w:type="dxa" w:w="3264"/>
            <w:vAlign w:val="center"/>
          </w:tcPr>
          <w:p>
            <w:r>
              <w:t>EXPECTED STRING</w:t>
            </w:r>
          </w:p>
        </w:tc>
      </w:tr>
      <w:tr>
        <w:tc>
          <w:tcPr>
            <w:tcW w:type="dxa" w:w="3264"/>
            <w:vAlign w:val="center"/>
          </w:tcPr>
          <w:p>
            <w:r>
              <w:t>FACEAMOUNT / TOTALPREMIUM / SUNDRYAMOUNT</w:t>
            </w:r>
          </w:p>
        </w:tc>
        <w:tc>
          <w:tcPr>
            <w:tcW w:type="dxa" w:w="3264"/>
            <w:vAlign w:val="center"/>
          </w:tcPr>
          <w:p>
            <w:r>
              <w:t>280 triệu đồng</w:t>
            </w:r>
          </w:p>
        </w:tc>
        <w:tc>
          <w:tcPr>
            <w:tcW w:type="dxa" w:w="3264"/>
            <w:vAlign w:val="center"/>
          </w:tcPr>
          <w:p>
            <w:r>
              <w:t>280000000</w:t>
            </w:r>
          </w:p>
        </w:tc>
      </w:tr>
      <w:tr>
        <w:tc>
          <w:tcPr>
            <w:tcW w:type="dxa" w:w="3264"/>
            <w:vAlign w:val="center"/>
          </w:tcPr>
          <w:p>
            <w:r>
              <w:t>Same</w:t>
            </w:r>
          </w:p>
        </w:tc>
        <w:tc>
          <w:tcPr>
            <w:tcW w:type="dxa" w:w="3264"/>
            <w:vAlign w:val="center"/>
          </w:tcPr>
          <w:p>
            <w:r>
              <w:t>1 tỷ đồng</w:t>
            </w:r>
          </w:p>
        </w:tc>
        <w:tc>
          <w:tcPr>
            <w:tcW w:type="dxa" w:w="3264"/>
            <w:vAlign w:val="center"/>
          </w:tcPr>
          <w:p>
            <w:r>
              <w:t>1000000000</w:t>
            </w:r>
          </w:p>
        </w:tc>
      </w:tr>
      <w:tr>
        <w:tc>
          <w:tcPr>
            <w:tcW w:type="dxa" w:w="3264"/>
            <w:vAlign w:val="center"/>
          </w:tcPr>
          <w:p>
            <w:r>
              <w:t>Same</w:t>
            </w:r>
          </w:p>
        </w:tc>
        <w:tc>
          <w:tcPr>
            <w:tcW w:type="dxa" w:w="3264"/>
            <w:vAlign w:val="center"/>
          </w:tcPr>
          <w:p>
            <w:r>
              <w:t>10 triệu 400 đồng</w:t>
            </w:r>
          </w:p>
        </w:tc>
        <w:tc>
          <w:tcPr>
            <w:tcW w:type="dxa" w:w="3264"/>
            <w:vAlign w:val="center"/>
          </w:tcPr>
          <w:p>
            <w:r>
              <w:t>10000400</w:t>
            </w:r>
          </w:p>
        </w:tc>
      </w:tr>
    </w:tbl>
    <w:p/>
    <w:p>
      <w:r>
        <w:t>Non-empty monetary outputs must be strings containing ASCII digits only, representing the full VND integer. No unit words, commas, periods or spaces. Conversion must preserve stated magnitude: never infer an unspoken “thousand”. Ambiguous input should not be fabricated as a number.</w:t>
      </w:r>
    </w:p>
    <w:p>
      <w:pPr>
        <w:pStyle w:val="Heading2"/>
      </w:pPr>
      <w:r>
        <w:t>8.4 Premium term formatting</w:t>
      </w:r>
    </w:p>
    <w:p>
      <w:r>
        <w:t>PREMIUMTERM output must be a digit-only string for a clearly spoken numeric duration. For “20 năm”, output “20”, not “20 năm”. Remove the unit from the entity value only, not from normalized_transcript. Do not coerce a value from months to years without an approved business rule. PREMIUMMODE is a different entity and must not inherit this numeric-only constraint.</w:t>
      </w:r>
    </w:p>
    <w:p>
      <w:pPr>
        <w:pStyle w:val="Heading2"/>
      </w:pPr>
      <w:r>
        <w:t>8.5 Extraction / validation behavior</w:t>
      </w:r>
    </w:p>
    <w:p>
      <w:pPr>
        <w:pStyle w:val="ListBullet"/>
      </w:pPr>
      <w:r>
        <w:t>Restrict the entities object to exactly the keys required by the selected question.</w:t>
      </w:r>
    </w:p>
    <w:p>
      <w:pPr>
        <w:pStyle w:val="ListBullet"/>
      </w:pPr>
      <w:r>
        <w:t>Return empty strings for unverifiable extraction values only where existing contract allows; do not invent missing values.</w:t>
      </w:r>
    </w:p>
    <w:p>
      <w:pPr>
        <w:pStyle w:val="ListBullet"/>
      </w:pPr>
      <w:r>
        <w:t>Use self-check to ensure every extraction traces to transcript (except defined categorical outputs and numeric format conversions).</w:t>
      </w:r>
    </w:p>
    <w:p>
      <w:pPr>
        <w:pStyle w:val="ListBullet"/>
      </w:pPr>
      <w:r>
        <w:t>Consider a deterministic Python validator for digit-only formats and conditionally verified person-name span boundaries. This is a proposed follow-up, not an already deployed function.</w:t>
      </w:r>
    </w:p>
    <w:p>
      <w:pPr>
        <w:pStyle w:val="Heading2"/>
      </w:pPr>
      <w:r>
        <w:t>8.6 Output example</w:t>
      </w:r>
    </w:p>
    <w:p>
      <w:pPr>
        <w:pStyle w:val="CodeBlock"/>
      </w:pPr>
      <w:r>
        <w:t>{</w:t>
      </w:r>
    </w:p>
    <w:p>
      <w:pPr>
        <w:pStyle w:val="CodeBlock"/>
      </w:pPr>
      <w:r>
        <w:t xml:space="preserve">  "normalized_transcript": "Bên mua bảo hiểm là Thủy Nguyễn Thị Thu Thủy ...",</w:t>
      </w:r>
    </w:p>
    <w:p>
      <w:pPr>
        <w:pStyle w:val="CodeBlock"/>
      </w:pPr>
      <w:r>
        <w:t xml:space="preserve">  "entities": {</w:t>
      </w:r>
    </w:p>
    <w:p>
      <w:pPr>
        <w:pStyle w:val="CodeBlock"/>
      </w:pPr>
      <w:r>
        <w:t xml:space="preserve">    "POLICYOWNER": "Nguyễn Thị Thu Thủy"</w:t>
      </w:r>
    </w:p>
    <w:p>
      <w:pPr>
        <w:pStyle w:val="CodeBlock"/>
      </w:pPr>
      <w:r>
        <w:t xml:space="preserve">  }</w:t>
      </w:r>
    </w:p>
    <w:p>
      <w:pPr>
        <w:pStyle w:val="CodeBlock"/>
      </w:pPr>
      <w:r>
        <w:t>}</w:t>
      </w:r>
    </w:p>
    <w:p>
      <w:r>
        <w:t>Illustrative only: each real response must contain the exact entity keys selected from the corresponding dictionary entry; do not add example fields to unrelated questions.</w:t>
      </w:r>
    </w:p>
    <w:p>
      <w:pPr>
        <w:pStyle w:val="Heading2"/>
      </w:pPr>
      <w:r>
        <w:t>8.7 Debug observations</w:t>
      </w:r>
    </w:p>
    <w:p>
      <w:r>
        <w:t>NER debugger checks showed that the wrapper ran, enhance_prompt(text) differed from the original prompt, and the entity extraction and output self-check guard blocks appeared. This verifies prompt construction at the breakpoint, not that the eventual API request uses the identical string or that the model obeys it. One repeated case was reported as 0/10 correct; investigate raw model output, final output, runtime configuration, and potential post-processing.</w:t>
      </w:r>
    </w:p>
    <w:p>
      <w:pPr>
        <w:pStyle w:val="Heading1"/>
      </w:pPr>
      <w:r>
        <w:t>9. Database changes</w:t>
      </w:r>
    </w:p>
    <w:p>
      <w:r>
        <w:t>No schema migration is proposed for the prompt-only enhancement. Maintain existing entity identifiers, output keys and downstream mappings. Database owners must verify storage types, null handling, and any implicit assumptions about term units and integer monetary representations before release.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CHANGE ITEM</w:t>
            </w:r>
          </w:p>
        </w:tc>
        <w:tc>
          <w:tcPr>
            <w:tcW w:type="dxa" w:w="4896"/>
            <w:vAlign w:val="center"/>
          </w:tcPr>
          <w:p>
            <w:r>
              <w:t>ASSESSMENT</w:t>
            </w:r>
          </w:p>
        </w:tc>
      </w:tr>
      <w:tr>
        <w:tc>
          <w:tcPr>
            <w:tcW w:type="dxa" w:w="4896"/>
            <w:vAlign w:val="center"/>
          </w:tcPr>
          <w:p>
            <w:r>
              <w:t>DDL / migration</w:t>
            </w:r>
          </w:p>
        </w:tc>
        <w:tc>
          <w:tcPr>
            <w:tcW w:type="dxa" w:w="4896"/>
            <w:vAlign w:val="center"/>
          </w:tcPr>
          <w:p>
            <w:r>
              <w:t>Not proposed</w:t>
            </w:r>
          </w:p>
        </w:tc>
      </w:tr>
      <w:tr>
        <w:tc>
          <w:tcPr>
            <w:tcW w:type="dxa" w:w="4896"/>
            <w:vAlign w:val="center"/>
          </w:tcPr>
          <w:p>
            <w:r>
              <w:t>Entity naming</w:t>
            </w:r>
          </w:p>
        </w:tc>
        <w:tc>
          <w:tcPr>
            <w:tcW w:type="dxa" w:w="4896"/>
            <w:vAlign w:val="center"/>
          </w:tcPr>
          <w:p>
            <w:r>
              <w:t>No changes</w:t>
            </w:r>
          </w:p>
        </w:tc>
      </w:tr>
      <w:tr>
        <w:tc>
          <w:tcPr>
            <w:tcW w:type="dxa" w:w="4896"/>
            <w:vAlign w:val="center"/>
          </w:tcPr>
          <w:p>
            <w:r>
              <w:t>Output structure</w:t>
            </w:r>
          </w:p>
        </w:tc>
        <w:tc>
          <w:tcPr>
            <w:tcW w:type="dxa" w:w="4896"/>
            <w:vAlign w:val="center"/>
          </w:tcPr>
          <w:p>
            <w:r>
              <w:t>Backward compatibility required</w:t>
            </w:r>
          </w:p>
        </w:tc>
      </w:tr>
      <w:tr>
        <w:tc>
          <w:tcPr>
            <w:tcW w:type="dxa" w:w="4896"/>
            <w:vAlign w:val="center"/>
          </w:tcPr>
          <w:p>
            <w:r>
              <w:t>Downstream storage constraints</w:t>
            </w:r>
          </w:p>
        </w:tc>
        <w:tc>
          <w:tcPr>
            <w:tcW w:type="dxa" w:w="4896"/>
            <w:vAlign w:val="center"/>
          </w:tcPr>
          <w:p>
            <w:r>
              <w:t>TBD – owner to confirm</w:t>
            </w:r>
          </w:p>
        </w:tc>
      </w:tr>
    </w:tbl>
    <w:p/>
    <w:p>
      <w:pPr>
        <w:pStyle w:val="Heading1"/>
      </w:pPr>
      <w:r>
        <w:t>10. Infrastructure and dependencies</w:t>
      </w:r>
    </w:p>
    <w:p>
      <w:r>
        <w:t>Current wrapper uses standard Python module imports; no additional dependency has been demonstrated necessary for the prompt injection itself. Source documentation screenshots mention Levenshtein and a 13-component XML prompt design, but those features are not confirmed in this implementation and must not be listed as delivered changes.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ITEM</w:t>
            </w:r>
          </w:p>
        </w:tc>
        <w:tc>
          <w:tcPr>
            <w:tcW w:type="dxa" w:w="3264"/>
            <w:vAlign w:val="center"/>
          </w:tcPr>
          <w:p>
            <w:r>
              <w:t>CURRENT EVIDENCE</w:t>
            </w:r>
          </w:p>
        </w:tc>
        <w:tc>
          <w:tcPr>
            <w:tcW w:type="dxa" w:w="3264"/>
            <w:vAlign w:val="center"/>
          </w:tcPr>
          <w:p>
            <w:r>
              <w:t>ACTION</w:t>
            </w:r>
          </w:p>
        </w:tc>
      </w:tr>
      <w:tr>
        <w:tc>
          <w:tcPr>
            <w:tcW w:type="dxa" w:w="3264"/>
            <w:vAlign w:val="center"/>
          </w:tcPr>
          <w:p>
            <w:r>
              <w:t>Python runtime</w:t>
            </w:r>
          </w:p>
        </w:tc>
        <w:tc>
          <w:tcPr>
            <w:tcW w:type="dxa" w:w="3264"/>
            <w:vAlign w:val="center"/>
          </w:tcPr>
          <w:p>
            <w:r>
              <w:t>Python module integration observed</w:t>
            </w:r>
          </w:p>
        </w:tc>
        <w:tc>
          <w:tcPr>
            <w:tcW w:type="dxa" w:w="3264"/>
            <w:vAlign w:val="center"/>
          </w:tcPr>
          <w:p>
            <w:r>
              <w:t>Confirm deployed version</w:t>
            </w:r>
          </w:p>
        </w:tc>
      </w:tr>
      <w:tr>
        <w:tc>
          <w:tcPr>
            <w:tcW w:type="dxa" w:w="3264"/>
            <w:vAlign w:val="center"/>
          </w:tcPr>
          <w:p>
            <w:r>
              <w:t>Model / API</w:t>
            </w:r>
          </w:p>
        </w:tc>
        <w:tc>
          <w:tcPr>
            <w:tcW w:type="dxa" w:w="3264"/>
            <w:vAlign w:val="center"/>
          </w:tcPr>
          <w:p>
            <w:r>
              <w:t>Not confirmed</w:t>
            </w:r>
          </w:p>
        </w:tc>
        <w:tc>
          <w:tcPr>
            <w:tcW w:type="dxa" w:w="3264"/>
            <w:vAlign w:val="center"/>
          </w:tcPr>
          <w:p>
            <w:r>
              <w:t>Record provider, model, revision, temperature, top_p, tokens</w:t>
            </w:r>
          </w:p>
        </w:tc>
      </w:tr>
      <w:tr>
        <w:tc>
          <w:tcPr>
            <w:tcW w:type="dxa" w:w="3264"/>
            <w:vAlign w:val="center"/>
          </w:tcPr>
          <w:p>
            <w:r>
              <w:t>Docker / orchestration</w:t>
            </w:r>
          </w:p>
        </w:tc>
        <w:tc>
          <w:tcPr>
            <w:tcW w:type="dxa" w:w="3264"/>
            <w:vAlign w:val="center"/>
          </w:tcPr>
          <w:p>
            <w:r>
              <w:t>Not confirmed</w:t>
            </w:r>
          </w:p>
        </w:tc>
        <w:tc>
          <w:tcPr>
            <w:tcW w:type="dxa" w:w="3264"/>
            <w:vAlign w:val="center"/>
          </w:tcPr>
          <w:p>
            <w:r>
              <w:t>Review Dockerfile, image and rollout strategy</w:t>
            </w:r>
          </w:p>
        </w:tc>
      </w:tr>
      <w:tr>
        <w:tc>
          <w:tcPr>
            <w:tcW w:type="dxa" w:w="3264"/>
            <w:vAlign w:val="center"/>
          </w:tcPr>
          <w:p>
            <w:r>
              <w:t>New Levenshtein dependency</w:t>
            </w:r>
          </w:p>
        </w:tc>
        <w:tc>
          <w:tcPr>
            <w:tcW w:type="dxa" w:w="3264"/>
            <w:vAlign w:val="center"/>
          </w:tcPr>
          <w:p>
            <w:r>
              <w:t>Not evidenced for current change</w:t>
            </w:r>
          </w:p>
        </w:tc>
        <w:tc>
          <w:tcPr>
            <w:tcW w:type="dxa" w:w="3264"/>
            <w:vAlign w:val="center"/>
          </w:tcPr>
          <w:p>
            <w:r>
              <w:t>Only add if explicitly implemented and approved</w:t>
            </w:r>
          </w:p>
        </w:tc>
      </w:tr>
      <w:tr>
        <w:tc>
          <w:tcPr>
            <w:tcW w:type="dxa" w:w="3264"/>
            <w:vAlign w:val="center"/>
          </w:tcPr>
          <w:p>
            <w:r>
              <w:t>Caching / multiple workers</w:t>
            </w:r>
          </w:p>
        </w:tc>
        <w:tc>
          <w:tcPr>
            <w:tcW w:type="dxa" w:w="3264"/>
            <w:vAlign w:val="center"/>
          </w:tcPr>
          <w:p>
            <w:r>
              <w:t>Potential inconsistency source</w:t>
            </w:r>
          </w:p>
        </w:tc>
        <w:tc>
          <w:tcPr>
            <w:tcW w:type="dxa" w:w="3264"/>
            <w:vAlign w:val="center"/>
          </w:tcPr>
          <w:p>
            <w:r>
              <w:t>Verify reload and routing</w:t>
            </w:r>
          </w:p>
        </w:tc>
      </w:tr>
    </w:tbl>
    <w:p/>
    <w:p>
      <w:pPr>
        <w:pStyle w:val="Heading1"/>
      </w:pPr>
      <w:r>
        <w:t>11. Performance and load testing</w:t>
      </w:r>
    </w:p>
    <w:p>
      <w:pPr>
        <w:pStyle w:val="Heading2"/>
      </w:pPr>
      <w:r>
        <w:t>11.1 Evaluation design</w:t>
      </w:r>
    </w:p>
    <w:p>
      <w:pPr>
        <w:pStyle w:val="ListBullet"/>
      </w:pPr>
      <w:r>
        <w:t>Freeze the same dataset, transcript / audio inputs, prompt revision, model revision and inference settings for each comparison.</w:t>
      </w:r>
    </w:p>
    <w:p>
      <w:pPr>
        <w:pStyle w:val="ListBullet"/>
      </w:pPr>
      <w:r>
        <w:t>Split good, known-bad, failed-production and regression samples; report denominators and exclusions.</w:t>
      </w:r>
    </w:p>
    <w:p>
      <w:pPr>
        <w:pStyle w:val="ListBullet"/>
      </w:pPr>
      <w:r>
        <w:t>Compare S2T V1 baseline and V3, and separately compare NER original baseline and V2. Do not merge stage-level metrics.</w:t>
      </w:r>
    </w:p>
    <w:p>
      <w:pPr>
        <w:pStyle w:val="ListBullet"/>
      </w:pPr>
      <w:r>
        <w:t>Retest the name-boundary error at repeated invocations, but also measure false-positive trimming on legitimate long names.</w:t>
      </w:r>
    </w:p>
    <w:p>
      <w:pPr>
        <w:pStyle w:val="ListBullet"/>
      </w:pPr>
      <w:r>
        <w:t>Record prompt/token length and response latency to detect regressions from longer prompts.</w:t>
      </w:r>
    </w:p>
    <w:p>
      <w:pPr>
        <w:pStyle w:val="Heading2"/>
      </w:pPr>
      <w:r>
        <w:t>11.2 Metrics and acceptance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AREA</w:t>
            </w:r>
          </w:p>
        </w:tc>
        <w:tc>
          <w:tcPr>
            <w:tcW w:type="dxa" w:w="3264"/>
            <w:vAlign w:val="center"/>
          </w:tcPr>
          <w:p>
            <w:r>
              <w:t>METRIC</w:t>
            </w:r>
          </w:p>
        </w:tc>
        <w:tc>
          <w:tcPr>
            <w:tcW w:type="dxa" w:w="3264"/>
            <w:vAlign w:val="center"/>
          </w:tcPr>
          <w:p>
            <w:r>
              <w:t>ACCEPTANCE</w:t>
            </w:r>
          </w:p>
        </w:tc>
      </w:tr>
      <w:tr>
        <w:tc>
          <w:tcPr>
            <w:tcW w:type="dxa" w:w="3264"/>
            <w:vAlign w:val="center"/>
          </w:tcPr>
          <w:p>
            <w:r>
              <w:t>S2T</w:t>
            </w:r>
          </w:p>
        </w:tc>
        <w:tc>
          <w:tcPr>
            <w:tcW w:type="dxa" w:w="3264"/>
            <w:vAlign w:val="center"/>
          </w:tcPr>
          <w:p>
            <w:r>
              <w:t>WER / CER on agreed truth set</w:t>
            </w:r>
          </w:p>
        </w:tc>
        <w:tc>
          <w:tcPr>
            <w:tcW w:type="dxa" w:w="3264"/>
            <w:vAlign w:val="center"/>
          </w:tcPr>
          <w:p>
            <w:r>
              <w:t>Target TBD</w:t>
            </w:r>
          </w:p>
        </w:tc>
      </w:tr>
      <w:tr>
        <w:tc>
          <w:tcPr>
            <w:tcW w:type="dxa" w:w="3264"/>
            <w:vAlign w:val="center"/>
          </w:tcPr>
          <w:p>
            <w:r>
              <w:t>S2T critical values</w:t>
            </w:r>
          </w:p>
        </w:tc>
        <w:tc>
          <w:tcPr>
            <w:tcW w:type="dxa" w:w="3264"/>
            <w:vAlign w:val="center"/>
          </w:tcPr>
          <w:p>
            <w:r>
              <w:t>Money / agent / phone / proposal exact match</w:t>
            </w:r>
          </w:p>
        </w:tc>
        <w:tc>
          <w:tcPr>
            <w:tcW w:type="dxa" w:w="3264"/>
            <w:vAlign w:val="center"/>
          </w:tcPr>
          <w:p>
            <w:r>
              <w:t>Target TBD</w:t>
            </w:r>
          </w:p>
        </w:tc>
      </w:tr>
      <w:tr>
        <w:tc>
          <w:tcPr>
            <w:tcW w:type="dxa" w:w="3264"/>
            <w:vAlign w:val="center"/>
          </w:tcPr>
          <w:p>
            <w:r>
              <w:t>NER</w:t>
            </w:r>
          </w:p>
        </w:tc>
        <w:tc>
          <w:tcPr>
            <w:tcW w:type="dxa" w:w="3264"/>
            <w:vAlign w:val="center"/>
          </w:tcPr>
          <w:p>
            <w:r>
              <w:t>Entity precision / recall / F1 and exact match</w:t>
            </w:r>
          </w:p>
        </w:tc>
        <w:tc>
          <w:tcPr>
            <w:tcW w:type="dxa" w:w="3264"/>
            <w:vAlign w:val="center"/>
          </w:tcPr>
          <w:p>
            <w:r>
              <w:t>Target TBD</w:t>
            </w:r>
          </w:p>
        </w:tc>
      </w:tr>
      <w:tr>
        <w:tc>
          <w:tcPr>
            <w:tcW w:type="dxa" w:w="3264"/>
            <w:vAlign w:val="center"/>
          </w:tcPr>
          <w:p>
            <w:r>
              <w:t>NER names</w:t>
            </w:r>
          </w:p>
        </w:tc>
        <w:tc>
          <w:tcPr>
            <w:tcW w:type="dxa" w:w="3264"/>
            <w:vAlign w:val="center"/>
          </w:tcPr>
          <w:p>
            <w:r>
              <w:t>Name span accuracy and accidental truncation rate</w:t>
            </w:r>
          </w:p>
        </w:tc>
        <w:tc>
          <w:tcPr>
            <w:tcW w:type="dxa" w:w="3264"/>
            <w:vAlign w:val="center"/>
          </w:tcPr>
          <w:p>
            <w:r>
              <w:t>Target TBD</w:t>
            </w:r>
          </w:p>
        </w:tc>
      </w:tr>
      <w:tr>
        <w:tc>
          <w:tcPr>
            <w:tcW w:type="dxa" w:w="3264"/>
            <w:vAlign w:val="center"/>
          </w:tcPr>
          <w:p>
            <w:r>
              <w:t>NER format</w:t>
            </w:r>
          </w:p>
        </w:tc>
        <w:tc>
          <w:tcPr>
            <w:tcW w:type="dxa" w:w="3264"/>
            <w:vAlign w:val="center"/>
          </w:tcPr>
          <w:p>
            <w:r>
              <w:t>Amount and PREMIUMTERM digit-only compliance</w:t>
            </w:r>
          </w:p>
        </w:tc>
        <w:tc>
          <w:tcPr>
            <w:tcW w:type="dxa" w:w="3264"/>
            <w:vAlign w:val="center"/>
          </w:tcPr>
          <w:p>
            <w:r>
              <w:t>Proposed: 100% on unambiguous valid outputs</w:t>
            </w:r>
          </w:p>
        </w:tc>
      </w:tr>
      <w:tr>
        <w:tc>
          <w:tcPr>
            <w:tcW w:type="dxa" w:w="3264"/>
            <w:vAlign w:val="center"/>
          </w:tcPr>
          <w:p>
            <w:r>
              <w:t>Interface</w:t>
            </w:r>
          </w:p>
        </w:tc>
        <w:tc>
          <w:tcPr>
            <w:tcW w:type="dxa" w:w="3264"/>
            <w:vAlign w:val="center"/>
          </w:tcPr>
          <w:p>
            <w:r>
              <w:t>JSON parse and exact key coverage</w:t>
            </w:r>
          </w:p>
        </w:tc>
        <w:tc>
          <w:tcPr>
            <w:tcW w:type="dxa" w:w="3264"/>
            <w:vAlign w:val="center"/>
          </w:tcPr>
          <w:p>
            <w:r>
              <w:t>Proposed: 100% on supported requests</w:t>
            </w:r>
          </w:p>
        </w:tc>
      </w:tr>
      <w:tr>
        <w:tc>
          <w:tcPr>
            <w:tcW w:type="dxa" w:w="3264"/>
            <w:vAlign w:val="center"/>
          </w:tcPr>
          <w:p>
            <w:r>
              <w:t>Runtime</w:t>
            </w:r>
          </w:p>
        </w:tc>
        <w:tc>
          <w:tcPr>
            <w:tcW w:type="dxa" w:w="3264"/>
            <w:vAlign w:val="center"/>
          </w:tcPr>
          <w:p>
            <w:r>
              <w:t>P50 / P95 latency, timeout, memory, GPU/CPU</w:t>
            </w:r>
          </w:p>
        </w:tc>
        <w:tc>
          <w:tcPr>
            <w:tcW w:type="dxa" w:w="3264"/>
            <w:vAlign w:val="center"/>
          </w:tcPr>
          <w:p>
            <w:r>
              <w:t>SLO TBD</w:t>
            </w:r>
          </w:p>
        </w:tc>
      </w:tr>
    </w:tbl>
    <w:p/>
    <w:p>
      <w:pPr>
        <w:pStyle w:val="Heading2"/>
      </w:pPr>
      <w:r>
        <w:t>11.3 Results register</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t>DATASET</w:t>
            </w:r>
          </w:p>
        </w:tc>
        <w:tc>
          <w:tcPr>
            <w:tcW w:type="dxa" w:w="2448"/>
            <w:vAlign w:val="center"/>
          </w:tcPr>
          <w:p>
            <w:r>
              <w:t>BASELINE</w:t>
            </w:r>
          </w:p>
        </w:tc>
        <w:tc>
          <w:tcPr>
            <w:tcW w:type="dxa" w:w="2448"/>
            <w:vAlign w:val="center"/>
          </w:tcPr>
          <w:p>
            <w:r>
              <w:t>NEW VERSION</w:t>
            </w:r>
          </w:p>
        </w:tc>
        <w:tc>
          <w:tcPr>
            <w:tcW w:type="dxa" w:w="2448"/>
            <w:vAlign w:val="center"/>
          </w:tcPr>
          <w:p>
            <w:r>
              <w:t>STATUS</w:t>
            </w:r>
          </w:p>
        </w:tc>
      </w:tr>
      <w:tr>
        <w:tc>
          <w:tcPr>
            <w:tcW w:type="dxa" w:w="2448"/>
            <w:vAlign w:val="center"/>
          </w:tcPr>
          <w:p>
            <w:r>
              <w:t>testset_uat_good</w:t>
            </w:r>
          </w:p>
        </w:tc>
        <w:tc>
          <w:tcPr>
            <w:tcW w:type="dxa" w:w="2448"/>
            <w:vAlign w:val="center"/>
          </w:tcPr>
          <w:p>
            <w:r>
              <w:t>TBD</w:t>
            </w:r>
          </w:p>
        </w:tc>
        <w:tc>
          <w:tcPr>
            <w:tcW w:type="dxa" w:w="2448"/>
            <w:vAlign w:val="center"/>
          </w:tcPr>
          <w:p>
            <w:r>
              <w:t>TBD</w:t>
            </w:r>
          </w:p>
        </w:tc>
        <w:tc>
          <w:tcPr>
            <w:tcW w:type="dxa" w:w="2448"/>
            <w:vAlign w:val="center"/>
          </w:tcPr>
          <w:p>
            <w:r>
              <w:t>Not supplied</w:t>
            </w:r>
          </w:p>
        </w:tc>
      </w:tr>
      <w:tr>
        <w:tc>
          <w:tcPr>
            <w:tcW w:type="dxa" w:w="2448"/>
            <w:vAlign w:val="center"/>
          </w:tcPr>
          <w:p>
            <w:r>
              <w:t>testset_uat_bad</w:t>
            </w:r>
          </w:p>
        </w:tc>
        <w:tc>
          <w:tcPr>
            <w:tcW w:type="dxa" w:w="2448"/>
            <w:vAlign w:val="center"/>
          </w:tcPr>
          <w:p>
            <w:r>
              <w:t>TBD</w:t>
            </w:r>
          </w:p>
        </w:tc>
        <w:tc>
          <w:tcPr>
            <w:tcW w:type="dxa" w:w="2448"/>
            <w:vAlign w:val="center"/>
          </w:tcPr>
          <w:p>
            <w:r>
              <w:t>TBD</w:t>
            </w:r>
          </w:p>
        </w:tc>
        <w:tc>
          <w:tcPr>
            <w:tcW w:type="dxa" w:w="2448"/>
            <w:vAlign w:val="center"/>
          </w:tcPr>
          <w:p>
            <w:r>
              <w:t>Not supplied</w:t>
            </w:r>
          </w:p>
        </w:tc>
      </w:tr>
      <w:tr>
        <w:tc>
          <w:tcPr>
            <w:tcW w:type="dxa" w:w="2448"/>
            <w:vAlign w:val="center"/>
          </w:tcPr>
          <w:p>
            <w:r>
              <w:t>testset_failed_case_prd</w:t>
            </w:r>
          </w:p>
        </w:tc>
        <w:tc>
          <w:tcPr>
            <w:tcW w:type="dxa" w:w="2448"/>
            <w:vAlign w:val="center"/>
          </w:tcPr>
          <w:p>
            <w:r>
              <w:t>TBD</w:t>
            </w:r>
          </w:p>
        </w:tc>
        <w:tc>
          <w:tcPr>
            <w:tcW w:type="dxa" w:w="2448"/>
            <w:vAlign w:val="center"/>
          </w:tcPr>
          <w:p>
            <w:r>
              <w:t>TBD</w:t>
            </w:r>
          </w:p>
        </w:tc>
        <w:tc>
          <w:tcPr>
            <w:tcW w:type="dxa" w:w="2448"/>
            <w:vAlign w:val="center"/>
          </w:tcPr>
          <w:p>
            <w:r>
              <w:t>Not supplied</w:t>
            </w:r>
          </w:p>
        </w:tc>
      </w:tr>
      <w:tr>
        <w:tc>
          <w:tcPr>
            <w:tcW w:type="dxa" w:w="2448"/>
            <w:vAlign w:val="center"/>
          </w:tcPr>
          <w:p>
            <w:r>
              <w:t>Repeated name-boundary example</w:t>
            </w:r>
          </w:p>
        </w:tc>
        <w:tc>
          <w:tcPr>
            <w:tcW w:type="dxa" w:w="2448"/>
            <w:vAlign w:val="center"/>
          </w:tcPr>
          <w:p>
            <w:r>
              <w:t>Reported 0/10 correct in one test series</w:t>
            </w:r>
          </w:p>
        </w:tc>
        <w:tc>
          <w:tcPr>
            <w:tcW w:type="dxa" w:w="2448"/>
            <w:vAlign w:val="center"/>
          </w:tcPr>
          <w:p>
            <w:r>
              <w:t>TBD</w:t>
            </w:r>
          </w:p>
        </w:tc>
        <w:tc>
          <w:tcPr>
            <w:tcW w:type="dxa" w:w="2448"/>
            <w:vAlign w:val="center"/>
          </w:tcPr>
          <w:p>
            <w:r>
              <w:t>Not a full benchmark</w:t>
            </w:r>
          </w:p>
        </w:tc>
      </w:tr>
    </w:tbl>
    <w:p/>
    <w:p>
      <w:r>
        <w:t>Do not treat historical S2T tuning percentages from different experiments and subsets as a V3 versus V1 production comparison.</w:t>
      </w:r>
    </w:p>
    <w:p>
      <w:pPr>
        <w:pStyle w:val="Heading1"/>
      </w:pPr>
      <w:r>
        <w:t>12. User confirmation and sign-off</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ARTIFACT</w:t>
            </w:r>
          </w:p>
        </w:tc>
        <w:tc>
          <w:tcPr>
            <w:tcW w:type="dxa" w:w="3264"/>
            <w:vAlign w:val="center"/>
          </w:tcPr>
          <w:p>
            <w:r>
              <w:t>OWNER</w:t>
            </w:r>
          </w:p>
        </w:tc>
        <w:tc>
          <w:tcPr>
            <w:tcW w:type="dxa" w:w="3264"/>
            <w:vAlign w:val="center"/>
          </w:tcPr>
          <w:p>
            <w:r>
              <w:t>STATUS</w:t>
            </w:r>
          </w:p>
        </w:tc>
      </w:tr>
      <w:tr>
        <w:tc>
          <w:tcPr>
            <w:tcW w:type="dxa" w:w="3264"/>
            <w:vAlign w:val="center"/>
          </w:tcPr>
          <w:p>
            <w:r>
              <w:t>UAT test plan</w:t>
            </w:r>
          </w:p>
        </w:tc>
        <w:tc>
          <w:tcPr>
            <w:tcW w:type="dxa" w:w="3264"/>
            <w:vAlign w:val="center"/>
          </w:tcPr>
          <w:p>
            <w:r>
              <w:t>QA / Business</w:t>
            </w:r>
          </w:p>
        </w:tc>
        <w:tc>
          <w:tcPr>
            <w:tcW w:type="dxa" w:w="3264"/>
            <w:vAlign w:val="center"/>
          </w:tcPr>
          <w:p>
            <w:r>
              <w:t>TBD</w:t>
            </w:r>
          </w:p>
        </w:tc>
      </w:tr>
      <w:tr>
        <w:tc>
          <w:tcPr>
            <w:tcW w:type="dxa" w:w="3264"/>
            <w:vAlign w:val="center"/>
          </w:tcPr>
          <w:p>
            <w:r>
              <w:t>UAT evidence</w:t>
            </w:r>
          </w:p>
        </w:tc>
        <w:tc>
          <w:tcPr>
            <w:tcW w:type="dxa" w:w="3264"/>
            <w:vAlign w:val="center"/>
          </w:tcPr>
          <w:p>
            <w:r>
              <w:t>QA</w:t>
            </w:r>
          </w:p>
        </w:tc>
        <w:tc>
          <w:tcPr>
            <w:tcW w:type="dxa" w:w="3264"/>
            <w:vAlign w:val="center"/>
          </w:tcPr>
          <w:p>
            <w:r>
              <w:t>TBD</w:t>
            </w:r>
          </w:p>
        </w:tc>
      </w:tr>
      <w:tr>
        <w:tc>
          <w:tcPr>
            <w:tcW w:type="dxa" w:w="3264"/>
            <w:vAlign w:val="center"/>
          </w:tcPr>
          <w:p>
            <w:r>
              <w:t>Acceptance thresholds</w:t>
            </w:r>
          </w:p>
        </w:tc>
        <w:tc>
          <w:tcPr>
            <w:tcW w:type="dxa" w:w="3264"/>
            <w:vAlign w:val="center"/>
          </w:tcPr>
          <w:p>
            <w:r>
              <w:t>Business / Tech Lead</w:t>
            </w:r>
          </w:p>
        </w:tc>
        <w:tc>
          <w:tcPr>
            <w:tcW w:type="dxa" w:w="3264"/>
            <w:vAlign w:val="center"/>
          </w:tcPr>
          <w:p>
            <w:r>
              <w:t>TBD</w:t>
            </w:r>
          </w:p>
        </w:tc>
      </w:tr>
      <w:tr>
        <w:tc>
          <w:tcPr>
            <w:tcW w:type="dxa" w:w="3264"/>
            <w:vAlign w:val="center"/>
          </w:tcPr>
          <w:p>
            <w:r>
              <w:t>Risk / exception approval</w:t>
            </w:r>
          </w:p>
        </w:tc>
        <w:tc>
          <w:tcPr>
            <w:tcW w:type="dxa" w:w="3264"/>
            <w:vAlign w:val="center"/>
          </w:tcPr>
          <w:p>
            <w:r>
              <w:t>Project owner</w:t>
            </w:r>
          </w:p>
        </w:tc>
        <w:tc>
          <w:tcPr>
            <w:tcW w:type="dxa" w:w="3264"/>
            <w:vAlign w:val="center"/>
          </w:tcPr>
          <w:p>
            <w:r>
              <w:t>TBD</w:t>
            </w:r>
          </w:p>
        </w:tc>
      </w:tr>
      <w:tr>
        <w:tc>
          <w:tcPr>
            <w:tcW w:type="dxa" w:w="3264"/>
            <w:vAlign w:val="center"/>
          </w:tcPr>
          <w:p>
            <w:r>
              <w:t>Sign-off link and date</w:t>
            </w:r>
          </w:p>
        </w:tc>
        <w:tc>
          <w:tcPr>
            <w:tcW w:type="dxa" w:w="3264"/>
            <w:vAlign w:val="center"/>
          </w:tcPr>
          <w:p>
            <w:r>
              <w:t>Business owner</w:t>
            </w:r>
          </w:p>
        </w:tc>
        <w:tc>
          <w:tcPr>
            <w:tcW w:type="dxa" w:w="3264"/>
            <w:vAlign w:val="center"/>
          </w:tcPr>
          <w:p>
            <w:r>
              <w:t>TBD</w:t>
            </w:r>
          </w:p>
        </w:tc>
      </w:tr>
    </w:tbl>
    <w:p/>
    <w:p>
      <w:r>
        <w:t>The change shall not be classified as production-approved until actual results, exceptions and sign-off are documented.</w:t>
      </w:r>
    </w:p>
    <w:p>
      <w:pPr>
        <w:pStyle w:val="Heading1"/>
      </w:pPr>
      <w:r>
        <w:t>13. Test coverage and traceability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t>TEST ID</w:t>
            </w:r>
          </w:p>
        </w:tc>
        <w:tc>
          <w:tcPr>
            <w:tcW w:type="dxa" w:w="2448"/>
            <w:vAlign w:val="center"/>
          </w:tcPr>
          <w:p>
            <w:r>
              <w:t>AREA</w:t>
            </w:r>
          </w:p>
        </w:tc>
        <w:tc>
          <w:tcPr>
            <w:tcW w:type="dxa" w:w="2448"/>
            <w:vAlign w:val="center"/>
          </w:tcPr>
          <w:p>
            <w:r>
              <w:t>SCENARIO</w:t>
            </w:r>
          </w:p>
        </w:tc>
        <w:tc>
          <w:tcPr>
            <w:tcW w:type="dxa" w:w="2448"/>
            <w:vAlign w:val="center"/>
          </w:tcPr>
          <w:p>
            <w:r>
              <w:t>PASS CONDITION</w:t>
            </w:r>
          </w:p>
        </w:tc>
      </w:tr>
      <w:tr>
        <w:tc>
          <w:tcPr>
            <w:tcW w:type="dxa" w:w="2448"/>
            <w:vAlign w:val="center"/>
          </w:tcPr>
          <w:p>
            <w:r>
              <w:t>TS-01</w:t>
            </w:r>
          </w:p>
        </w:tc>
        <w:tc>
          <w:tcPr>
            <w:tcW w:type="dxa" w:w="2448"/>
            <w:vAlign w:val="center"/>
          </w:tcPr>
          <w:p>
            <w:r>
              <w:t>Integration</w:t>
            </w:r>
          </w:p>
        </w:tc>
        <w:tc>
          <w:tcPr>
            <w:tcW w:type="dxa" w:w="2448"/>
            <w:vAlign w:val="center"/>
          </w:tcPr>
          <w:p>
            <w:r>
              <w:t>Prompt wrapper import and rendering</w:t>
            </w:r>
          </w:p>
        </w:tc>
        <w:tc>
          <w:tcPr>
            <w:tcW w:type="dxa" w:w="2448"/>
            <w:vAlign w:val="center"/>
          </w:tcPr>
          <w:p>
            <w:r>
              <w:t>Valid prompt returned; intended guards inserted</w:t>
            </w:r>
          </w:p>
        </w:tc>
      </w:tr>
      <w:tr>
        <w:tc>
          <w:tcPr>
            <w:tcW w:type="dxa" w:w="2448"/>
            <w:vAlign w:val="center"/>
          </w:tcPr>
          <w:p>
            <w:r>
              <w:t>TS-02</w:t>
            </w:r>
          </w:p>
        </w:tc>
        <w:tc>
          <w:tcPr>
            <w:tcW w:type="dxa" w:w="2448"/>
            <w:vAlign w:val="center"/>
          </w:tcPr>
          <w:p>
            <w:r>
              <w:t>Connectivity</w:t>
            </w:r>
          </w:p>
        </w:tc>
        <w:tc>
          <w:tcPr>
            <w:tcW w:type="dxa" w:w="2448"/>
            <w:vAlign w:val="center"/>
          </w:tcPr>
          <w:p>
            <w:r>
              <w:t>NER/S2T inference request</w:t>
            </w:r>
          </w:p>
        </w:tc>
        <w:tc>
          <w:tcPr>
            <w:tcW w:type="dxa" w:w="2448"/>
            <w:vAlign w:val="center"/>
          </w:tcPr>
          <w:p>
            <w:r>
              <w:t>Successful request and response</w:t>
            </w:r>
          </w:p>
        </w:tc>
      </w:tr>
      <w:tr>
        <w:tc>
          <w:tcPr>
            <w:tcW w:type="dxa" w:w="2448"/>
            <w:vAlign w:val="center"/>
          </w:tcPr>
          <w:p>
            <w:r>
              <w:t>TS-03</w:t>
            </w:r>
          </w:p>
        </w:tc>
        <w:tc>
          <w:tcPr>
            <w:tcW w:type="dxa" w:w="2448"/>
            <w:vAlign w:val="center"/>
          </w:tcPr>
          <w:p>
            <w:r>
              <w:t>Core logic</w:t>
            </w:r>
          </w:p>
        </w:tc>
        <w:tc>
          <w:tcPr>
            <w:tcW w:type="dxa" w:w="2448"/>
            <w:vAlign w:val="center"/>
          </w:tcPr>
          <w:p>
            <w:r>
              <w:t>Normal input recognition/extraction</w:t>
            </w:r>
          </w:p>
        </w:tc>
        <w:tc>
          <w:tcPr>
            <w:tcW w:type="dxa" w:w="2448"/>
            <w:vAlign w:val="center"/>
          </w:tcPr>
          <w:p>
            <w:r>
              <w:t>Expected truth fields</w:t>
            </w:r>
          </w:p>
        </w:tc>
      </w:tr>
      <w:tr>
        <w:tc>
          <w:tcPr>
            <w:tcW w:type="dxa" w:w="2448"/>
            <w:vAlign w:val="center"/>
          </w:tcPr>
          <w:p>
            <w:r>
              <w:t>TS-04</w:t>
            </w:r>
          </w:p>
        </w:tc>
        <w:tc>
          <w:tcPr>
            <w:tcW w:type="dxa" w:w="2448"/>
            <w:vAlign w:val="center"/>
          </w:tcPr>
          <w:p>
            <w:r>
              <w:t>Exception</w:t>
            </w:r>
          </w:p>
        </w:tc>
        <w:tc>
          <w:tcPr>
            <w:tcW w:type="dxa" w:w="2448"/>
            <w:vAlign w:val="center"/>
          </w:tcPr>
          <w:p>
            <w:r>
              <w:t>Missing metadata / unsupported question</w:t>
            </w:r>
          </w:p>
        </w:tc>
        <w:tc>
          <w:tcPr>
            <w:tcW w:type="dxa" w:w="2448"/>
            <w:vAlign w:val="center"/>
          </w:tcPr>
          <w:p>
            <w:r>
              <w:t>Documented safe behavior</w:t>
            </w:r>
          </w:p>
        </w:tc>
      </w:tr>
      <w:tr>
        <w:tc>
          <w:tcPr>
            <w:tcW w:type="dxa" w:w="2448"/>
            <w:vAlign w:val="center"/>
          </w:tcPr>
          <w:p>
            <w:r>
              <w:t>TS-05</w:t>
            </w:r>
          </w:p>
        </w:tc>
        <w:tc>
          <w:tcPr>
            <w:tcW w:type="dxa" w:w="2448"/>
            <w:vAlign w:val="center"/>
          </w:tcPr>
          <w:p>
            <w:r>
              <w:t>Schema</w:t>
            </w:r>
          </w:p>
        </w:tc>
        <w:tc>
          <w:tcPr>
            <w:tcW w:type="dxa" w:w="2448"/>
            <w:vAlign w:val="center"/>
          </w:tcPr>
          <w:p>
            <w:r>
              <w:t>Output JSON and allowed keys</w:t>
            </w:r>
          </w:p>
        </w:tc>
        <w:tc>
          <w:tcPr>
            <w:tcW w:type="dxa" w:w="2448"/>
            <w:vAlign w:val="center"/>
          </w:tcPr>
          <w:p>
            <w:r>
              <w:t>Strict schema compliance</w:t>
            </w:r>
          </w:p>
        </w:tc>
      </w:tr>
      <w:tr>
        <w:tc>
          <w:tcPr>
            <w:tcW w:type="dxa" w:w="2448"/>
            <w:vAlign w:val="center"/>
          </w:tcPr>
          <w:p>
            <w:r>
              <w:t>TS-06</w:t>
            </w:r>
          </w:p>
        </w:tc>
        <w:tc>
          <w:tcPr>
            <w:tcW w:type="dxa" w:w="2448"/>
            <w:vAlign w:val="center"/>
          </w:tcPr>
          <w:p>
            <w:r>
              <w:t>Boundary</w:t>
            </w:r>
          </w:p>
        </w:tc>
        <w:tc>
          <w:tcPr>
            <w:tcW w:type="dxa" w:w="2448"/>
            <w:vAlign w:val="center"/>
          </w:tcPr>
          <w:p>
            <w:r>
              <w:t>Repeated name token before full name</w:t>
            </w:r>
          </w:p>
        </w:tc>
        <w:tc>
          <w:tcPr>
            <w:tcW w:type="dxa" w:w="2448"/>
            <w:vAlign w:val="center"/>
          </w:tcPr>
          <w:p>
            <w:r>
              <w:t>No extra token when trusted evidence exists</w:t>
            </w:r>
          </w:p>
        </w:tc>
      </w:tr>
      <w:tr>
        <w:tc>
          <w:tcPr>
            <w:tcW w:type="dxa" w:w="2448"/>
            <w:vAlign w:val="center"/>
          </w:tcPr>
          <w:p>
            <w:r>
              <w:t>TS-07</w:t>
            </w:r>
          </w:p>
        </w:tc>
        <w:tc>
          <w:tcPr>
            <w:tcW w:type="dxa" w:w="2448"/>
            <w:vAlign w:val="center"/>
          </w:tcPr>
          <w:p>
            <w:r>
              <w:t>Regression</w:t>
            </w:r>
          </w:p>
        </w:tc>
        <w:tc>
          <w:tcPr>
            <w:tcW w:type="dxa" w:w="2448"/>
            <w:vAlign w:val="center"/>
          </w:tcPr>
          <w:p>
            <w:r>
              <w:t>Valid four-/five-word name</w:t>
            </w:r>
          </w:p>
        </w:tc>
        <w:tc>
          <w:tcPr>
            <w:tcW w:type="dxa" w:w="2448"/>
            <w:vAlign w:val="center"/>
          </w:tcPr>
          <w:p>
            <w:r>
              <w:t>No unintended truncation</w:t>
            </w:r>
          </w:p>
        </w:tc>
      </w:tr>
      <w:tr>
        <w:tc>
          <w:tcPr>
            <w:tcW w:type="dxa" w:w="2448"/>
            <w:vAlign w:val="center"/>
          </w:tcPr>
          <w:p>
            <w:r>
              <w:t>TS-08</w:t>
            </w:r>
          </w:p>
        </w:tc>
        <w:tc>
          <w:tcPr>
            <w:tcW w:type="dxa" w:w="2448"/>
            <w:vAlign w:val="center"/>
          </w:tcPr>
          <w:p>
            <w:r>
              <w:t>Money</w:t>
            </w:r>
          </w:p>
        </w:tc>
        <w:tc>
          <w:tcPr>
            <w:tcW w:type="dxa" w:w="2448"/>
            <w:vAlign w:val="center"/>
          </w:tcPr>
          <w:p>
            <w:r>
              <w:t>280 million VND</w:t>
            </w:r>
          </w:p>
        </w:tc>
        <w:tc>
          <w:tcPr>
            <w:tcW w:type="dxa" w:w="2448"/>
            <w:vAlign w:val="center"/>
          </w:tcPr>
          <w:p>
            <w:r>
              <w:t>280000000 as string</w:t>
            </w:r>
          </w:p>
        </w:tc>
      </w:tr>
      <w:tr>
        <w:tc>
          <w:tcPr>
            <w:tcW w:type="dxa" w:w="2448"/>
            <w:vAlign w:val="center"/>
          </w:tcPr>
          <w:p>
            <w:r>
              <w:t>TS-09</w:t>
            </w:r>
          </w:p>
        </w:tc>
        <w:tc>
          <w:tcPr>
            <w:tcW w:type="dxa" w:w="2448"/>
            <w:vAlign w:val="center"/>
          </w:tcPr>
          <w:p>
            <w:r>
              <w:t>Money</w:t>
            </w:r>
          </w:p>
        </w:tc>
        <w:tc>
          <w:tcPr>
            <w:tcW w:type="dxa" w:w="2448"/>
            <w:vAlign w:val="center"/>
          </w:tcPr>
          <w:p>
            <w:r>
              <w:t>10 million 400 VND</w:t>
            </w:r>
          </w:p>
        </w:tc>
        <w:tc>
          <w:tcPr>
            <w:tcW w:type="dxa" w:w="2448"/>
            <w:vAlign w:val="center"/>
          </w:tcPr>
          <w:p>
            <w:r>
              <w:t>10000400; no inferred thousand</w:t>
            </w:r>
          </w:p>
        </w:tc>
      </w:tr>
      <w:tr>
        <w:tc>
          <w:tcPr>
            <w:tcW w:type="dxa" w:w="2448"/>
            <w:vAlign w:val="center"/>
          </w:tcPr>
          <w:p>
            <w:r>
              <w:t>TS-10</w:t>
            </w:r>
          </w:p>
        </w:tc>
        <w:tc>
          <w:tcPr>
            <w:tcW w:type="dxa" w:w="2448"/>
            <w:vAlign w:val="center"/>
          </w:tcPr>
          <w:p>
            <w:r>
              <w:t>Term</w:t>
            </w:r>
          </w:p>
        </w:tc>
        <w:tc>
          <w:tcPr>
            <w:tcW w:type="dxa" w:w="2448"/>
            <w:vAlign w:val="center"/>
          </w:tcPr>
          <w:p>
            <w:r>
              <w:t>20 years</w:t>
            </w:r>
          </w:p>
        </w:tc>
        <w:tc>
          <w:tcPr>
            <w:tcW w:type="dxa" w:w="2448"/>
            <w:vAlign w:val="center"/>
          </w:tcPr>
          <w:p>
            <w:r>
              <w:t>20 as string</w:t>
            </w:r>
          </w:p>
        </w:tc>
      </w:tr>
      <w:tr>
        <w:tc>
          <w:tcPr>
            <w:tcW w:type="dxa" w:w="2448"/>
            <w:vAlign w:val="center"/>
          </w:tcPr>
          <w:p>
            <w:r>
              <w:t>TS-11</w:t>
            </w:r>
          </w:p>
        </w:tc>
        <w:tc>
          <w:tcPr>
            <w:tcW w:type="dxa" w:w="2448"/>
            <w:vAlign w:val="center"/>
          </w:tcPr>
          <w:p>
            <w:r>
              <w:t>Uncertainty</w:t>
            </w:r>
          </w:p>
        </w:tc>
        <w:tc>
          <w:tcPr>
            <w:tcW w:type="dxa" w:w="2448"/>
            <w:vAlign w:val="center"/>
          </w:tcPr>
          <w:p>
            <w:r>
              <w:t>Ambiguous or missing value</w:t>
            </w:r>
          </w:p>
        </w:tc>
        <w:tc>
          <w:tcPr>
            <w:tcW w:type="dxa" w:w="2448"/>
            <w:vAlign w:val="center"/>
          </w:tcPr>
          <w:p>
            <w:r>
              <w:t>No hallucination</w:t>
            </w:r>
          </w:p>
        </w:tc>
      </w:tr>
      <w:tr>
        <w:tc>
          <w:tcPr>
            <w:tcW w:type="dxa" w:w="2448"/>
            <w:vAlign w:val="center"/>
          </w:tcPr>
          <w:p>
            <w:r>
              <w:t>TS-12</w:t>
            </w:r>
          </w:p>
        </w:tc>
        <w:tc>
          <w:tcPr>
            <w:tcW w:type="dxa" w:w="2448"/>
            <w:vAlign w:val="center"/>
          </w:tcPr>
          <w:p>
            <w:r>
              <w:t>Stability</w:t>
            </w:r>
          </w:p>
        </w:tc>
        <w:tc>
          <w:tcPr>
            <w:tcW w:type="dxa" w:w="2448"/>
            <w:vAlign w:val="center"/>
          </w:tcPr>
          <w:p>
            <w:r>
              <w:t>Repeated same request</w:t>
            </w:r>
          </w:p>
        </w:tc>
        <w:tc>
          <w:tcPr>
            <w:tcW w:type="dxa" w:w="2448"/>
            <w:vAlign w:val="center"/>
          </w:tcPr>
          <w:p>
            <w:r>
              <w:t>Variability measured and explained</w:t>
            </w:r>
          </w:p>
        </w:tc>
      </w:tr>
      <w:tr>
        <w:tc>
          <w:tcPr>
            <w:tcW w:type="dxa" w:w="2448"/>
            <w:vAlign w:val="center"/>
          </w:tcPr>
          <w:p>
            <w:r>
              <w:t>TS-13</w:t>
            </w:r>
          </w:p>
        </w:tc>
        <w:tc>
          <w:tcPr>
            <w:tcW w:type="dxa" w:w="2448"/>
            <w:vAlign w:val="center"/>
          </w:tcPr>
          <w:p>
            <w:r>
              <w:t>Logging</w:t>
            </w:r>
          </w:p>
        </w:tc>
        <w:tc>
          <w:tcPr>
            <w:tcW w:type="dxa" w:w="2448"/>
            <w:vAlign w:val="center"/>
          </w:tcPr>
          <w:p>
            <w:r>
              <w:t>Invocation and errors</w:t>
            </w:r>
          </w:p>
        </w:tc>
        <w:tc>
          <w:tcPr>
            <w:tcW w:type="dxa" w:w="2448"/>
            <w:vAlign w:val="center"/>
          </w:tcPr>
          <w:p>
            <w:r>
              <w:t>Trace without sensitive leakage</w:t>
            </w:r>
          </w:p>
        </w:tc>
      </w:tr>
      <w:tr>
        <w:tc>
          <w:tcPr>
            <w:tcW w:type="dxa" w:w="2448"/>
            <w:vAlign w:val="center"/>
          </w:tcPr>
          <w:p>
            <w:r>
              <w:t>TS-14</w:t>
            </w:r>
          </w:p>
        </w:tc>
        <w:tc>
          <w:tcPr>
            <w:tcW w:type="dxa" w:w="2448"/>
            <w:vAlign w:val="center"/>
          </w:tcPr>
          <w:p>
            <w:r>
              <w:t>Release</w:t>
            </w:r>
          </w:p>
        </w:tc>
        <w:tc>
          <w:tcPr>
            <w:tcW w:type="dxa" w:w="2448"/>
            <w:vAlign w:val="center"/>
          </w:tcPr>
          <w:p>
            <w:r>
              <w:t>Rollback smoke test</w:t>
            </w:r>
          </w:p>
        </w:tc>
        <w:tc>
          <w:tcPr>
            <w:tcW w:type="dxa" w:w="2448"/>
            <w:vAlign w:val="center"/>
          </w:tcPr>
          <w:p>
            <w:r>
              <w:t>Former approved behavior restored</w:t>
            </w:r>
          </w:p>
        </w:tc>
      </w:tr>
    </w:tbl>
    <w:p/>
    <w:p>
      <w:r>
        <w:t>Coverage note. These are proposed executable test definitions, not a claim that every test already passed.</w:t>
      </w:r>
    </w:p>
    <w:p>
      <w:pPr>
        <w:pStyle w:val="Heading1"/>
      </w:pPr>
      <w:r>
        <w:t>14. Deployment and rollback</w:t>
      </w:r>
    </w:p>
    <w:p>
      <w:pPr>
        <w:pStyle w:val="Heading2"/>
      </w:pPr>
      <w:r>
        <w:t>14.1 Recommended release sequence</w:t>
      </w:r>
    </w:p>
    <w:p>
      <w:pPr>
        <w:pStyle w:val="ListNumber"/>
      </w:pPr>
      <w:r>
        <w:t>Preserve original source and take version-controlled backup.</w:t>
      </w:r>
    </w:p>
    <w:p>
      <w:pPr>
        <w:pStyle w:val="ListNumber"/>
      </w:pPr>
      <w:r>
        <w:t>Review code diff; compile modules; verify import paths and rendered prompt markers.</w:t>
      </w:r>
    </w:p>
    <w:p>
      <w:pPr>
        <w:pStyle w:val="ListNumber"/>
      </w:pPr>
      <w:r>
        <w:t>Record model configuration and environment variables.</w:t>
      </w:r>
    </w:p>
    <w:p>
      <w:pPr>
        <w:pStyle w:val="ListNumber"/>
      </w:pPr>
      <w:r>
        <w:t>Run unit, integration, regression, repeated-run and performance checks in test/UAT.</w:t>
      </w:r>
    </w:p>
    <w:p>
      <w:pPr>
        <w:pStyle w:val="ListNumber"/>
      </w:pPr>
      <w:r>
        <w:t>Obtain technical and business approvals.</w:t>
      </w:r>
    </w:p>
    <w:p>
      <w:pPr>
        <w:pStyle w:val="ListNumber"/>
      </w:pPr>
      <w:r>
        <w:t>Promote via the project’s verified deployment process; restart affected processes.</w:t>
      </w:r>
    </w:p>
    <w:p>
      <w:pPr>
        <w:pStyle w:val="ListNumber"/>
      </w:pPr>
      <w:r>
        <w:t>Run post-deployment smoke tests and monitor output errors.</w:t>
      </w:r>
    </w:p>
    <w:p>
      <w:pPr>
        <w:pStyle w:val="Heading2"/>
      </w:pPr>
      <w:r>
        <w:t>14.2 Rollback</w:t>
      </w:r>
    </w:p>
    <w:p>
      <w:r>
        <w:t>Restore the last approved wrapper/guards or deployment artifact, restart affected services, and verify output against known-good smoke tests. Because the original modules are retained, rollback can be designed without rewriting the dictionary; actual procedure must be approved by the deployment owner.</w:t>
      </w:r>
    </w:p>
    <w:p>
      <w:pPr>
        <w:pStyle w:val="Heading2"/>
      </w:pPr>
      <w:r>
        <w:t>14.3 Release gate</w:t>
      </w:r>
    </w:p>
    <w:p>
      <w:r>
        <w:t>GO only when compatibility, test results, risk acceptance, deploy plan and rollback verification are recorded. Current release decision: PENDING.</w:t>
      </w:r>
    </w:p>
    <w:p>
      <w:pPr>
        <w:pStyle w:val="Heading1"/>
      </w:pPr>
      <w:r>
        <w:t>15. Stakeholder communication plan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ROLE</w:t>
            </w:r>
          </w:p>
        </w:tc>
        <w:tc>
          <w:tcPr>
            <w:tcW w:type="dxa" w:w="3264"/>
            <w:vAlign w:val="center"/>
          </w:tcPr>
          <w:p>
            <w:r>
              <w:t>RESPONSIBILITY</w:t>
            </w:r>
          </w:p>
        </w:tc>
        <w:tc>
          <w:tcPr>
            <w:tcW w:type="dxa" w:w="3264"/>
            <w:vAlign w:val="center"/>
          </w:tcPr>
          <w:p>
            <w:r>
              <w:t>EVIDENCE</w:t>
            </w:r>
          </w:p>
        </w:tc>
      </w:tr>
      <w:tr>
        <w:tc>
          <w:tcPr>
            <w:tcW w:type="dxa" w:w="3264"/>
            <w:vAlign w:val="center"/>
          </w:tcPr>
          <w:p>
            <w:r>
              <w:t>AI/ML engineer</w:t>
            </w:r>
          </w:p>
        </w:tc>
        <w:tc>
          <w:tcPr>
            <w:tcW w:type="dxa" w:w="3264"/>
            <w:vAlign w:val="center"/>
          </w:tcPr>
          <w:p>
            <w:r>
              <w:t>Prompt change, diagnosis, evaluation</w:t>
            </w:r>
          </w:p>
        </w:tc>
        <w:tc>
          <w:tcPr>
            <w:tcW w:type="dxa" w:w="3264"/>
            <w:vAlign w:val="center"/>
          </w:tcPr>
          <w:p>
            <w:r>
              <w:t>Diff + benchmark</w:t>
            </w:r>
          </w:p>
        </w:tc>
      </w:tr>
      <w:tr>
        <w:tc>
          <w:tcPr>
            <w:tcW w:type="dxa" w:w="3264"/>
            <w:vAlign w:val="center"/>
          </w:tcPr>
          <w:p>
            <w:r>
              <w:t>Backend developer</w:t>
            </w:r>
          </w:p>
        </w:tc>
        <w:tc>
          <w:tcPr>
            <w:tcW w:type="dxa" w:w="3264"/>
            <w:vAlign w:val="center"/>
          </w:tcPr>
          <w:p>
            <w:r>
              <w:t>Caller and response integration</w:t>
            </w:r>
          </w:p>
        </w:tc>
        <w:tc>
          <w:tcPr>
            <w:tcW w:type="dxa" w:w="3264"/>
            <w:vAlign w:val="center"/>
          </w:tcPr>
          <w:p>
            <w:r>
              <w:t>API / runtime tests</w:t>
            </w:r>
          </w:p>
        </w:tc>
      </w:tr>
      <w:tr>
        <w:tc>
          <w:tcPr>
            <w:tcW w:type="dxa" w:w="3264"/>
            <w:vAlign w:val="center"/>
          </w:tcPr>
          <w:p>
            <w:r>
              <w:t>QA</w:t>
            </w:r>
          </w:p>
        </w:tc>
        <w:tc>
          <w:tcPr>
            <w:tcW w:type="dxa" w:w="3264"/>
            <w:vAlign w:val="center"/>
          </w:tcPr>
          <w:p>
            <w:r>
              <w:t>Test suite and defect tracking</w:t>
            </w:r>
          </w:p>
        </w:tc>
        <w:tc>
          <w:tcPr>
            <w:tcW w:type="dxa" w:w="3264"/>
            <w:vAlign w:val="center"/>
          </w:tcPr>
          <w:p>
            <w:r>
              <w:t>Execution results</w:t>
            </w:r>
          </w:p>
        </w:tc>
      </w:tr>
      <w:tr>
        <w:tc>
          <w:tcPr>
            <w:tcW w:type="dxa" w:w="3264"/>
            <w:vAlign w:val="center"/>
          </w:tcPr>
          <w:p>
            <w:r>
              <w:t>Business operations</w:t>
            </w:r>
          </w:p>
        </w:tc>
        <w:tc>
          <w:tcPr>
            <w:tcW w:type="dxa" w:w="3264"/>
            <w:vAlign w:val="center"/>
          </w:tcPr>
          <w:p>
            <w:r>
              <w:t>Entity truth and business validation</w:t>
            </w:r>
          </w:p>
        </w:tc>
        <w:tc>
          <w:tcPr>
            <w:tcW w:type="dxa" w:w="3264"/>
            <w:vAlign w:val="center"/>
          </w:tcPr>
          <w:p>
            <w:r>
              <w:t>UAT approval</w:t>
            </w:r>
          </w:p>
        </w:tc>
      </w:tr>
      <w:tr>
        <w:tc>
          <w:tcPr>
            <w:tcW w:type="dxa" w:w="3264"/>
            <w:vAlign w:val="center"/>
          </w:tcPr>
          <w:p>
            <w:r>
              <w:t>Technical lead</w:t>
            </w:r>
          </w:p>
        </w:tc>
        <w:tc>
          <w:tcPr>
            <w:tcW w:type="dxa" w:w="3264"/>
            <w:vAlign w:val="center"/>
          </w:tcPr>
          <w:p>
            <w:r>
              <w:t>Architecture and quality review</w:t>
            </w:r>
          </w:p>
        </w:tc>
        <w:tc>
          <w:tcPr>
            <w:tcW w:type="dxa" w:w="3264"/>
            <w:vAlign w:val="center"/>
          </w:tcPr>
          <w:p>
            <w:r>
              <w:t>Technical approval</w:t>
            </w:r>
          </w:p>
        </w:tc>
      </w:tr>
      <w:tr>
        <w:tc>
          <w:tcPr>
            <w:tcW w:type="dxa" w:w="3264"/>
            <w:vAlign w:val="center"/>
          </w:tcPr>
          <w:p>
            <w:r>
              <w:t>DevOps / release owner</w:t>
            </w:r>
          </w:p>
        </w:tc>
        <w:tc>
          <w:tcPr>
            <w:tcW w:type="dxa" w:w="3264"/>
            <w:vAlign w:val="center"/>
          </w:tcPr>
          <w:p>
            <w:r>
              <w:t>Deployment monitoring and rollback</w:t>
            </w:r>
          </w:p>
        </w:tc>
        <w:tc>
          <w:tcPr>
            <w:tcW w:type="dxa" w:w="3264"/>
            <w:vAlign w:val="center"/>
          </w:tcPr>
          <w:p>
            <w:r>
              <w:t>Deployment records</w:t>
            </w:r>
          </w:p>
        </w:tc>
      </w:tr>
    </w:tbl>
    <w:p/>
    <w:p>
      <w:r>
        <w:t>Internal recipients and communication cadence are TBD. No external notice requirement has been established from the available evidence.</w:t>
      </w:r>
    </w:p>
    <w:p>
      <w:pPr>
        <w:pStyle w:val="Heading1"/>
      </w:pPr>
      <w:r>
        <w:t>16. Appendices and open decisions</w:t>
      </w:r>
    </w:p>
    <w:p>
      <w:pPr>
        <w:pStyle w:val="Heading2"/>
      </w:pPr>
      <w:r>
        <w:t>16.1 Known person-name failure patterns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PATTERN</w:t>
            </w:r>
          </w:p>
        </w:tc>
        <w:tc>
          <w:tcPr>
            <w:tcW w:type="dxa" w:w="3264"/>
            <w:vAlign w:val="center"/>
          </w:tcPr>
          <w:p>
            <w:r>
              <w:t>ILLUSTRATION</w:t>
            </w:r>
          </w:p>
        </w:tc>
        <w:tc>
          <w:tcPr>
            <w:tcW w:type="dxa" w:w="3264"/>
            <w:vAlign w:val="center"/>
          </w:tcPr>
          <w:p>
            <w:r>
              <w:t>MITIGATION</w:t>
            </w:r>
          </w:p>
        </w:tc>
      </w:tr>
      <w:tr>
        <w:tc>
          <w:tcPr>
            <w:tcW w:type="dxa" w:w="3264"/>
            <w:vAlign w:val="center"/>
          </w:tcPr>
          <w:p>
            <w:r>
              <w:t>Repeated final-name call-out</w:t>
            </w:r>
          </w:p>
        </w:tc>
        <w:tc>
          <w:tcPr>
            <w:tcW w:type="dxa" w:w="3264"/>
            <w:vAlign w:val="center"/>
          </w:tcPr>
          <w:p>
            <w:r>
              <w:t>Khánh Nguyễn Quốc Khánh</w:t>
            </w:r>
          </w:p>
        </w:tc>
        <w:tc>
          <w:tcPr>
            <w:tcW w:type="dxa" w:w="3264"/>
            <w:vAlign w:val="center"/>
          </w:tcPr>
          <w:p>
            <w:r>
              <w:t>Trustworthy full-name hint + span evidence</w:t>
            </w:r>
          </w:p>
        </w:tc>
      </w:tr>
      <w:tr>
        <w:tc>
          <w:tcPr>
            <w:tcW w:type="dxa" w:w="3264"/>
            <w:vAlign w:val="center"/>
          </w:tcPr>
          <w:p>
            <w:r>
              <w:t>Repeated leading given-name token</w:t>
            </w:r>
          </w:p>
        </w:tc>
        <w:tc>
          <w:tcPr>
            <w:tcW w:type="dxa" w:w="3264"/>
            <w:vAlign w:val="center"/>
          </w:tcPr>
          <w:p>
            <w:r>
              <w:t>Thủy Nguyễn Thị Thu Thủy</w:t>
            </w:r>
          </w:p>
        </w:tc>
        <w:tc>
          <w:tcPr>
            <w:tcW w:type="dxa" w:w="3264"/>
            <w:vAlign w:val="center"/>
          </w:tcPr>
          <w:p>
            <w:r>
              <w:t>Reject unsupported leading token when disfluency is established</w:t>
            </w:r>
          </w:p>
        </w:tc>
      </w:tr>
      <w:tr>
        <w:tc>
          <w:tcPr>
            <w:tcW w:type="dxa" w:w="3264"/>
            <w:vAlign w:val="center"/>
          </w:tcPr>
          <w:p>
            <w:r>
              <w:t>Genuine longer names</w:t>
            </w:r>
          </w:p>
        </w:tc>
        <w:tc>
          <w:tcPr>
            <w:tcW w:type="dxa" w:w="3264"/>
            <w:vAlign w:val="center"/>
          </w:tcPr>
          <w:p>
            <w:r>
              <w:t>Four or five meaningful components</w:t>
            </w:r>
          </w:p>
        </w:tc>
        <w:tc>
          <w:tcPr>
            <w:tcW w:type="dxa" w:w="3264"/>
            <w:vAlign w:val="center"/>
          </w:tcPr>
          <w:p>
            <w:r>
              <w:t>Do not trim solely by word count</w:t>
            </w:r>
          </w:p>
        </w:tc>
      </w:tr>
    </w:tbl>
    <w:p/>
    <w:p>
      <w:pPr>
        <w:pStyle w:val="Heading2"/>
      </w:pPr>
      <w:r>
        <w:t>16.2 Change-to-test traceability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REQUIREMENT</w:t>
            </w:r>
          </w:p>
        </w:tc>
        <w:tc>
          <w:tcPr>
            <w:tcW w:type="dxa" w:w="4896"/>
            <w:vAlign w:val="center"/>
          </w:tcPr>
          <w:p>
            <w:r>
              <w:t>PRIMARY TEST</w:t>
            </w:r>
          </w:p>
        </w:tc>
      </w:tr>
      <w:tr>
        <w:tc>
          <w:tcPr>
            <w:tcW w:type="dxa" w:w="4896"/>
            <w:vAlign w:val="center"/>
          </w:tcPr>
          <w:p>
            <w:r>
              <w:t>No invented money-unit magnitude</w:t>
            </w:r>
          </w:p>
        </w:tc>
        <w:tc>
          <w:tcPr>
            <w:tcW w:type="dxa" w:w="4896"/>
            <w:vAlign w:val="center"/>
          </w:tcPr>
          <w:p>
            <w:r>
              <w:t>TS-09</w:t>
            </w:r>
          </w:p>
        </w:tc>
      </w:tr>
      <w:tr>
        <w:tc>
          <w:tcPr>
            <w:tcW w:type="dxa" w:w="4896"/>
            <w:vAlign w:val="center"/>
          </w:tcPr>
          <w:p>
            <w:r>
              <w:t>Name Boundary correction</w:t>
            </w:r>
          </w:p>
        </w:tc>
        <w:tc>
          <w:tcPr>
            <w:tcW w:type="dxa" w:w="4896"/>
            <w:vAlign w:val="center"/>
          </w:tcPr>
          <w:p>
            <w:r>
              <w:t>TS-06</w:t>
            </w:r>
          </w:p>
        </w:tc>
      </w:tr>
      <w:tr>
        <w:tc>
          <w:tcPr>
            <w:tcW w:type="dxa" w:w="4896"/>
            <w:vAlign w:val="center"/>
          </w:tcPr>
          <w:p>
            <w:r>
              <w:t>Do not truncate valid name</w:t>
            </w:r>
          </w:p>
        </w:tc>
        <w:tc>
          <w:tcPr>
            <w:tcW w:type="dxa" w:w="4896"/>
            <w:vAlign w:val="center"/>
          </w:tcPr>
          <w:p>
            <w:r>
              <w:t>TS-07</w:t>
            </w:r>
          </w:p>
        </w:tc>
      </w:tr>
      <w:tr>
        <w:tc>
          <w:tcPr>
            <w:tcW w:type="dxa" w:w="4896"/>
            <w:vAlign w:val="center"/>
          </w:tcPr>
          <w:p>
            <w:r>
              <w:t>Digit-only money</w:t>
            </w:r>
          </w:p>
        </w:tc>
        <w:tc>
          <w:tcPr>
            <w:tcW w:type="dxa" w:w="4896"/>
            <w:vAlign w:val="center"/>
          </w:tcPr>
          <w:p>
            <w:r>
              <w:t>TS-08 / TS-09</w:t>
            </w:r>
          </w:p>
        </w:tc>
      </w:tr>
      <w:tr>
        <w:tc>
          <w:tcPr>
            <w:tcW w:type="dxa" w:w="4896"/>
            <w:vAlign w:val="center"/>
          </w:tcPr>
          <w:p>
            <w:r>
              <w:t>Digit-only term</w:t>
            </w:r>
          </w:p>
        </w:tc>
        <w:tc>
          <w:tcPr>
            <w:tcW w:type="dxa" w:w="4896"/>
            <w:vAlign w:val="center"/>
          </w:tcPr>
          <w:p>
            <w:r>
              <w:t>TS-10</w:t>
            </w:r>
          </w:p>
        </w:tc>
      </w:tr>
      <w:tr>
        <w:tc>
          <w:tcPr>
            <w:tcW w:type="dxa" w:w="4896"/>
            <w:vAlign w:val="center"/>
          </w:tcPr>
          <w:p>
            <w:r>
              <w:t>Strict JSON keys</w:t>
            </w:r>
          </w:p>
        </w:tc>
        <w:tc>
          <w:tcPr>
            <w:tcW w:type="dxa" w:w="4896"/>
            <w:vAlign w:val="center"/>
          </w:tcPr>
          <w:p>
            <w:r>
              <w:t>TS-05</w:t>
            </w:r>
          </w:p>
        </w:tc>
      </w:tr>
      <w:tr>
        <w:tc>
          <w:tcPr>
            <w:tcW w:type="dxa" w:w="4896"/>
            <w:vAlign w:val="center"/>
          </w:tcPr>
          <w:p>
            <w:r>
              <w:t>Rollback readiness</w:t>
            </w:r>
          </w:p>
        </w:tc>
        <w:tc>
          <w:tcPr>
            <w:tcW w:type="dxa" w:w="4896"/>
            <w:vAlign w:val="center"/>
          </w:tcPr>
          <w:p>
            <w:r>
              <w:t>TS-14</w:t>
            </w:r>
          </w:p>
        </w:tc>
      </w:tr>
    </w:tbl>
    <w:p/>
    <w:p>
      <w:pPr>
        <w:pStyle w:val="Heading2"/>
      </w:pPr>
      <w:r>
        <w:t>16.3 Risks and mitigations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RISK</w:t>
            </w:r>
          </w:p>
        </w:tc>
        <w:tc>
          <w:tcPr>
            <w:tcW w:type="dxa" w:w="3264"/>
            <w:vAlign w:val="center"/>
          </w:tcPr>
          <w:p>
            <w:r>
              <w:t>IMPACT</w:t>
            </w:r>
          </w:p>
        </w:tc>
        <w:tc>
          <w:tcPr>
            <w:tcW w:type="dxa" w:w="3264"/>
            <w:vAlign w:val="center"/>
          </w:tcPr>
          <w:p>
            <w:r>
              <w:t>MITIGATION</w:t>
            </w:r>
          </w:p>
        </w:tc>
      </w:tr>
      <w:tr>
        <w:tc>
          <w:tcPr>
            <w:tcW w:type="dxa" w:w="3264"/>
            <w:vAlign w:val="center"/>
          </w:tcPr>
          <w:p>
            <w:r>
              <w:t>Original anchor rule conflicts with hint-based boundary</w:t>
            </w:r>
          </w:p>
        </w:tc>
        <w:tc>
          <w:tcPr>
            <w:tcW w:type="dxa" w:w="3264"/>
            <w:vAlign w:val="center"/>
          </w:tcPr>
          <w:p>
            <w:r>
              <w:t>Systematic extra name tokens</w:t>
            </w:r>
          </w:p>
        </w:tc>
        <w:tc>
          <w:tcPr>
            <w:tcW w:type="dxa" w:w="3264"/>
            <w:vAlign w:val="center"/>
          </w:tcPr>
          <w:p>
            <w:r>
              <w:t>Explicit precedence and evidence-based span selection</w:t>
            </w:r>
          </w:p>
        </w:tc>
      </w:tr>
      <w:tr>
        <w:tc>
          <w:tcPr>
            <w:tcW w:type="dxa" w:w="3264"/>
            <w:vAlign w:val="center"/>
          </w:tcPr>
          <w:p>
            <w:r>
              <w:t>Stale/incorrect hint</w:t>
            </w:r>
          </w:p>
        </w:tc>
        <w:tc>
          <w:tcPr>
            <w:tcW w:type="dxa" w:w="3264"/>
            <w:vAlign w:val="center"/>
          </w:tcPr>
          <w:p>
            <w:r>
              <w:t>False positive name correction</w:t>
            </w:r>
          </w:p>
        </w:tc>
        <w:tc>
          <w:tcPr>
            <w:tcW w:type="dxa" w:w="3264"/>
            <w:vAlign w:val="center"/>
          </w:tcPr>
          <w:p>
            <w:r>
              <w:t>Validate hint provenance and matching</w:t>
            </w:r>
          </w:p>
        </w:tc>
      </w:tr>
      <w:tr>
        <w:tc>
          <w:tcPr>
            <w:tcW w:type="dxa" w:w="3264"/>
            <w:vAlign w:val="center"/>
          </w:tcPr>
          <w:p>
            <w:r>
              <w:t>Longer prompt</w:t>
            </w:r>
          </w:p>
        </w:tc>
        <w:tc>
          <w:tcPr>
            <w:tcW w:type="dxa" w:w="3264"/>
            <w:vAlign w:val="center"/>
          </w:tcPr>
          <w:p>
            <w:r>
              <w:t>Latency/token increase</w:t>
            </w:r>
          </w:p>
        </w:tc>
        <w:tc>
          <w:tcPr>
            <w:tcW w:type="dxa" w:w="3264"/>
            <w:vAlign w:val="center"/>
          </w:tcPr>
          <w:p>
            <w:r>
              <w:t>Benchmark P50/P95 and costs</w:t>
            </w:r>
          </w:p>
        </w:tc>
      </w:tr>
      <w:tr>
        <w:tc>
          <w:tcPr>
            <w:tcW w:type="dxa" w:w="3264"/>
            <w:vAlign w:val="center"/>
          </w:tcPr>
          <w:p>
            <w:r>
              <w:t>Different workers load different files</w:t>
            </w:r>
          </w:p>
        </w:tc>
        <w:tc>
          <w:tcPr>
            <w:tcW w:type="dxa" w:w="3264"/>
            <w:vAlign w:val="center"/>
          </w:tcPr>
          <w:p>
            <w:r>
              <w:t>Inconsistent results</w:t>
            </w:r>
          </w:p>
        </w:tc>
        <w:tc>
          <w:tcPr>
            <w:tcW w:type="dxa" w:w="3264"/>
            <w:vAlign w:val="center"/>
          </w:tcPr>
          <w:p>
            <w:r>
              <w:t>Log prompt revision, restart and verify routing</w:t>
            </w:r>
          </w:p>
        </w:tc>
      </w:tr>
      <w:tr>
        <w:tc>
          <w:tcPr>
            <w:tcW w:type="dxa" w:w="3264"/>
            <w:vAlign w:val="center"/>
          </w:tcPr>
          <w:p>
            <w:r>
              <w:t>S2T error propagates to NER</w:t>
            </w:r>
          </w:p>
        </w:tc>
        <w:tc>
          <w:tcPr>
            <w:tcW w:type="dxa" w:w="3264"/>
            <w:vAlign w:val="center"/>
          </w:tcPr>
          <w:p>
            <w:r>
              <w:t>Wrong entity despite correct NER policy</w:t>
            </w:r>
          </w:p>
        </w:tc>
        <w:tc>
          <w:tcPr>
            <w:tcW w:type="dxa" w:w="3264"/>
            <w:vAlign w:val="center"/>
          </w:tcPr>
          <w:p>
            <w:r>
              <w:t>Stage-specific RCA and error metrics</w:t>
            </w:r>
          </w:p>
        </w:tc>
      </w:tr>
      <w:tr>
        <w:tc>
          <w:tcPr>
            <w:tcW w:type="dxa" w:w="3264"/>
            <w:vAlign w:val="center"/>
          </w:tcPr>
          <w:p>
            <w:r>
              <w:t>Accidental personal data leakage</w:t>
            </w:r>
          </w:p>
        </w:tc>
        <w:tc>
          <w:tcPr>
            <w:tcW w:type="dxa" w:w="3264"/>
            <w:vAlign w:val="center"/>
          </w:tcPr>
          <w:p>
            <w:r>
              <w:t>Privacy and compliance risk</w:t>
            </w:r>
          </w:p>
        </w:tc>
        <w:tc>
          <w:tcPr>
            <w:tcW w:type="dxa" w:w="3264"/>
            <w:vAlign w:val="center"/>
          </w:tcPr>
          <w:p>
            <w:r>
              <w:t>Redact logs and control test data access</w:t>
            </w:r>
          </w:p>
        </w:tc>
      </w:tr>
    </w:tbl>
    <w:p/>
    <w:p>
      <w:pPr>
        <w:pStyle w:val="Heading2"/>
      </w:pPr>
      <w:r>
        <w:t>16.4 Open decisions and evidence checklist</w:t>
      </w:r>
    </w:p>
    <w:p>
      <w:pPr>
        <w:pStyle w:val="ListBullet"/>
      </w:pPr>
      <w:r>
        <w:t>Confirm production model/API, decoding temperature and worker topology.</w:t>
      </w:r>
    </w:p>
    <w:p>
      <w:pPr>
        <w:pStyle w:val="ListBullet"/>
      </w:pPr>
      <w:r>
        <w:t>Capture exact final prompt at the inference-call boundary, not only inside get_prompt().</w:t>
      </w:r>
    </w:p>
    <w:p>
      <w:pPr>
        <w:pStyle w:val="ListBullet"/>
      </w:pPr>
      <w:r>
        <w:t>Review raw NER response versus parsed/final entity output for the known failure case.</w:t>
      </w:r>
    </w:p>
    <w:p>
      <w:pPr>
        <w:pStyle w:val="ListBullet"/>
      </w:pPr>
      <w:r>
        <w:t>Decide whether deterministic Python validation is in scope for the current release.</w:t>
      </w:r>
    </w:p>
    <w:p>
      <w:pPr>
        <w:pStyle w:val="ListBullet"/>
      </w:pPr>
      <w:r>
        <w:t>Confirm whether PREMIUMTERM has a documented unit interpretation when only digits are emitted.</w:t>
      </w:r>
    </w:p>
    <w:p>
      <w:pPr>
        <w:pStyle w:val="ListBullet"/>
      </w:pPr>
      <w:r>
        <w:t>Supply before/after evaluation metrics, test execution logs and UAT sign-off.</w:t>
      </w:r>
    </w:p>
    <w:p>
      <w:pPr>
        <w:pStyle w:val="ListBullet"/>
      </w:pPr>
      <w:r>
        <w:t>Confirm exact release version and whether the separate 13-component XML design is a future plan or a different branch.</w:t>
      </w:r>
    </w:p>
    <w:p>
      <w:r>
        <w:t>Source basis: user-provided project screenshots of ner_prompts.py and debugger, prior S2T/NER optimization discussion, and the user-provided technical-specification outline. This document does not rely on unverified external sources.</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FOR TECHNICAL REVIEW  •  Dai-ichi Life Vietnam  •  29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TECHNICAL SPECIFICATION  /  S2T &amp; NER PROMPT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31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385C"/>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5074"/>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E527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12C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