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2874C" w14:textId="54FD4706" w:rsidR="00AB43BC" w:rsidRPr="00A56929" w:rsidRDefault="00AB43BC" w:rsidP="00AB43BC">
      <w:pPr>
        <w:spacing w:after="0" w:line="240" w:lineRule="auto"/>
        <w:jc w:val="both"/>
        <w:rPr>
          <w:rFonts w:ascii="Times New Roman" w:hAnsi="Times New Roman" w:cs="Times New Roman"/>
          <w:b/>
          <w:sz w:val="24"/>
          <w:szCs w:val="24"/>
          <w:lang w:val="uk-UA"/>
        </w:rPr>
      </w:pPr>
      <w:r w:rsidRPr="00A56929">
        <w:rPr>
          <w:rFonts w:ascii="Times New Roman" w:hAnsi="Times New Roman" w:cs="Times New Roman"/>
          <w:b/>
          <w:bCs/>
          <w:i/>
          <w:iCs/>
          <w:sz w:val="24"/>
          <w:szCs w:val="24"/>
          <w:lang w:val="uk-UA"/>
        </w:rPr>
        <w:t>УДК 330.46:519.87</w:t>
      </w:r>
    </w:p>
    <w:p w14:paraId="2C5DB0DF" w14:textId="1E9F8440" w:rsidR="005B7D12" w:rsidRPr="00A56929" w:rsidRDefault="005B7D12" w:rsidP="00AB43BC">
      <w:pPr>
        <w:spacing w:after="0" w:line="240" w:lineRule="auto"/>
        <w:ind w:left="6372"/>
        <w:rPr>
          <w:rFonts w:ascii="Times New Roman" w:hAnsi="Times New Roman" w:cs="Times New Roman"/>
          <w:sz w:val="24"/>
          <w:lang w:val="uk-UA"/>
        </w:rPr>
      </w:pPr>
      <w:r w:rsidRPr="00A56929">
        <w:rPr>
          <w:rFonts w:ascii="Times New Roman" w:hAnsi="Times New Roman" w:cs="Times New Roman"/>
          <w:b/>
          <w:sz w:val="24"/>
          <w:lang w:val="uk-UA"/>
        </w:rPr>
        <w:t>Поданенко Д.В</w:t>
      </w:r>
      <w:r w:rsidRPr="00A56929">
        <w:rPr>
          <w:rFonts w:ascii="Times New Roman" w:hAnsi="Times New Roman" w:cs="Times New Roman"/>
          <w:sz w:val="24"/>
          <w:lang w:val="uk-UA"/>
        </w:rPr>
        <w:t xml:space="preserve">., студент </w:t>
      </w:r>
      <w:r w:rsidR="00D2406A" w:rsidRPr="00A56929">
        <w:rPr>
          <w:rFonts w:ascii="Times New Roman" w:hAnsi="Times New Roman" w:cs="Times New Roman"/>
          <w:sz w:val="24"/>
          <w:lang w:val="uk-UA"/>
        </w:rPr>
        <w:t>6</w:t>
      </w:r>
      <w:r w:rsidRPr="00A56929">
        <w:rPr>
          <w:rFonts w:ascii="Times New Roman" w:hAnsi="Times New Roman" w:cs="Times New Roman"/>
          <w:sz w:val="24"/>
          <w:lang w:val="uk-UA"/>
        </w:rPr>
        <w:t xml:space="preserve"> курс</w:t>
      </w:r>
      <w:r w:rsidR="00617954" w:rsidRPr="00A56929">
        <w:rPr>
          <w:rFonts w:ascii="Times New Roman" w:hAnsi="Times New Roman" w:cs="Times New Roman"/>
          <w:sz w:val="24"/>
          <w:lang w:val="uk-UA"/>
        </w:rPr>
        <w:t xml:space="preserve">у </w:t>
      </w:r>
    </w:p>
    <w:p w14:paraId="247A5B95" w14:textId="77777777" w:rsidR="005B7D12" w:rsidRPr="00A56929" w:rsidRDefault="005B7D12" w:rsidP="0044722B">
      <w:pPr>
        <w:spacing w:after="0" w:line="240" w:lineRule="auto"/>
        <w:rPr>
          <w:rFonts w:ascii="Times New Roman" w:hAnsi="Times New Roman" w:cs="Times New Roman"/>
          <w:sz w:val="24"/>
          <w:lang w:val="uk-UA"/>
        </w:rPr>
      </w:pPr>
    </w:p>
    <w:p w14:paraId="1E36C513" w14:textId="78FC1FFF" w:rsidR="00511FA8" w:rsidRPr="00A56929" w:rsidRDefault="00AB43BC" w:rsidP="00617954">
      <w:pPr>
        <w:spacing w:after="0" w:line="240" w:lineRule="auto"/>
        <w:jc w:val="center"/>
        <w:rPr>
          <w:rFonts w:ascii="Times New Roman" w:hAnsi="Times New Roman" w:cs="Times New Roman"/>
          <w:b/>
          <w:sz w:val="24"/>
          <w:lang w:val="uk-UA"/>
        </w:rPr>
      </w:pPr>
      <w:bookmarkStart w:id="0" w:name="_Hlk87293090"/>
      <w:r w:rsidRPr="00A56929">
        <w:rPr>
          <w:rFonts w:ascii="Times New Roman" w:hAnsi="Times New Roman" w:cs="Times New Roman"/>
          <w:b/>
          <w:sz w:val="24"/>
          <w:lang w:val="uk-UA"/>
        </w:rPr>
        <w:t>РОЗРОБКА ТА ТЕСТУВАННЯ НЕЧІТКОЇ МОДЕЛІ ОЦІНЮВАННЯ ДОПОВІДЕЙ СТУДЕНТСЬКОЇ НАУКОВОЇ КОНФЕРЕНЦІЇ</w:t>
      </w:r>
    </w:p>
    <w:bookmarkEnd w:id="0"/>
    <w:p w14:paraId="2267DBA8" w14:textId="0767FA3F" w:rsidR="00617954" w:rsidRPr="00A56929" w:rsidRDefault="00617954" w:rsidP="00617954">
      <w:pPr>
        <w:spacing w:after="0" w:line="240" w:lineRule="auto"/>
        <w:jc w:val="center"/>
        <w:rPr>
          <w:rFonts w:ascii="Times New Roman" w:hAnsi="Times New Roman" w:cs="Times New Roman"/>
          <w:sz w:val="24"/>
          <w:lang w:val="uk-UA"/>
        </w:rPr>
      </w:pPr>
    </w:p>
    <w:p w14:paraId="1E835ECF" w14:textId="77777777" w:rsidR="00AB43BC" w:rsidRPr="00A56929" w:rsidRDefault="00AB43BC" w:rsidP="00AB43BC">
      <w:pPr>
        <w:spacing w:after="0" w:line="240" w:lineRule="auto"/>
        <w:jc w:val="center"/>
        <w:rPr>
          <w:rFonts w:ascii="Times New Roman" w:eastAsia="Times New Roman" w:hAnsi="Times New Roman" w:cs="Times New Roman"/>
          <w:bCs/>
          <w:sz w:val="24"/>
          <w:szCs w:val="24"/>
          <w:lang w:val="uk-UA"/>
        </w:rPr>
      </w:pPr>
      <w:r w:rsidRPr="00A56929">
        <w:rPr>
          <w:rFonts w:ascii="Times New Roman" w:hAnsi="Times New Roman" w:cs="Times New Roman"/>
          <w:bCs/>
          <w:color w:val="000000" w:themeColor="text1"/>
          <w:sz w:val="24"/>
          <w:szCs w:val="24"/>
          <w:lang w:val="uk-UA"/>
        </w:rPr>
        <w:t xml:space="preserve">Державний університет інтелектуальних технологій і </w:t>
      </w:r>
      <w:r w:rsidRPr="00A56929">
        <w:rPr>
          <w:rFonts w:ascii="Times New Roman" w:hAnsi="Times New Roman" w:cs="Times New Roman"/>
          <w:bCs/>
          <w:sz w:val="24"/>
          <w:szCs w:val="24"/>
          <w:lang w:val="uk-UA"/>
        </w:rPr>
        <w:t>зв'язку, кафедра І</w:t>
      </w:r>
      <w:r w:rsidRPr="00A56929">
        <w:rPr>
          <w:rFonts w:ascii="Times New Roman" w:eastAsia="Times New Roman" w:hAnsi="Times New Roman" w:cs="Times New Roman"/>
          <w:bCs/>
          <w:sz w:val="24"/>
          <w:szCs w:val="24"/>
          <w:lang w:val="uk-UA"/>
        </w:rPr>
        <w:t>нженерії</w:t>
      </w:r>
    </w:p>
    <w:p w14:paraId="68D5B158" w14:textId="30D8FBE6" w:rsidR="0044722B" w:rsidRPr="00A56929" w:rsidRDefault="00AB43BC" w:rsidP="00AB43BC">
      <w:pPr>
        <w:spacing w:after="0" w:line="240" w:lineRule="auto"/>
        <w:jc w:val="center"/>
        <w:rPr>
          <w:rFonts w:ascii="Times New Roman" w:hAnsi="Times New Roman" w:cs="Times New Roman"/>
          <w:sz w:val="24"/>
          <w:lang w:val="uk-UA"/>
        </w:rPr>
      </w:pPr>
      <w:r w:rsidRPr="00A56929">
        <w:rPr>
          <w:rFonts w:ascii="Times New Roman" w:eastAsia="Times New Roman" w:hAnsi="Times New Roman" w:cs="Times New Roman"/>
          <w:bCs/>
          <w:sz w:val="24"/>
          <w:szCs w:val="24"/>
          <w:lang w:val="uk-UA"/>
        </w:rPr>
        <w:t xml:space="preserve">програмного забезпечення, </w:t>
      </w:r>
      <w:r w:rsidRPr="00A56929">
        <w:rPr>
          <w:rFonts w:ascii="Times New Roman" w:hAnsi="Times New Roman" w:cs="Times New Roman"/>
          <w:bCs/>
          <w:sz w:val="24"/>
          <w:szCs w:val="24"/>
          <w:lang w:val="uk-UA"/>
        </w:rPr>
        <w:t>м. Одеса</w:t>
      </w:r>
    </w:p>
    <w:p w14:paraId="7390DBE0" w14:textId="175003F5" w:rsidR="00617954" w:rsidRPr="00A56929" w:rsidRDefault="00617954" w:rsidP="00617954">
      <w:pPr>
        <w:spacing w:after="0" w:line="240" w:lineRule="auto"/>
        <w:jc w:val="center"/>
        <w:rPr>
          <w:rFonts w:ascii="Times New Roman" w:hAnsi="Times New Roman" w:cs="Times New Roman"/>
          <w:sz w:val="24"/>
          <w:lang w:val="uk-UA"/>
        </w:rPr>
      </w:pPr>
    </w:p>
    <w:p w14:paraId="25B72678" w14:textId="151962E2" w:rsidR="00DD2F67" w:rsidRPr="00A56929" w:rsidRDefault="00DD2F67" w:rsidP="00DD2F67">
      <w:pPr>
        <w:pStyle w:val="a3"/>
        <w:spacing w:after="0" w:line="240" w:lineRule="auto"/>
        <w:ind w:left="0" w:firstLine="709"/>
        <w:jc w:val="both"/>
        <w:rPr>
          <w:rFonts w:ascii="Times New Roman" w:hAnsi="Times New Roman" w:cs="Times New Roman"/>
          <w:sz w:val="24"/>
          <w:lang w:val="uk-UA"/>
        </w:rPr>
      </w:pPr>
      <w:r w:rsidRPr="00A56929">
        <w:rPr>
          <w:rFonts w:ascii="Times New Roman" w:hAnsi="Times New Roman" w:cs="Times New Roman"/>
          <w:sz w:val="24"/>
          <w:lang w:val="uk-UA"/>
        </w:rPr>
        <w:t>На відміну від звичайної наукової конференції, де не прийнято явно оцінювати доповіді учасників, студентські наукові конференції окрім обговорення актуальних наукових чи практичних розробок, також мають на меті залучення та мотивування студентів займатися науковими дослідженнями, а також вибір кандидатів на студентські конференції державного рівня. Ці цілі, як правило, виражаються у потребі виявляти найкращі доповіді та нагороджувати студентів найкращих доповідей грамотами та іншими призами. Багато вузів розробляють спеціальні положення щодо проведення студентських наукових конференцій, де одним із пунктів є правила та критерії оцінювання студентських доповідей [1,2].</w:t>
      </w:r>
      <w:r w:rsidRPr="00A56929">
        <w:rPr>
          <w:lang w:val="uk-UA"/>
        </w:rPr>
        <w:t xml:space="preserve"> </w:t>
      </w:r>
      <w:r w:rsidRPr="00A56929">
        <w:rPr>
          <w:rFonts w:ascii="Times New Roman" w:hAnsi="Times New Roman" w:cs="Times New Roman"/>
          <w:sz w:val="24"/>
          <w:lang w:val="uk-UA"/>
        </w:rPr>
        <w:t xml:space="preserve">Наприклад, це можуть бути наступні </w:t>
      </w:r>
      <w:r w:rsidR="006F5B95" w:rsidRPr="00A56929">
        <w:rPr>
          <w:rFonts w:ascii="Times New Roman" w:hAnsi="Times New Roman" w:cs="Times New Roman"/>
          <w:sz w:val="24"/>
          <w:lang w:val="uk-UA"/>
        </w:rPr>
        <w:t>критерії</w:t>
      </w:r>
      <w:r w:rsidRPr="00A56929">
        <w:rPr>
          <w:rFonts w:ascii="Times New Roman" w:hAnsi="Times New Roman" w:cs="Times New Roman"/>
          <w:sz w:val="24"/>
          <w:lang w:val="uk-UA"/>
        </w:rPr>
        <w:t xml:space="preserve"> [2]: 1) актуальність, 2) новизна, 3) практичне значення, 4) манера викладу доповіді, 5) відповіді на питання, 6) якість наочного матеріалу. Члени журі заповнюють бланки з оцінкою по кожному критерію, визначається середній бал, який використовується для визначення переможців.</w:t>
      </w:r>
    </w:p>
    <w:p w14:paraId="7E4B908C" w14:textId="77777777" w:rsidR="00DD2F67" w:rsidRPr="00A56929" w:rsidRDefault="00DD2F67" w:rsidP="00DD2F67">
      <w:pPr>
        <w:pStyle w:val="a3"/>
        <w:spacing w:after="0" w:line="240" w:lineRule="auto"/>
        <w:ind w:left="0" w:firstLine="709"/>
        <w:jc w:val="both"/>
        <w:rPr>
          <w:rFonts w:ascii="Times New Roman" w:hAnsi="Times New Roman" w:cs="Times New Roman"/>
          <w:sz w:val="24"/>
          <w:lang w:val="uk-UA"/>
        </w:rPr>
      </w:pPr>
      <w:r w:rsidRPr="00A56929">
        <w:rPr>
          <w:rFonts w:ascii="Times New Roman" w:hAnsi="Times New Roman" w:cs="Times New Roman"/>
          <w:sz w:val="24"/>
          <w:lang w:val="uk-UA"/>
        </w:rPr>
        <w:t xml:space="preserve">Як бачимо, оцінка доповідей студентів є суттєво суб’єктивною і невизначеною. Суб’єктивність виражається в тому, що оцінку доповідей роблять люди зі своїми стереотипами, симпатіями, уподобаннями. Невизначеність проявляється в неточних формулюваннях критеріїв типу «манера викладу доповіді» або «відповіді на питання». Таким чином, існує потреба у покращені системи оцінювання доповідей на студентських наукових конференціях. Рішення цієї задачі дозволить не тільки більш об’єктивно оцінювати доповіді, можливість прогнозувати оцінку студентом, але також може бути основою для створення автоматизованих банків даних, які будуть зберігати інформацію про персональні і професійні якості студента. </w:t>
      </w:r>
    </w:p>
    <w:p w14:paraId="6666B1EA" w14:textId="6C246330" w:rsidR="00EE105C" w:rsidRPr="00A56929" w:rsidRDefault="00DD2F67" w:rsidP="00DD2F67">
      <w:p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В останні десятиліття для більш коректного управлінням складною системою, де є невизначеність, яка ускладнює і навидь виключає застосування точних кількісних методів та підходів, все ширше застосовуються методи теорії нечіткої логіки (Fuzzy Logic) [3]. Найбільш широке використання алгоритми нечіткого виводу отримали у керуванні технічними система (побутовою технікою, доменними печами, рухом поїздів в метро),  при автоматичним розпізнаванні мови та зображень, керуванням ризиками. Нечіткі моделі застосовуються також і для формалізації оцінювання при підбору персоналу у компаніях або оцінювання дипломних робіт (ДР) студентів.</w:t>
      </w:r>
    </w:p>
    <w:p w14:paraId="2C11B25E" w14:textId="13C8C8FC" w:rsidR="004711B5"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У роботі [</w:t>
      </w:r>
      <w:r w:rsidR="004711B5" w:rsidRPr="00A56929">
        <w:rPr>
          <w:rFonts w:ascii="Times New Roman" w:hAnsi="Times New Roman" w:cs="Times New Roman"/>
          <w:sz w:val="24"/>
          <w:lang w:val="uk-UA"/>
        </w:rPr>
        <w:t>4</w:t>
      </w:r>
      <w:r w:rsidRPr="00A56929">
        <w:rPr>
          <w:rFonts w:ascii="Times New Roman" w:hAnsi="Times New Roman" w:cs="Times New Roman"/>
          <w:sz w:val="24"/>
          <w:lang w:val="uk-UA"/>
        </w:rPr>
        <w:t xml:space="preserve">] розглядається нечітка модель оцінювання якості дипломних робіт для зниження рівня суб’єктивізму. Критерії оцінювання дипломної роботи діляться на три різні групи, в залежності від того, хто їх виставляє, та за яку частину роботи. </w:t>
      </w:r>
    </w:p>
    <w:p w14:paraId="67AB1FC9" w14:textId="78E67D7E" w:rsidR="004711B5"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У статті [</w:t>
      </w:r>
      <w:r w:rsidR="004711B5" w:rsidRPr="00A56929">
        <w:rPr>
          <w:rFonts w:ascii="Times New Roman" w:hAnsi="Times New Roman" w:cs="Times New Roman"/>
          <w:sz w:val="24"/>
          <w:lang w:val="uk-UA"/>
        </w:rPr>
        <w:t>5</w:t>
      </w:r>
      <w:r w:rsidRPr="00A56929">
        <w:rPr>
          <w:rFonts w:ascii="Times New Roman" w:hAnsi="Times New Roman" w:cs="Times New Roman"/>
          <w:sz w:val="24"/>
          <w:lang w:val="uk-UA"/>
        </w:rPr>
        <w:t xml:space="preserve">] розглядається реальний приклад використання нечіткої логіки для оцінювання знань двадцяти студентів. Експеримент був проведений у Marmara University, Electricity Education Department. Експеримент пройшов вдало. Результати показали, що система оцінювання з використанням fuzzy logic більш гнучка і з нею оцінити успіхи студентів можливо більш точно, ніж з класичною системної оцінювання. </w:t>
      </w:r>
    </w:p>
    <w:p w14:paraId="6D832B7D" w14:textId="0926A4C0" w:rsidR="00DD2F67"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У статті [</w:t>
      </w:r>
      <w:r w:rsidR="004711B5" w:rsidRPr="00A56929">
        <w:rPr>
          <w:rFonts w:ascii="Times New Roman" w:hAnsi="Times New Roman" w:cs="Times New Roman"/>
          <w:sz w:val="24"/>
          <w:lang w:val="uk-UA"/>
        </w:rPr>
        <w:t>6</w:t>
      </w:r>
      <w:r w:rsidRPr="00A56929">
        <w:rPr>
          <w:rFonts w:ascii="Times New Roman" w:hAnsi="Times New Roman" w:cs="Times New Roman"/>
          <w:sz w:val="24"/>
          <w:lang w:val="uk-UA"/>
        </w:rPr>
        <w:t>] розглядається приклад використання нечіткої логіки для виявлення переможця конкурсу «Кращий студент» у Universiti Teknologi MARA. У конкурсі оцінюється не лише оцінки у навчанні, а і лідерські якості. Автори кажуть, що ці навички також можуть бути вдосконалені, що згодом стане внеском у майбутнє суспільства. У цій роботі пропонується розробка ініціативної-системної оцінки ефективності (I-SPE) як ініціативного інструменту для вимірювання компетенцій студентів на основі підходу Fuzzy Logic. Дослідження зосереджено на виборі найкращого студента на основі даних, зібраних у рамках програми лідерства</w:t>
      </w:r>
      <w:r w:rsidRPr="00A56929">
        <w:rPr>
          <w:lang w:val="uk-UA"/>
        </w:rPr>
        <w:t xml:space="preserve"> </w:t>
      </w:r>
      <w:r w:rsidRPr="00A56929">
        <w:rPr>
          <w:rFonts w:ascii="Times New Roman" w:hAnsi="Times New Roman" w:cs="Times New Roman"/>
          <w:sz w:val="24"/>
          <w:lang w:val="uk-UA"/>
        </w:rPr>
        <w:t>Kepimpinan Pewaris Bangsa (PKPB). Розробка нечітких правил у цій моделі базується на п’яти вибраних атрибутах, які включають лідерство, комунікацію, роботу в команді, дисципліну та CGPA. Отримані результати свідчать про те, що запропонована модель I-SPE здатна підвищити ефективність прийняття рішень, що призведе до справедливості у виборі найкращого кандидата порівняно зі звичайним методом.</w:t>
      </w:r>
    </w:p>
    <w:p w14:paraId="0EB9F16A" w14:textId="435A31F9" w:rsidR="00DD2F67" w:rsidRPr="00A56929" w:rsidRDefault="00DD2F67" w:rsidP="00DD2F67">
      <w:p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lastRenderedPageBreak/>
        <w:t>На основі розглянутих вище прикладів і практики оцінювання доповідей студентської наукової конференції була розроблена нечітка модель, яка була протестована за допомогою програми Matlab Fuzzy Logic toolkit [3].</w:t>
      </w:r>
    </w:p>
    <w:p w14:paraId="4B109DF7" w14:textId="77777777" w:rsidR="00DD2F67"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 xml:space="preserve">Для опису оцінювання доповідей будемо застосовувати лінгвістичну змінну з трьома значеннями [1]: x1 - якісний аналіз стану проблеми, х2 - структура роботи, х3 - якість оформлення роботи. Значення лінгвістичної змінної мають наступні терми. </w:t>
      </w:r>
    </w:p>
    <w:p w14:paraId="5788F268" w14:textId="77777777" w:rsidR="00DD2F67"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 xml:space="preserve">Значення х1: </w:t>
      </w:r>
    </w:p>
    <w:p w14:paraId="3BC86C47" w14:textId="77777777" w:rsidR="00DD2F67" w:rsidRPr="00A56929" w:rsidRDefault="00DD2F67" w:rsidP="00DD2F67">
      <w:pPr>
        <w:pStyle w:val="a3"/>
        <w:numPr>
          <w:ilvl w:val="0"/>
          <w:numId w:val="6"/>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Погано – використано учбовий матеріал, знання в рамках учбової програми.</w:t>
      </w:r>
    </w:p>
    <w:p w14:paraId="12EEBA3C" w14:textId="77777777" w:rsidR="00DD2F67" w:rsidRPr="00A56929" w:rsidRDefault="00DD2F67" w:rsidP="00DD2F67">
      <w:pPr>
        <w:pStyle w:val="a3"/>
        <w:numPr>
          <w:ilvl w:val="0"/>
          <w:numId w:val="6"/>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Середнє – окрім учбового матеріалу використані спеціалізовані видання, знання понад норми.</w:t>
      </w:r>
    </w:p>
    <w:p w14:paraId="6B6B4C7D" w14:textId="77777777" w:rsidR="00DD2F67" w:rsidRPr="00A56929" w:rsidRDefault="00DD2F67" w:rsidP="00DD2F67">
      <w:pPr>
        <w:pStyle w:val="a3"/>
        <w:numPr>
          <w:ilvl w:val="0"/>
          <w:numId w:val="6"/>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Добре – використанні унікальні літературні джерела, знання понад норми.</w:t>
      </w:r>
    </w:p>
    <w:p w14:paraId="0E623633" w14:textId="77777777" w:rsidR="00DD2F67"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Значення х2:</w:t>
      </w:r>
    </w:p>
    <w:p w14:paraId="68C5ED76" w14:textId="77777777" w:rsidR="00DD2F67" w:rsidRPr="00A56929" w:rsidRDefault="00DD2F67" w:rsidP="00DD2F67">
      <w:pPr>
        <w:pStyle w:val="a3"/>
        <w:numPr>
          <w:ilvl w:val="0"/>
          <w:numId w:val="7"/>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Погано – робота не структурована відповідно до вимог.</w:t>
      </w:r>
    </w:p>
    <w:p w14:paraId="0C33A4C8" w14:textId="77777777" w:rsidR="00DD2F67" w:rsidRPr="00A56929" w:rsidRDefault="00DD2F67" w:rsidP="00DD2F67">
      <w:pPr>
        <w:pStyle w:val="a3"/>
        <w:numPr>
          <w:ilvl w:val="0"/>
          <w:numId w:val="7"/>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Нижче середнього – в роботі погано видно структуру.</w:t>
      </w:r>
    </w:p>
    <w:p w14:paraId="34454920" w14:textId="77777777" w:rsidR="00DD2F67" w:rsidRPr="00A56929" w:rsidRDefault="00DD2F67" w:rsidP="00DD2F67">
      <w:pPr>
        <w:pStyle w:val="a3"/>
        <w:numPr>
          <w:ilvl w:val="0"/>
          <w:numId w:val="7"/>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Вище середнього – в роботі відсутній один важливий розділ.</w:t>
      </w:r>
    </w:p>
    <w:p w14:paraId="61131A81" w14:textId="77777777" w:rsidR="00DD2F67" w:rsidRPr="00A56929" w:rsidRDefault="00DD2F67" w:rsidP="00DD2F67">
      <w:pPr>
        <w:pStyle w:val="a3"/>
        <w:numPr>
          <w:ilvl w:val="0"/>
          <w:numId w:val="7"/>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Добре – робота структурована відповідно до загальноприйнятих вимог.</w:t>
      </w:r>
    </w:p>
    <w:p w14:paraId="34ECA473" w14:textId="77777777" w:rsidR="00DD2F67" w:rsidRPr="00A56929" w:rsidRDefault="00DD2F67" w:rsidP="00DD2F67">
      <w:pPr>
        <w:spacing w:after="0" w:line="240" w:lineRule="auto"/>
        <w:ind w:firstLine="709"/>
        <w:jc w:val="both"/>
        <w:rPr>
          <w:rFonts w:ascii="Times New Roman" w:hAnsi="Times New Roman" w:cs="Times New Roman"/>
          <w:sz w:val="24"/>
          <w:lang w:val="uk-UA"/>
        </w:rPr>
      </w:pPr>
      <w:r w:rsidRPr="00A56929">
        <w:rPr>
          <w:rFonts w:ascii="Times New Roman" w:hAnsi="Times New Roman" w:cs="Times New Roman"/>
          <w:sz w:val="24"/>
          <w:lang w:val="uk-UA"/>
        </w:rPr>
        <w:t>Значення х3:</w:t>
      </w:r>
    </w:p>
    <w:p w14:paraId="756DA498" w14:textId="77777777" w:rsidR="00DD2F67" w:rsidRPr="00A56929" w:rsidRDefault="00DD2F67" w:rsidP="00DD2F67">
      <w:pPr>
        <w:pStyle w:val="a3"/>
        <w:numPr>
          <w:ilvl w:val="0"/>
          <w:numId w:val="8"/>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Погано – робота виконана не охайно.</w:t>
      </w:r>
    </w:p>
    <w:p w14:paraId="0A504CBD" w14:textId="77777777" w:rsidR="00DD2F67" w:rsidRPr="00A56929" w:rsidRDefault="00DD2F67" w:rsidP="00DD2F67">
      <w:pPr>
        <w:pStyle w:val="a3"/>
        <w:numPr>
          <w:ilvl w:val="0"/>
          <w:numId w:val="8"/>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Середнє – робота виконана охайно, але не в відповідності до вимог.</w:t>
      </w:r>
    </w:p>
    <w:p w14:paraId="459CA954" w14:textId="77777777" w:rsidR="00DD2F67" w:rsidRPr="00A56929" w:rsidRDefault="00DD2F67" w:rsidP="00DD2F67">
      <w:pPr>
        <w:pStyle w:val="a3"/>
        <w:numPr>
          <w:ilvl w:val="0"/>
          <w:numId w:val="8"/>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Добре – робота виконана в відповідності до вимог.</w:t>
      </w:r>
    </w:p>
    <w:p w14:paraId="763BE430" w14:textId="749AF046" w:rsidR="00DD2F67" w:rsidRPr="00A56929" w:rsidRDefault="00DD2F67" w:rsidP="00DD2F67">
      <w:pPr>
        <w:spacing w:after="0" w:line="240" w:lineRule="auto"/>
        <w:ind w:firstLine="708"/>
        <w:jc w:val="both"/>
        <w:rPr>
          <w:rFonts w:ascii="Times New Roman" w:hAnsi="Times New Roman" w:cs="Times New Roman"/>
          <w:sz w:val="24"/>
          <w:lang w:val="uk-UA"/>
        </w:rPr>
      </w:pPr>
      <w:r w:rsidRPr="00A56929">
        <w:rPr>
          <w:rFonts w:ascii="Times New Roman" w:hAnsi="Times New Roman" w:cs="Times New Roman"/>
          <w:sz w:val="24"/>
          <w:lang w:val="uk-UA"/>
        </w:rPr>
        <w:t>Всі терми представляються у 5 бальній шкалі. Функції належності для кожного значення лінгвістичної змінної визначаються за допомогою прямого методу одного експерту з використанням  параметричних шматково-лінійних функцій [3]:</w:t>
      </w:r>
    </w:p>
    <w:p w14:paraId="7700AE61" w14:textId="15E99CA9" w:rsidR="00DD2F67" w:rsidRPr="00A56929" w:rsidRDefault="00DD2F67" w:rsidP="00DF63CF">
      <w:pPr>
        <w:spacing w:after="0" w:line="240" w:lineRule="auto"/>
        <w:jc w:val="center"/>
        <w:rPr>
          <w:rFonts w:ascii="Times New Roman" w:eastAsiaTheme="minorEastAsia" w:hAnsi="Times New Roman" w:cs="Times New Roman"/>
          <w:sz w:val="24"/>
          <w:lang w:val="uk-UA"/>
        </w:rPr>
      </w:pPr>
      <m:oMath>
        <m:sSub>
          <m:sSubPr>
            <m:ctrlPr>
              <w:rPr>
                <w:rFonts w:ascii="Cambria Math" w:hAnsi="Cambria Math" w:cs="Times New Roman"/>
                <w:i/>
                <w:sz w:val="24"/>
                <w:lang w:val="uk-UA"/>
              </w:rPr>
            </m:ctrlPr>
          </m:sSubPr>
          <m:e>
            <m:r>
              <w:rPr>
                <w:rFonts w:ascii="Cambria Math" w:hAnsi="Cambria Math" w:cs="Times New Roman"/>
                <w:sz w:val="24"/>
                <w:lang w:val="uk-UA"/>
              </w:rPr>
              <m:t>μ</m:t>
            </m:r>
          </m:e>
          <m:sub>
            <m:r>
              <w:rPr>
                <w:rFonts w:ascii="Cambria Math" w:hAnsi="Cambria Math" w:cs="Times New Roman"/>
                <w:sz w:val="24"/>
                <w:lang w:val="uk-UA"/>
              </w:rPr>
              <m:t>6</m:t>
            </m:r>
          </m:sub>
        </m:sSub>
        <m:d>
          <m:dPr>
            <m:ctrlPr>
              <w:rPr>
                <w:rFonts w:ascii="Cambria Math" w:hAnsi="Cambria Math" w:cs="Times New Roman"/>
                <w:i/>
                <w:sz w:val="24"/>
                <w:lang w:val="uk-UA"/>
              </w:rPr>
            </m:ctrlPr>
          </m:dPr>
          <m:e>
            <m:r>
              <w:rPr>
                <w:rFonts w:ascii="Cambria Math" w:hAnsi="Cambria Math" w:cs="Times New Roman"/>
                <w:sz w:val="24"/>
                <w:lang w:val="uk-UA"/>
              </w:rPr>
              <m:t>x,a,b,c</m:t>
            </m:r>
          </m:e>
        </m:d>
        <m:r>
          <w:rPr>
            <w:rFonts w:ascii="Cambria Math" w:hAnsi="Cambria Math" w:cs="Times New Roman"/>
            <w:sz w:val="24"/>
            <w:lang w:val="uk-UA"/>
          </w:rPr>
          <m:t>=</m:t>
        </m:r>
        <m:d>
          <m:dPr>
            <m:begChr m:val="["/>
            <m:endChr m:val=""/>
            <m:ctrlPr>
              <w:rPr>
                <w:rFonts w:ascii="Cambria Math" w:hAnsi="Cambria Math" w:cs="Times New Roman"/>
                <w:i/>
                <w:sz w:val="24"/>
                <w:lang w:val="uk-UA"/>
              </w:rPr>
            </m:ctrlPr>
          </m:dPr>
          <m:e>
            <m:eqArr>
              <m:eqArrPr>
                <m:ctrlPr>
                  <w:rPr>
                    <w:rFonts w:ascii="Cambria Math" w:hAnsi="Cambria Math" w:cs="Times New Roman"/>
                    <w:i/>
                    <w:sz w:val="24"/>
                    <w:lang w:val="uk-UA"/>
                  </w:rPr>
                </m:ctrlPr>
              </m:eqArrPr>
              <m:e>
                <m:r>
                  <w:rPr>
                    <w:rFonts w:ascii="Cambria Math" w:hAnsi="Cambria Math" w:cs="Times New Roman"/>
                    <w:sz w:val="24"/>
                    <w:lang w:val="uk-UA"/>
                  </w:rPr>
                  <m:t xml:space="preserve">0,якщо x&lt;a </m:t>
                </m:r>
              </m:e>
              <m:e>
                <m:f>
                  <m:fPr>
                    <m:ctrlPr>
                      <w:rPr>
                        <w:rFonts w:ascii="Cambria Math" w:hAnsi="Cambria Math" w:cs="Times New Roman"/>
                        <w:i/>
                        <w:sz w:val="24"/>
                        <w:lang w:val="uk-UA"/>
                      </w:rPr>
                    </m:ctrlPr>
                  </m:fPr>
                  <m:num>
                    <m:r>
                      <w:rPr>
                        <w:rFonts w:ascii="Cambria Math" w:hAnsi="Cambria Math" w:cs="Times New Roman"/>
                        <w:sz w:val="24"/>
                        <w:lang w:val="uk-UA"/>
                      </w:rPr>
                      <m:t>x-a</m:t>
                    </m:r>
                  </m:num>
                  <m:den>
                    <m:r>
                      <w:rPr>
                        <w:rFonts w:ascii="Cambria Math" w:hAnsi="Cambria Math" w:cs="Times New Roman"/>
                        <w:sz w:val="24"/>
                        <w:lang w:val="uk-UA"/>
                      </w:rPr>
                      <m:t>b-a</m:t>
                    </m:r>
                  </m:den>
                </m:f>
                <m:r>
                  <w:rPr>
                    <w:rFonts w:ascii="Cambria Math" w:hAnsi="Cambria Math" w:cs="Times New Roman"/>
                    <w:sz w:val="24"/>
                    <w:lang w:val="uk-UA"/>
                  </w:rPr>
                  <m:t>,якщо a≤x&lt;b</m:t>
                </m:r>
                <m:ctrlPr>
                  <w:rPr>
                    <w:rFonts w:ascii="Cambria Math" w:eastAsia="Cambria Math" w:hAnsi="Cambria Math" w:cs="Cambria Math"/>
                    <w:i/>
                    <w:sz w:val="24"/>
                    <w:lang w:val="uk-UA"/>
                  </w:rPr>
                </m:ctrlPr>
              </m:e>
              <m:e>
                <m:f>
                  <m:fPr>
                    <m:ctrlPr>
                      <w:rPr>
                        <w:rFonts w:ascii="Cambria Math" w:eastAsia="Cambria Math" w:hAnsi="Cambria Math" w:cs="Cambria Math"/>
                        <w:i/>
                        <w:sz w:val="24"/>
                        <w:lang w:val="uk-UA"/>
                      </w:rPr>
                    </m:ctrlPr>
                  </m:fPr>
                  <m:num>
                    <m:r>
                      <w:rPr>
                        <w:rFonts w:ascii="Cambria Math" w:eastAsia="Cambria Math" w:hAnsi="Cambria Math" w:cs="Cambria Math"/>
                        <w:sz w:val="24"/>
                        <w:lang w:val="uk-UA"/>
                      </w:rPr>
                      <m:t>c-x</m:t>
                    </m:r>
                  </m:num>
                  <m:den>
                    <m:r>
                      <w:rPr>
                        <w:rFonts w:ascii="Cambria Math" w:eastAsia="Cambria Math" w:hAnsi="Cambria Math" w:cs="Cambria Math"/>
                        <w:sz w:val="24"/>
                        <w:lang w:val="uk-UA"/>
                      </w:rPr>
                      <m:t>c-b</m:t>
                    </m:r>
                  </m:den>
                </m:f>
                <m:r>
                  <w:rPr>
                    <w:rFonts w:ascii="Cambria Math" w:eastAsia="Cambria Math" w:hAnsi="Cambria Math" w:cs="Cambria Math"/>
                    <w:sz w:val="24"/>
                    <w:lang w:val="uk-UA"/>
                  </w:rPr>
                  <m:t>,якщо b≤x≤c</m:t>
                </m:r>
                <m:ctrlPr>
                  <w:rPr>
                    <w:rFonts w:ascii="Cambria Math" w:eastAsia="Cambria Math" w:hAnsi="Cambria Math" w:cs="Cambria Math"/>
                    <w:i/>
                    <w:sz w:val="24"/>
                    <w:lang w:val="uk-UA"/>
                  </w:rPr>
                </m:ctrlPr>
              </m:e>
              <m:e>
                <m:r>
                  <w:rPr>
                    <w:rFonts w:ascii="Cambria Math" w:eastAsia="Cambria Math" w:hAnsi="Cambria Math" w:cs="Cambria Math"/>
                    <w:sz w:val="24"/>
                    <w:lang w:val="uk-UA"/>
                  </w:rPr>
                  <m:t>0,якщо c&lt;x</m:t>
                </m:r>
              </m:e>
            </m:eqArr>
          </m:e>
        </m:d>
      </m:oMath>
      <w:r w:rsidRPr="00A56929">
        <w:rPr>
          <w:rFonts w:ascii="Times New Roman" w:eastAsiaTheme="minorEastAsia" w:hAnsi="Times New Roman" w:cs="Times New Roman"/>
          <w:sz w:val="24"/>
          <w:lang w:val="uk-UA"/>
        </w:rPr>
        <w:t xml:space="preserve"> </w:t>
      </w:r>
      <w:r w:rsidR="00DF63CF" w:rsidRPr="00A56929">
        <w:rPr>
          <w:rFonts w:ascii="Times New Roman" w:eastAsiaTheme="minorEastAsia" w:hAnsi="Times New Roman" w:cs="Times New Roman"/>
          <w:sz w:val="24"/>
          <w:lang w:val="uk-UA"/>
        </w:rPr>
        <w:t xml:space="preserve">, </w:t>
      </w:r>
      <w:r w:rsidRPr="00A56929">
        <w:rPr>
          <w:rFonts w:ascii="Times New Roman" w:eastAsiaTheme="minorEastAsia" w:hAnsi="Times New Roman" w:cs="Times New Roman"/>
          <w:sz w:val="24"/>
          <w:lang w:val="uk-UA"/>
        </w:rPr>
        <w:t xml:space="preserve"> </w:t>
      </w:r>
      <m:oMath>
        <m:sSub>
          <m:sSubPr>
            <m:ctrlPr>
              <w:rPr>
                <w:rFonts w:ascii="Cambria Math" w:eastAsiaTheme="minorEastAsia" w:hAnsi="Cambria Math" w:cs="Times New Roman"/>
                <w:i/>
                <w:sz w:val="24"/>
                <w:lang w:val="uk-UA"/>
              </w:rPr>
            </m:ctrlPr>
          </m:sSubPr>
          <m:e>
            <m:r>
              <w:rPr>
                <w:rFonts w:ascii="Cambria Math" w:eastAsiaTheme="minorEastAsia" w:hAnsi="Cambria Math" w:cs="Times New Roman"/>
                <w:sz w:val="24"/>
                <w:lang w:val="uk-UA"/>
              </w:rPr>
              <m:t>f</m:t>
            </m:r>
          </m:e>
          <m:sub>
            <m:r>
              <w:rPr>
                <w:rFonts w:ascii="Cambria Math" w:eastAsiaTheme="minorEastAsia" w:hAnsi="Cambria Math" w:cs="Times New Roman"/>
                <w:sz w:val="24"/>
                <w:lang w:val="uk-UA"/>
              </w:rPr>
              <m:t>↓</m:t>
            </m:r>
          </m:sub>
        </m:sSub>
        <m:d>
          <m:dPr>
            <m:ctrlPr>
              <w:rPr>
                <w:rFonts w:ascii="Cambria Math" w:eastAsiaTheme="minorEastAsia" w:hAnsi="Cambria Math" w:cs="Times New Roman"/>
                <w:i/>
                <w:sz w:val="24"/>
                <w:lang w:val="uk-UA"/>
              </w:rPr>
            </m:ctrlPr>
          </m:dPr>
          <m:e>
            <m:r>
              <w:rPr>
                <w:rFonts w:ascii="Cambria Math" w:eastAsiaTheme="minorEastAsia" w:hAnsi="Cambria Math" w:cs="Times New Roman"/>
                <w:sz w:val="24"/>
                <w:lang w:val="uk-UA"/>
              </w:rPr>
              <m:t>x;a,b</m:t>
            </m:r>
          </m:e>
        </m:d>
        <m:r>
          <w:rPr>
            <w:rFonts w:ascii="Cambria Math" w:eastAsiaTheme="minorEastAsia" w:hAnsi="Cambria Math" w:cs="Times New Roman"/>
            <w:sz w:val="24"/>
            <w:lang w:val="uk-UA"/>
          </w:rPr>
          <m:t>=</m:t>
        </m:r>
        <m:d>
          <m:dPr>
            <m:begChr m:val="{"/>
            <m:endChr m:val=""/>
            <m:ctrlPr>
              <w:rPr>
                <w:rFonts w:ascii="Cambria Math" w:eastAsiaTheme="minorEastAsia" w:hAnsi="Cambria Math" w:cs="Times New Roman"/>
                <w:i/>
                <w:sz w:val="24"/>
                <w:lang w:val="uk-UA"/>
              </w:rPr>
            </m:ctrlPr>
          </m:dPr>
          <m:e>
            <m:eqArr>
              <m:eqArrPr>
                <m:ctrlPr>
                  <w:rPr>
                    <w:rFonts w:ascii="Cambria Math" w:eastAsiaTheme="minorEastAsia" w:hAnsi="Cambria Math" w:cs="Times New Roman"/>
                    <w:i/>
                    <w:sz w:val="24"/>
                    <w:lang w:val="uk-UA"/>
                  </w:rPr>
                </m:ctrlPr>
              </m:eqArrPr>
              <m:e>
                <m:r>
                  <w:rPr>
                    <w:rFonts w:ascii="Cambria Math" w:eastAsiaTheme="minorEastAsia" w:hAnsi="Cambria Math" w:cs="Times New Roman"/>
                    <w:sz w:val="24"/>
                    <w:lang w:val="uk-UA"/>
                  </w:rPr>
                  <m:t>1,   x</m:t>
                </m:r>
                <m:r>
                  <w:rPr>
                    <w:rFonts w:ascii="Cambria Math" w:eastAsiaTheme="minorEastAsia" w:hAnsi="Cambria Math" w:cs="Times New Roman"/>
                    <w:sz w:val="24"/>
                    <w:lang w:val="uk-UA"/>
                  </w:rPr>
                  <m:t>≤a</m:t>
                </m:r>
              </m:e>
              <m:e>
                <m:f>
                  <m:fPr>
                    <m:ctrlPr>
                      <w:rPr>
                        <w:rFonts w:ascii="Cambria Math" w:eastAsiaTheme="minorEastAsia" w:hAnsi="Cambria Math" w:cs="Times New Roman"/>
                        <w:i/>
                        <w:sz w:val="24"/>
                        <w:lang w:val="uk-UA"/>
                      </w:rPr>
                    </m:ctrlPr>
                  </m:fPr>
                  <m:num>
                    <m:r>
                      <w:rPr>
                        <w:rFonts w:ascii="Cambria Math" w:eastAsiaTheme="minorEastAsia" w:hAnsi="Cambria Math" w:cs="Times New Roman"/>
                        <w:sz w:val="24"/>
                        <w:lang w:val="uk-UA"/>
                      </w:rPr>
                      <m:t>b-x</m:t>
                    </m:r>
                  </m:num>
                  <m:den>
                    <m:r>
                      <w:rPr>
                        <w:rFonts w:ascii="Cambria Math" w:eastAsiaTheme="minorEastAsia" w:hAnsi="Cambria Math" w:cs="Times New Roman"/>
                        <w:sz w:val="24"/>
                        <w:lang w:val="uk-UA"/>
                      </w:rPr>
                      <m:t>b-a</m:t>
                    </m:r>
                  </m:den>
                </m:f>
                <m:r>
                  <w:rPr>
                    <w:rFonts w:ascii="Cambria Math" w:eastAsiaTheme="minorEastAsia" w:hAnsi="Cambria Math" w:cs="Times New Roman"/>
                    <w:sz w:val="24"/>
                    <w:lang w:val="uk-UA"/>
                  </w:rPr>
                  <m:t>,</m:t>
                </m:r>
                <m:r>
                  <w:rPr>
                    <w:rFonts w:ascii="Cambria Math" w:eastAsiaTheme="minorEastAsia" w:hAnsi="Cambria Math" w:cs="Times New Roman"/>
                    <w:sz w:val="24"/>
                    <w:lang w:val="uk-UA"/>
                  </w:rPr>
                  <m:t xml:space="preserve">  a&lt;x&lt;b </m:t>
                </m:r>
              </m:e>
              <m:e>
                <m:r>
                  <w:rPr>
                    <w:rFonts w:ascii="Cambria Math" w:eastAsiaTheme="minorEastAsia" w:hAnsi="Cambria Math" w:cs="Times New Roman"/>
                    <w:sz w:val="24"/>
                    <w:lang w:val="uk-UA"/>
                  </w:rPr>
                  <m:t>0,</m:t>
                </m:r>
                <m:r>
                  <w:rPr>
                    <w:rFonts w:ascii="Cambria Math" w:eastAsiaTheme="minorEastAsia" w:hAnsi="Cambria Math" w:cs="Times New Roman"/>
                    <w:sz w:val="24"/>
                    <w:lang w:val="uk-UA"/>
                  </w:rPr>
                  <m:t xml:space="preserve">   b≤x</m:t>
                </m:r>
              </m:e>
            </m:eqArr>
          </m:e>
        </m:d>
      </m:oMath>
    </w:p>
    <w:p w14:paraId="3E2BCFDE" w14:textId="2F7EA3A2" w:rsidR="00DF63CF" w:rsidRPr="00A56929" w:rsidRDefault="00DF63CF" w:rsidP="00DF63CF">
      <w:p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ab/>
        <w:t>де параметри a, b, c визначаються при опитуванні експертів.</w:t>
      </w:r>
    </w:p>
    <w:p w14:paraId="2858561E" w14:textId="2B321D4D" w:rsidR="00DF63CF" w:rsidRPr="00A56929" w:rsidRDefault="00DF63CF" w:rsidP="00DF63CF">
      <w:pPr>
        <w:spacing w:after="0" w:line="240" w:lineRule="auto"/>
        <w:ind w:firstLine="708"/>
        <w:jc w:val="both"/>
        <w:rPr>
          <w:rFonts w:ascii="Times New Roman" w:hAnsi="Times New Roman" w:cs="Times New Roman"/>
          <w:sz w:val="24"/>
          <w:lang w:val="uk-UA"/>
        </w:rPr>
      </w:pPr>
      <w:r w:rsidRPr="00A56929">
        <w:rPr>
          <w:rFonts w:ascii="Times New Roman" w:hAnsi="Times New Roman" w:cs="Times New Roman"/>
          <w:sz w:val="24"/>
          <w:lang w:val="uk-UA"/>
        </w:rPr>
        <w:t xml:space="preserve">Таким чином, основне рівняння нечіткої моделі має вид: </w:t>
      </w:r>
      <m:oMath>
        <m:r>
          <w:rPr>
            <w:rFonts w:ascii="Cambria Math" w:hAnsi="Cambria Math" w:cs="Times New Roman"/>
            <w:sz w:val="24"/>
            <w:lang w:val="uk-UA"/>
          </w:rPr>
          <m:t xml:space="preserve">R= </m:t>
        </m:r>
        <m:sSub>
          <m:sSubPr>
            <m:ctrlPr>
              <w:rPr>
                <w:rFonts w:ascii="Cambria Math" w:hAnsi="Cambria Math" w:cs="Times New Roman"/>
                <w:i/>
                <w:sz w:val="24"/>
                <w:lang w:val="uk-UA"/>
              </w:rPr>
            </m:ctrlPr>
          </m:sSubPr>
          <m:e>
            <m:r>
              <w:rPr>
                <w:rFonts w:ascii="Cambria Math" w:hAnsi="Cambria Math" w:cs="Times New Roman"/>
                <w:sz w:val="24"/>
                <w:lang w:val="uk-UA"/>
              </w:rPr>
              <m:t>f</m:t>
            </m:r>
          </m:e>
          <m:sub>
            <m:r>
              <w:rPr>
                <w:rFonts w:ascii="Cambria Math" w:hAnsi="Cambria Math" w:cs="Times New Roman"/>
                <w:sz w:val="24"/>
                <w:lang w:val="uk-UA"/>
              </w:rPr>
              <m:t>r</m:t>
            </m:r>
          </m:sub>
        </m:sSub>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x</m:t>
            </m:r>
          </m:e>
          <m:sub>
            <m:r>
              <w:rPr>
                <w:rFonts w:ascii="Cambria Math" w:hAnsi="Cambria Math" w:cs="Times New Roman"/>
                <w:sz w:val="24"/>
                <w:lang w:val="uk-UA"/>
              </w:rPr>
              <m:t>1</m:t>
            </m:r>
          </m:sub>
        </m:sSub>
        <m:r>
          <w:rPr>
            <w:rFonts w:ascii="Cambria Math" w:hAnsi="Cambria Math" w:cs="Times New Roman"/>
            <w:sz w:val="24"/>
            <w:lang w:val="uk-UA"/>
          </w:rPr>
          <m:t xml:space="preserve">, </m:t>
        </m:r>
        <m:sSub>
          <m:sSubPr>
            <m:ctrlPr>
              <w:rPr>
                <w:rFonts w:ascii="Cambria Math" w:hAnsi="Cambria Math" w:cs="Times New Roman"/>
                <w:i/>
                <w:sz w:val="24"/>
                <w:lang w:val="uk-UA"/>
              </w:rPr>
            </m:ctrlPr>
          </m:sSubPr>
          <m:e>
            <m:r>
              <w:rPr>
                <w:rFonts w:ascii="Cambria Math" w:hAnsi="Cambria Math" w:cs="Times New Roman"/>
                <w:sz w:val="24"/>
                <w:lang w:val="uk-UA"/>
              </w:rPr>
              <m:t>x</m:t>
            </m:r>
          </m:e>
          <m:sub>
            <m:r>
              <w:rPr>
                <w:rFonts w:ascii="Cambria Math" w:hAnsi="Cambria Math" w:cs="Times New Roman"/>
                <w:sz w:val="24"/>
                <w:lang w:val="uk-UA"/>
              </w:rPr>
              <m:t>2</m:t>
            </m:r>
          </m:sub>
        </m:sSub>
        <m:r>
          <w:rPr>
            <w:rFonts w:ascii="Cambria Math" w:hAnsi="Cambria Math" w:cs="Times New Roman"/>
            <w:sz w:val="24"/>
            <w:lang w:val="uk-UA"/>
          </w:rPr>
          <m:t>,</m:t>
        </m:r>
        <m:sSub>
          <m:sSubPr>
            <m:ctrlPr>
              <w:rPr>
                <w:rFonts w:ascii="Cambria Math" w:hAnsi="Cambria Math" w:cs="Times New Roman"/>
                <w:i/>
                <w:sz w:val="24"/>
                <w:lang w:val="uk-UA"/>
              </w:rPr>
            </m:ctrlPr>
          </m:sSubPr>
          <m:e>
            <m:r>
              <w:rPr>
                <w:rFonts w:ascii="Cambria Math" w:hAnsi="Cambria Math" w:cs="Times New Roman"/>
                <w:sz w:val="24"/>
                <w:lang w:val="uk-UA"/>
              </w:rPr>
              <m:t>x</m:t>
            </m:r>
          </m:e>
          <m:sub>
            <m:r>
              <w:rPr>
                <w:rFonts w:ascii="Cambria Math" w:hAnsi="Cambria Math" w:cs="Times New Roman"/>
                <w:sz w:val="24"/>
                <w:lang w:val="uk-UA"/>
              </w:rPr>
              <m:t>3</m:t>
            </m:r>
          </m:sub>
        </m:sSub>
        <m:r>
          <w:rPr>
            <w:rFonts w:ascii="Cambria Math" w:hAnsi="Cambria Math" w:cs="Times New Roman"/>
            <w:sz w:val="24"/>
            <w:lang w:val="uk-UA"/>
          </w:rPr>
          <m:t>)</m:t>
        </m:r>
      </m:oMath>
      <w:r w:rsidRPr="00A56929">
        <w:rPr>
          <w:rFonts w:ascii="Times New Roman" w:hAnsi="Times New Roman" w:cs="Times New Roman"/>
          <w:sz w:val="24"/>
          <w:lang w:val="uk-UA"/>
        </w:rPr>
        <w:t>, оцінка доповіді R представляється наступними термами: r</w:t>
      </w:r>
      <w:r w:rsidRPr="00A56929">
        <w:rPr>
          <w:rFonts w:ascii="Times New Roman" w:hAnsi="Times New Roman" w:cs="Times New Roman"/>
          <w:sz w:val="24"/>
          <w:vertAlign w:val="subscript"/>
          <w:lang w:val="uk-UA"/>
        </w:rPr>
        <w:t>1</w:t>
      </w:r>
      <w:r w:rsidRPr="00A56929">
        <w:rPr>
          <w:rFonts w:ascii="Times New Roman" w:hAnsi="Times New Roman" w:cs="Times New Roman"/>
          <w:sz w:val="24"/>
          <w:lang w:val="uk-UA"/>
        </w:rPr>
        <w:t xml:space="preserve"> – погано, r</w:t>
      </w:r>
      <w:r w:rsidRPr="00A56929">
        <w:rPr>
          <w:rFonts w:ascii="Times New Roman" w:hAnsi="Times New Roman" w:cs="Times New Roman"/>
          <w:sz w:val="24"/>
          <w:vertAlign w:val="subscript"/>
          <w:lang w:val="uk-UA"/>
        </w:rPr>
        <w:t>2</w:t>
      </w:r>
      <w:r w:rsidRPr="00A56929">
        <w:rPr>
          <w:rFonts w:ascii="Times New Roman" w:hAnsi="Times New Roman" w:cs="Times New Roman"/>
          <w:sz w:val="24"/>
          <w:lang w:val="uk-UA"/>
        </w:rPr>
        <w:t xml:space="preserve"> – нижче середнього, r</w:t>
      </w:r>
      <w:r w:rsidRPr="00A56929">
        <w:rPr>
          <w:rFonts w:ascii="Times New Roman" w:hAnsi="Times New Roman" w:cs="Times New Roman"/>
          <w:sz w:val="24"/>
          <w:vertAlign w:val="subscript"/>
          <w:lang w:val="uk-UA"/>
        </w:rPr>
        <w:t>3</w:t>
      </w:r>
      <w:r w:rsidRPr="00A56929">
        <w:rPr>
          <w:rFonts w:ascii="Times New Roman" w:hAnsi="Times New Roman" w:cs="Times New Roman"/>
          <w:sz w:val="24"/>
          <w:lang w:val="uk-UA"/>
        </w:rPr>
        <w:t xml:space="preserve"> – середнє, r</w:t>
      </w:r>
      <w:r w:rsidRPr="00A56929">
        <w:rPr>
          <w:rFonts w:ascii="Times New Roman" w:hAnsi="Times New Roman" w:cs="Times New Roman"/>
          <w:sz w:val="24"/>
          <w:vertAlign w:val="subscript"/>
          <w:lang w:val="uk-UA"/>
        </w:rPr>
        <w:t>4</w:t>
      </w:r>
      <w:r w:rsidRPr="00A56929">
        <w:rPr>
          <w:rFonts w:ascii="Times New Roman" w:hAnsi="Times New Roman" w:cs="Times New Roman"/>
          <w:sz w:val="24"/>
          <w:lang w:val="uk-UA"/>
        </w:rPr>
        <w:t xml:space="preserve"> – вище середнього, r</w:t>
      </w:r>
      <w:r w:rsidRPr="00A56929">
        <w:rPr>
          <w:rFonts w:ascii="Times New Roman" w:hAnsi="Times New Roman" w:cs="Times New Roman"/>
          <w:sz w:val="24"/>
          <w:vertAlign w:val="subscript"/>
          <w:lang w:val="uk-UA"/>
        </w:rPr>
        <w:t>5</w:t>
      </w:r>
      <w:r w:rsidRPr="00A56929">
        <w:rPr>
          <w:rFonts w:ascii="Times New Roman" w:hAnsi="Times New Roman" w:cs="Times New Roman"/>
          <w:sz w:val="24"/>
          <w:lang w:val="uk-UA"/>
        </w:rPr>
        <w:t xml:space="preserve"> - добре. Це рівняння зв’язує терми значень лінгвістичної змінної за допомогою бази правил системи нечіткого виводу (ПСНВ) типу:</w:t>
      </w:r>
    </w:p>
    <w:p w14:paraId="1A31AAA4" w14:textId="38842CF1" w:rsidR="00DF63CF" w:rsidRPr="00A56929" w:rsidRDefault="00EA6D79" w:rsidP="00DF63CF">
      <w:pPr>
        <w:pStyle w:val="a3"/>
        <w:spacing w:after="0" w:line="240" w:lineRule="auto"/>
        <w:ind w:left="0" w:firstLine="709"/>
        <w:jc w:val="both"/>
        <w:rPr>
          <w:rFonts w:ascii="Times New Roman" w:hAnsi="Times New Roman" w:cs="Times New Roman"/>
          <w:sz w:val="24"/>
          <w:lang w:val="uk-UA"/>
        </w:rPr>
      </w:pPr>
      <m:oMath>
        <m:r>
          <w:rPr>
            <w:rFonts w:ascii="Cambria Math" w:hAnsi="Cambria Math" w:cs="Times New Roman"/>
            <w:sz w:val="24"/>
            <w:lang w:val="uk-UA"/>
          </w:rPr>
          <m:t xml:space="preserve">IF </m:t>
        </m:r>
        <m:sSub>
          <m:sSubPr>
            <m:ctrlPr>
              <w:rPr>
                <w:rFonts w:ascii="Cambria Math" w:hAnsi="Cambria Math" w:cs="Times New Roman"/>
                <w:i/>
                <w:sz w:val="24"/>
                <w:lang w:val="uk-UA"/>
              </w:rPr>
            </m:ctrlPr>
          </m:sSubPr>
          <m:e>
            <m:r>
              <w:rPr>
                <w:rFonts w:ascii="Cambria Math" w:hAnsi="Cambria Math" w:cs="Times New Roman"/>
                <w:sz w:val="24"/>
                <w:lang w:val="uk-UA"/>
              </w:rPr>
              <m:t>x</m:t>
            </m:r>
          </m:e>
          <m:sub>
            <m:r>
              <w:rPr>
                <w:rFonts w:ascii="Cambria Math" w:hAnsi="Cambria Math" w:cs="Times New Roman"/>
                <w:sz w:val="24"/>
                <w:lang w:val="uk-UA"/>
              </w:rPr>
              <m:t>1</m:t>
            </m:r>
          </m:sub>
        </m:sSub>
        <m:r>
          <w:rPr>
            <w:rFonts w:ascii="Cambria Math" w:hAnsi="Cambria Math" w:cs="Times New Roman"/>
            <w:sz w:val="24"/>
            <w:lang w:val="uk-UA"/>
          </w:rPr>
          <m:t xml:space="preserve"> is a</m:t>
        </m:r>
        <m:r>
          <w:rPr>
            <w:rFonts w:ascii="Cambria Math" w:eastAsiaTheme="minorEastAsia" w:hAnsi="Cambria Math" w:cs="Times New Roman"/>
            <w:sz w:val="24"/>
            <w:lang w:val="uk-UA"/>
          </w:rPr>
          <m:t xml:space="preserve"> AND </m:t>
        </m:r>
        <m:sSub>
          <m:sSubPr>
            <m:ctrlPr>
              <w:rPr>
                <w:rFonts w:ascii="Cambria Math" w:eastAsiaTheme="minorEastAsia" w:hAnsi="Cambria Math" w:cs="Times New Roman"/>
                <w:i/>
                <w:sz w:val="24"/>
                <w:lang w:val="uk-UA"/>
              </w:rPr>
            </m:ctrlPr>
          </m:sSubPr>
          <m:e>
            <m:r>
              <w:rPr>
                <w:rFonts w:ascii="Cambria Math" w:eastAsiaTheme="minorEastAsia" w:hAnsi="Cambria Math" w:cs="Times New Roman"/>
                <w:sz w:val="24"/>
                <w:lang w:val="uk-UA"/>
              </w:rPr>
              <m:t>x</m:t>
            </m:r>
          </m:e>
          <m:sub>
            <m:r>
              <w:rPr>
                <w:rFonts w:ascii="Cambria Math" w:eastAsiaTheme="minorEastAsia" w:hAnsi="Cambria Math" w:cs="Times New Roman"/>
                <w:sz w:val="24"/>
                <w:lang w:val="uk-UA"/>
              </w:rPr>
              <m:t>2</m:t>
            </m:r>
          </m:sub>
        </m:sSub>
        <m:r>
          <w:rPr>
            <w:rFonts w:ascii="Cambria Math" w:eastAsiaTheme="minorEastAsia" w:hAnsi="Cambria Math" w:cs="Times New Roman"/>
            <w:sz w:val="24"/>
            <w:lang w:val="uk-UA"/>
          </w:rPr>
          <m:t xml:space="preserve"> is b THEN R=r(w)</m:t>
        </m:r>
      </m:oMath>
      <w:r w:rsidR="00DF63CF" w:rsidRPr="00A56929">
        <w:rPr>
          <w:rFonts w:ascii="Times New Roman" w:hAnsi="Times New Roman" w:cs="Times New Roman"/>
          <w:i/>
          <w:sz w:val="24"/>
          <w:lang w:val="uk-UA"/>
        </w:rPr>
        <w:t>,</w:t>
      </w:r>
      <w:r w:rsidR="00DF63CF" w:rsidRPr="00A56929">
        <w:rPr>
          <w:rFonts w:ascii="Times New Roman" w:hAnsi="Times New Roman" w:cs="Times New Roman"/>
          <w:sz w:val="24"/>
          <w:lang w:val="uk-UA"/>
        </w:rPr>
        <w:t xml:space="preserve"> де a, b, r – терми, w – вага правила.</w:t>
      </w:r>
    </w:p>
    <w:p w14:paraId="3C9AD031" w14:textId="05A4C702" w:rsidR="00DF63CF" w:rsidRPr="00A56929" w:rsidRDefault="00DF63CF" w:rsidP="00DF63CF">
      <w:pPr>
        <w:spacing w:after="0" w:line="240" w:lineRule="auto"/>
        <w:ind w:firstLine="708"/>
        <w:jc w:val="both"/>
        <w:rPr>
          <w:rFonts w:ascii="Times New Roman" w:hAnsi="Times New Roman" w:cs="Times New Roman"/>
          <w:sz w:val="24"/>
          <w:lang w:val="uk-UA"/>
        </w:rPr>
      </w:pPr>
      <w:r w:rsidRPr="00A56929">
        <w:rPr>
          <w:rFonts w:ascii="Times New Roman" w:hAnsi="Times New Roman" w:cs="Times New Roman"/>
          <w:sz w:val="24"/>
          <w:lang w:val="uk-UA"/>
        </w:rPr>
        <w:t>Кількість ПСНВ дорівнює  добутку термів значень и визначається експертами. Для отримання оцінки оповіді на основі ПСНВ треба реалізувати наступні етапи: фазифікацію вхідних змінних, агрерування передумов в нечітких правилах продукції, активація або композиція під висновок в нечітких правилах продукції, акумулювання висновків нечітких правилах продукції. Ці етапи реалізуються різними алгоритмами нечіткого виводу. При тестуванні нечіткої моделі оцінювання доповідей був застосован алгоритм Мамдамі, як найбільш підходящих для цієї задачі.</w:t>
      </w:r>
    </w:p>
    <w:p w14:paraId="1D73559F" w14:textId="0E2F0141" w:rsidR="00EA6D79" w:rsidRPr="00A56929" w:rsidRDefault="00EA6D79" w:rsidP="00DF63CF">
      <w:pPr>
        <w:spacing w:after="0" w:line="240" w:lineRule="auto"/>
        <w:ind w:firstLine="708"/>
        <w:jc w:val="both"/>
        <w:rPr>
          <w:rFonts w:ascii="Times New Roman" w:hAnsi="Times New Roman" w:cs="Times New Roman"/>
          <w:sz w:val="24"/>
          <w:lang w:val="uk-UA"/>
        </w:rPr>
      </w:pPr>
      <w:r w:rsidRPr="00A56929">
        <w:rPr>
          <w:rFonts w:ascii="Times New Roman" w:hAnsi="Times New Roman" w:cs="Times New Roman"/>
          <w:sz w:val="24"/>
          <w:lang w:val="uk-UA"/>
        </w:rPr>
        <w:t>Результати тестування нечіткої моделі оцінки доповідей студентської конференції продемонстровано на рис. 1. Для перевірки програми використаємо наступні значення: «Якісний аналіз стану проблеми» = 4.25, «Структура роботи» = 4.75, «Якість оформлення роботи» = 3.5. При таких значення оцінка роботи вийде 4.07.</w:t>
      </w:r>
      <w:r w:rsidR="00E13DED" w:rsidRPr="00A56929">
        <w:rPr>
          <w:rFonts w:ascii="Times New Roman" w:hAnsi="Times New Roman" w:cs="Times New Roman"/>
          <w:sz w:val="24"/>
          <w:lang w:val="uk-UA"/>
        </w:rPr>
        <w:t xml:space="preserve"> По побудованим графікам на рис. 1</w:t>
      </w:r>
      <w:r w:rsidR="00F317F9" w:rsidRPr="00A56929">
        <w:rPr>
          <w:rFonts w:ascii="Times New Roman" w:hAnsi="Times New Roman" w:cs="Times New Roman"/>
          <w:sz w:val="24"/>
          <w:lang w:val="uk-UA"/>
        </w:rPr>
        <w:t xml:space="preserve"> </w:t>
      </w:r>
      <w:r w:rsidR="00E13DED" w:rsidRPr="00A56929">
        <w:rPr>
          <w:rFonts w:ascii="Times New Roman" w:hAnsi="Times New Roman" w:cs="Times New Roman"/>
          <w:sz w:val="24"/>
          <w:lang w:val="uk-UA"/>
        </w:rPr>
        <w:t xml:space="preserve">видно, що вхідні змінні «Якісний аналіз стану проблеми» та «Структура роботи» з вірогідністю сто відсотків відносяться до оцінки добре. А змінна «Якість оформлення роботи» може відноситись, як до оцінки середнє, так і до оцінки добре. </w:t>
      </w:r>
      <w:r w:rsidR="00A56929" w:rsidRPr="00A56929">
        <w:rPr>
          <w:rFonts w:ascii="Times New Roman" w:hAnsi="Times New Roman" w:cs="Times New Roman"/>
          <w:sz w:val="24"/>
          <w:lang w:val="uk-UA"/>
        </w:rPr>
        <w:t>Для вихідної змінної «Оцінка роботи» можливо два значення, або вище середнього, або добре. Так як «Якість оформлення роботи» більше відноситься до оцінки середнє, то і «Оцінка роботи» більше відноситься до оцінки добре.</w:t>
      </w:r>
    </w:p>
    <w:p w14:paraId="33E70FDF" w14:textId="0C28C773" w:rsidR="00EA6D79" w:rsidRPr="00A56929" w:rsidRDefault="00A56929" w:rsidP="00DF63CF">
      <w:pPr>
        <w:spacing w:after="0" w:line="240" w:lineRule="auto"/>
        <w:ind w:firstLine="708"/>
        <w:jc w:val="both"/>
        <w:rPr>
          <w:rFonts w:ascii="Times New Roman" w:hAnsi="Times New Roman" w:cs="Times New Roman"/>
          <w:sz w:val="24"/>
          <w:lang w:val="uk-UA"/>
        </w:rPr>
      </w:pPr>
      <w:r w:rsidRPr="00A56929">
        <w:rPr>
          <w:rFonts w:ascii="Times New Roman" w:hAnsi="Times New Roman" w:cs="Times New Roman"/>
          <w:sz w:val="24"/>
          <w:lang w:val="uk-UA"/>
        </w:rPr>
        <w:t>Теорія нечіткої логіки полягає в понятті відносної градуйованої власності, натхненної процесами людського сприйняття і пізнання. Нечітка логіка може мати справу з інформацією, що виникає з обчислювального сприйняття та пізнання, тобто з невизначеною, неточною, розпливчастою, частково істинною або без різких кордонів. Нечітка логіка дозволяє включати нечіткі людські оцінки до обчислювальних завдань. Крім того, в</w:t>
      </w:r>
      <w:r w:rsidR="006F5B95">
        <w:rPr>
          <w:rFonts w:ascii="Times New Roman" w:hAnsi="Times New Roman" w:cs="Times New Roman"/>
          <w:sz w:val="24"/>
          <w:lang w:val="uk-UA"/>
        </w:rPr>
        <w:t>она</w:t>
      </w:r>
      <w:r w:rsidRPr="00A56929">
        <w:rPr>
          <w:rFonts w:ascii="Times New Roman" w:hAnsi="Times New Roman" w:cs="Times New Roman"/>
          <w:sz w:val="24"/>
          <w:lang w:val="uk-UA"/>
        </w:rPr>
        <w:t xml:space="preserve"> надає ефективні засоби для вирішення конфліктів за багатьма критеріями та кращою оцінкою варіантів. Нові обчислювальні методи, що ґрунтуються на нечіткій </w:t>
      </w:r>
      <w:r w:rsidR="006F5B95" w:rsidRPr="00A56929">
        <w:rPr>
          <w:rFonts w:ascii="Times New Roman" w:hAnsi="Times New Roman" w:cs="Times New Roman"/>
          <w:sz w:val="24"/>
          <w:lang w:val="uk-UA"/>
        </w:rPr>
        <w:t>логікі</w:t>
      </w:r>
      <w:r w:rsidRPr="00A56929">
        <w:rPr>
          <w:rFonts w:ascii="Times New Roman" w:hAnsi="Times New Roman" w:cs="Times New Roman"/>
          <w:sz w:val="24"/>
          <w:lang w:val="uk-UA"/>
        </w:rPr>
        <w:t xml:space="preserve">, можуть бути використані при розробці інтелектуальних систем для прийняття рішень, </w:t>
      </w:r>
      <w:r w:rsidRPr="00A56929">
        <w:rPr>
          <w:rFonts w:ascii="Times New Roman" w:hAnsi="Times New Roman" w:cs="Times New Roman"/>
          <w:sz w:val="24"/>
          <w:lang w:val="uk-UA"/>
        </w:rPr>
        <w:lastRenderedPageBreak/>
        <w:t>ідентифікації, розпізнавання образів, оптимізації та управління.</w:t>
      </w:r>
      <w:r w:rsidR="006F5B95">
        <w:rPr>
          <w:rFonts w:ascii="Times New Roman" w:hAnsi="Times New Roman" w:cs="Times New Roman"/>
          <w:sz w:val="24"/>
          <w:lang w:val="uk-UA"/>
        </w:rPr>
        <w:t xml:space="preserve"> У той же час</w:t>
      </w:r>
      <w:r w:rsidRPr="00A56929">
        <w:rPr>
          <w:rFonts w:ascii="Times New Roman" w:hAnsi="Times New Roman" w:cs="Times New Roman"/>
          <w:sz w:val="24"/>
          <w:lang w:val="uk-UA"/>
        </w:rPr>
        <w:t xml:space="preserve"> </w:t>
      </w:r>
      <w:r w:rsidR="006F5B95">
        <w:rPr>
          <w:rFonts w:ascii="Times New Roman" w:hAnsi="Times New Roman" w:cs="Times New Roman"/>
          <w:sz w:val="24"/>
          <w:lang w:val="uk-UA"/>
        </w:rPr>
        <w:t>о</w:t>
      </w:r>
      <w:r w:rsidR="00EA6D79" w:rsidRPr="00A56929">
        <w:rPr>
          <w:rFonts w:ascii="Times New Roman" w:hAnsi="Times New Roman" w:cs="Times New Roman"/>
          <w:sz w:val="24"/>
          <w:lang w:val="uk-UA"/>
        </w:rPr>
        <w:t>бласть оцінювання студентів, досі є не ідеальною і має ряд проблем із об’єктивністю. Дослідження на цю тему, в котрих брали різні частини цієї області, як наприклад, оцінювання успішності, якості критеріїв оцінювання, критеріїв, котрі неможливо точно оцінити класичними способами</w:t>
      </w:r>
      <w:r w:rsidR="006F5B95">
        <w:rPr>
          <w:rFonts w:ascii="Times New Roman" w:hAnsi="Times New Roman" w:cs="Times New Roman"/>
          <w:sz w:val="24"/>
          <w:lang w:val="uk-UA"/>
        </w:rPr>
        <w:t>. Результати досліджень</w:t>
      </w:r>
      <w:r w:rsidR="00EA6D79" w:rsidRPr="00A56929">
        <w:rPr>
          <w:rFonts w:ascii="Times New Roman" w:hAnsi="Times New Roman" w:cs="Times New Roman"/>
          <w:sz w:val="24"/>
          <w:lang w:val="uk-UA"/>
        </w:rPr>
        <w:t xml:space="preserve"> показують, що програми на основі нечіткої логіки добре себе показують і можуть бути ефективно використані. Такі програми є більш гнучкими, що дозволяє більш точно вирахувати оцінку. Сучасні тенденції самі диктують умови, як повинні виглядати такі програми. Вони мають бути легко інтегровані і бути доступними у будь-якій частині світу</w:t>
      </w:r>
      <w:r w:rsidR="006F5B95">
        <w:rPr>
          <w:rFonts w:ascii="Times New Roman" w:hAnsi="Times New Roman" w:cs="Times New Roman"/>
          <w:sz w:val="24"/>
          <w:lang w:val="uk-UA"/>
        </w:rPr>
        <w:t>. Для цього найкраще підходять веб модулі, розробка якого і буде наступним кроком дослідження</w:t>
      </w:r>
      <w:r w:rsidR="00EA6D79" w:rsidRPr="00A56929">
        <w:rPr>
          <w:rFonts w:ascii="Times New Roman" w:hAnsi="Times New Roman" w:cs="Times New Roman"/>
          <w:sz w:val="24"/>
          <w:lang w:val="uk-UA"/>
        </w:rPr>
        <w:t>. Дослідження і розробка на цю тему, ще тривають і кожна область оцінювання - є унікальною і потребує індивідуального підходу. Власний дод</w:t>
      </w:r>
      <w:bookmarkStart w:id="1" w:name="_GoBack"/>
      <w:bookmarkEnd w:id="1"/>
      <w:r w:rsidR="00EA6D79" w:rsidRPr="00A56929">
        <w:rPr>
          <w:rFonts w:ascii="Times New Roman" w:hAnsi="Times New Roman" w:cs="Times New Roman"/>
          <w:sz w:val="24"/>
          <w:lang w:val="uk-UA"/>
        </w:rPr>
        <w:t>аток розроблений для оцінювання доповідей, показав гарні результати і може бути використаний у реальних проектах.</w:t>
      </w:r>
    </w:p>
    <w:p w14:paraId="7C646706" w14:textId="600E7248" w:rsidR="00EA6D79" w:rsidRPr="00A56929" w:rsidRDefault="00F317F9" w:rsidP="00EA6D79">
      <w:pPr>
        <w:spacing w:after="0" w:line="240" w:lineRule="auto"/>
        <w:jc w:val="center"/>
        <w:rPr>
          <w:rFonts w:ascii="Times New Roman" w:hAnsi="Times New Roman" w:cs="Times New Roman"/>
          <w:sz w:val="24"/>
          <w:lang w:val="uk-UA"/>
        </w:rPr>
      </w:pPr>
      <w:r w:rsidRPr="00A56929">
        <w:rPr>
          <w:rFonts w:ascii="Times New Roman" w:hAnsi="Times New Roman" w:cs="Times New Roman"/>
          <w:noProof/>
          <w:sz w:val="24"/>
          <w:lang w:val="uk-UA"/>
        </w:rPr>
        <w:drawing>
          <wp:inline distT="0" distB="0" distL="0" distR="0" wp14:anchorId="5A6BB9E8" wp14:editId="6095709F">
            <wp:extent cx="6652260" cy="40538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52260" cy="4053840"/>
                    </a:xfrm>
                    <a:prstGeom prst="rect">
                      <a:avLst/>
                    </a:prstGeom>
                    <a:noFill/>
                    <a:ln>
                      <a:noFill/>
                    </a:ln>
                  </pic:spPr>
                </pic:pic>
              </a:graphicData>
            </a:graphic>
          </wp:inline>
        </w:drawing>
      </w:r>
    </w:p>
    <w:p w14:paraId="2B88309C" w14:textId="4ACE89DB" w:rsidR="00EA6D79" w:rsidRPr="00A56929" w:rsidRDefault="00EA6D79" w:rsidP="00EA6D79">
      <w:pPr>
        <w:spacing w:after="0" w:line="240" w:lineRule="auto"/>
        <w:ind w:firstLine="709"/>
        <w:jc w:val="center"/>
        <w:rPr>
          <w:rFonts w:ascii="Times New Roman" w:hAnsi="Times New Roman" w:cs="Times New Roman"/>
          <w:sz w:val="24"/>
          <w:lang w:val="uk-UA"/>
        </w:rPr>
      </w:pPr>
      <w:r w:rsidRPr="00A56929">
        <w:rPr>
          <w:rFonts w:ascii="Times New Roman" w:hAnsi="Times New Roman" w:cs="Times New Roman"/>
          <w:sz w:val="24"/>
          <w:lang w:val="uk-UA"/>
        </w:rPr>
        <w:t>Рисунок 1 – приклад виконання програми</w:t>
      </w:r>
    </w:p>
    <w:p w14:paraId="708B6767" w14:textId="77777777" w:rsidR="00D27D78" w:rsidRPr="00A56929" w:rsidRDefault="00D27D78" w:rsidP="00EA6D79">
      <w:pPr>
        <w:spacing w:after="0" w:line="240" w:lineRule="auto"/>
        <w:ind w:firstLine="709"/>
        <w:jc w:val="center"/>
        <w:rPr>
          <w:rFonts w:ascii="Times New Roman" w:hAnsi="Times New Roman" w:cs="Times New Roman"/>
          <w:sz w:val="24"/>
          <w:lang w:val="uk-UA"/>
        </w:rPr>
      </w:pPr>
    </w:p>
    <w:p w14:paraId="05331F4C" w14:textId="77777777" w:rsidR="00D27D78" w:rsidRPr="00A56929" w:rsidRDefault="00D27D78" w:rsidP="00D27D78">
      <w:pPr>
        <w:spacing w:after="0" w:line="240" w:lineRule="auto"/>
        <w:ind w:firstLine="709"/>
        <w:jc w:val="both"/>
        <w:rPr>
          <w:rFonts w:ascii="Times New Roman" w:hAnsi="Times New Roman" w:cs="Times New Roman"/>
          <w:b/>
          <w:sz w:val="24"/>
          <w:lang w:val="uk-UA"/>
        </w:rPr>
      </w:pPr>
      <w:r w:rsidRPr="00A56929">
        <w:rPr>
          <w:rFonts w:ascii="Times New Roman" w:hAnsi="Times New Roman" w:cs="Times New Roman"/>
          <w:b/>
          <w:sz w:val="24"/>
          <w:lang w:val="uk-UA"/>
        </w:rPr>
        <w:t>Перелік джерел посилання.</w:t>
      </w:r>
    </w:p>
    <w:p w14:paraId="3CAE413A" w14:textId="60AF64EF" w:rsidR="00EA6D79" w:rsidRPr="00A56929" w:rsidRDefault="00D27D78" w:rsidP="00D27D78">
      <w:pPr>
        <w:pStyle w:val="a3"/>
        <w:numPr>
          <w:ilvl w:val="0"/>
          <w:numId w:val="9"/>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ПОЛОЖЕНИЕ О ЕЖЕГОДНОЙ СТУДЕНЧЕСКОЙ НАУЧНО – ПРАКТИЧЕСКОЙ КОНФЕРЕНЦИИ: Положення / за ред. Новосибірської області. Новосибірськ, 2015. 10 с</w:t>
      </w:r>
    </w:p>
    <w:p w14:paraId="43C01883" w14:textId="78A86810" w:rsidR="00D27D78" w:rsidRPr="00A56929" w:rsidRDefault="00D27D78" w:rsidP="00D27D78">
      <w:pPr>
        <w:pStyle w:val="a3"/>
        <w:numPr>
          <w:ilvl w:val="0"/>
          <w:numId w:val="9"/>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Лисичанський педагогічний фаховий коледж: [Інтернет-портал]. URL: http://lisichansk.luguniv.edu.ua/03-nauka/03-konferentsii/doc/conf_krok_u_nauku_ rubezhnoe.pdf (дата звернення:  15.11.2021).</w:t>
      </w:r>
    </w:p>
    <w:p w14:paraId="6FAD3940" w14:textId="6E7BDDB7" w:rsidR="00D27D78" w:rsidRPr="00A56929" w:rsidRDefault="00D27D78" w:rsidP="00D27D78">
      <w:pPr>
        <w:pStyle w:val="a3"/>
        <w:numPr>
          <w:ilvl w:val="0"/>
          <w:numId w:val="9"/>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Леоненков А. В. Нечеткое моделирование в среде MATLAB и fuzzeTECH / за ред. БХВ. СПб, 2005. 736 с.</w:t>
      </w:r>
    </w:p>
    <w:p w14:paraId="4E63783B" w14:textId="2599DEFB" w:rsidR="00D27D78" w:rsidRPr="00A56929" w:rsidRDefault="004711B5" w:rsidP="00D27D78">
      <w:pPr>
        <w:pStyle w:val="a3"/>
        <w:numPr>
          <w:ilvl w:val="0"/>
          <w:numId w:val="9"/>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Вешнева И. В. Математические модели в системе управления качеством высшего образования с использованием методов нечеткой логики / за ред. Саратовский источник. Саратов, 2010. 187 с.</w:t>
      </w:r>
    </w:p>
    <w:p w14:paraId="1B0BF876" w14:textId="260ADE87" w:rsidR="004711B5" w:rsidRPr="00A56929" w:rsidRDefault="004711B5" w:rsidP="00D27D78">
      <w:pPr>
        <w:pStyle w:val="a3"/>
        <w:numPr>
          <w:ilvl w:val="0"/>
          <w:numId w:val="9"/>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ResearchGate: [Інтернет-портал]. 2010. URL: https://www.researchgate.net/publication/248607396_Evaluation_of_student_performance_in_laboratory_applications_using_fuzzy_logic (дата звернення:  11.04.2021).</w:t>
      </w:r>
    </w:p>
    <w:p w14:paraId="5F783162" w14:textId="2F47800C" w:rsidR="006F5B95" w:rsidRPr="006F5B95" w:rsidRDefault="004711B5" w:rsidP="006F5B95">
      <w:pPr>
        <w:pStyle w:val="a3"/>
        <w:numPr>
          <w:ilvl w:val="0"/>
          <w:numId w:val="9"/>
        </w:numPr>
        <w:spacing w:after="0" w:line="240" w:lineRule="auto"/>
        <w:jc w:val="both"/>
        <w:rPr>
          <w:rFonts w:ascii="Times New Roman" w:hAnsi="Times New Roman" w:cs="Times New Roman"/>
          <w:sz w:val="24"/>
          <w:lang w:val="uk-UA"/>
        </w:rPr>
      </w:pPr>
      <w:r w:rsidRPr="00A56929">
        <w:rPr>
          <w:rFonts w:ascii="Times New Roman" w:hAnsi="Times New Roman" w:cs="Times New Roman"/>
          <w:sz w:val="24"/>
          <w:lang w:val="uk-UA"/>
        </w:rPr>
        <w:t>An Enhanced Systematic Student Performance Evaluation Based on Fuzzy Logic Approach for Selection of Best Student Award // Asian Journal of University Education (AJUE). 2020., вип. 16 T. 4.  С. 11.</w:t>
      </w:r>
    </w:p>
    <w:sectPr w:rsidR="006F5B95" w:rsidRPr="006F5B95" w:rsidSect="0044722B">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2C0"/>
    <w:multiLevelType w:val="hybridMultilevel"/>
    <w:tmpl w:val="E9AE6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654A0B"/>
    <w:multiLevelType w:val="hybridMultilevel"/>
    <w:tmpl w:val="B6403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830EA9"/>
    <w:multiLevelType w:val="hybridMultilevel"/>
    <w:tmpl w:val="560C9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70A9D"/>
    <w:multiLevelType w:val="hybridMultilevel"/>
    <w:tmpl w:val="B7085512"/>
    <w:lvl w:ilvl="0" w:tplc="6F66F67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CB5724"/>
    <w:multiLevelType w:val="hybridMultilevel"/>
    <w:tmpl w:val="77DCD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061238"/>
    <w:multiLevelType w:val="hybridMultilevel"/>
    <w:tmpl w:val="2564E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AB7299"/>
    <w:multiLevelType w:val="hybridMultilevel"/>
    <w:tmpl w:val="30E64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4B59BE"/>
    <w:multiLevelType w:val="hybridMultilevel"/>
    <w:tmpl w:val="43D00D60"/>
    <w:lvl w:ilvl="0" w:tplc="6F66F67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6D4534"/>
    <w:multiLevelType w:val="hybridMultilevel"/>
    <w:tmpl w:val="25A6A330"/>
    <w:lvl w:ilvl="0" w:tplc="6F66F6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8"/>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6A"/>
    <w:rsid w:val="0000581F"/>
    <w:rsid w:val="00084AE6"/>
    <w:rsid w:val="0014410F"/>
    <w:rsid w:val="001A279A"/>
    <w:rsid w:val="001F143D"/>
    <w:rsid w:val="002006E6"/>
    <w:rsid w:val="002B62FA"/>
    <w:rsid w:val="002F2F9F"/>
    <w:rsid w:val="0032616A"/>
    <w:rsid w:val="003F7E9A"/>
    <w:rsid w:val="0044722B"/>
    <w:rsid w:val="004500A7"/>
    <w:rsid w:val="0045776B"/>
    <w:rsid w:val="004711B5"/>
    <w:rsid w:val="00486116"/>
    <w:rsid w:val="004C76E2"/>
    <w:rsid w:val="00511FA8"/>
    <w:rsid w:val="00543748"/>
    <w:rsid w:val="0054783B"/>
    <w:rsid w:val="005863FC"/>
    <w:rsid w:val="005B7D12"/>
    <w:rsid w:val="005F06C2"/>
    <w:rsid w:val="00617954"/>
    <w:rsid w:val="006A2D51"/>
    <w:rsid w:val="006D05D4"/>
    <w:rsid w:val="006E48CA"/>
    <w:rsid w:val="006F5B95"/>
    <w:rsid w:val="006F61D3"/>
    <w:rsid w:val="0073424B"/>
    <w:rsid w:val="00764866"/>
    <w:rsid w:val="00786ABF"/>
    <w:rsid w:val="008F6B26"/>
    <w:rsid w:val="009512A5"/>
    <w:rsid w:val="0097328B"/>
    <w:rsid w:val="009D6109"/>
    <w:rsid w:val="00A56929"/>
    <w:rsid w:val="00A84A51"/>
    <w:rsid w:val="00AB43BC"/>
    <w:rsid w:val="00B1122A"/>
    <w:rsid w:val="00B7788C"/>
    <w:rsid w:val="00BA3039"/>
    <w:rsid w:val="00CF148E"/>
    <w:rsid w:val="00D2406A"/>
    <w:rsid w:val="00D27D78"/>
    <w:rsid w:val="00D92323"/>
    <w:rsid w:val="00DD2F67"/>
    <w:rsid w:val="00DF63CF"/>
    <w:rsid w:val="00E033B4"/>
    <w:rsid w:val="00E13DED"/>
    <w:rsid w:val="00E949D4"/>
    <w:rsid w:val="00EA6D79"/>
    <w:rsid w:val="00EE105C"/>
    <w:rsid w:val="00EE2A96"/>
    <w:rsid w:val="00F317F9"/>
    <w:rsid w:val="00FB6FBA"/>
    <w:rsid w:val="00FD3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4171"/>
  <w15:chartTrackingRefBased/>
  <w15:docId w15:val="{01CBAEF1-4109-44F3-A2EB-EF021D84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FBA"/>
    <w:pPr>
      <w:ind w:left="720"/>
      <w:contextualSpacing/>
    </w:pPr>
  </w:style>
  <w:style w:type="character" w:styleId="a4">
    <w:name w:val="Placeholder Text"/>
    <w:basedOn w:val="a0"/>
    <w:uiPriority w:val="99"/>
    <w:semiHidden/>
    <w:rsid w:val="00DD2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0A65-A03E-4749-99A2-5E17498F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Pages>
  <Words>1553</Words>
  <Characters>8857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14</cp:revision>
  <dcterms:created xsi:type="dcterms:W3CDTF">2021-10-31T09:58:00Z</dcterms:created>
  <dcterms:modified xsi:type="dcterms:W3CDTF">2021-11-15T20:29:00Z</dcterms:modified>
</cp:coreProperties>
</file>