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D8ACC" w14:textId="77777777" w:rsidR="006858E3" w:rsidRPr="00547A10" w:rsidRDefault="006858E3" w:rsidP="006858E3">
      <w:pPr>
        <w:pStyle w:val="3"/>
        <w:numPr>
          <w:ilvl w:val="1"/>
          <w:numId w:val="1"/>
        </w:numPr>
        <w:spacing w:before="0"/>
        <w:jc w:val="both"/>
        <w:rPr>
          <w:rFonts w:ascii="Times New Roman" w:hAnsi="Times New Roman" w:cs="Times New Roman"/>
          <w:b/>
          <w:color w:val="000000" w:themeColor="text1"/>
          <w:sz w:val="28"/>
          <w:lang w:val="uk-UA"/>
        </w:rPr>
      </w:pPr>
      <w:r w:rsidRPr="00547A10">
        <w:rPr>
          <w:rFonts w:ascii="Times New Roman" w:hAnsi="Times New Roman" w:cs="Times New Roman"/>
          <w:b/>
          <w:color w:val="000000" w:themeColor="text1"/>
          <w:sz w:val="28"/>
          <w:lang w:val="uk-UA"/>
        </w:rPr>
        <w:t>Система оцінок</w:t>
      </w:r>
    </w:p>
    <w:p w14:paraId="12428BB4" w14:textId="77777777" w:rsidR="006858E3" w:rsidRPr="00547A10" w:rsidRDefault="006858E3" w:rsidP="006858E3">
      <w:pPr>
        <w:spacing w:line="360" w:lineRule="auto"/>
        <w:ind w:firstLine="720"/>
        <w:jc w:val="both"/>
        <w:rPr>
          <w:rFonts w:ascii="Times New Roman" w:hAnsi="Times New Roman"/>
          <w:color w:val="000000" w:themeColor="text1"/>
          <w:sz w:val="28"/>
          <w:lang w:val="uk-UA"/>
        </w:rPr>
      </w:pPr>
      <w:r w:rsidRPr="00547A10">
        <w:rPr>
          <w:rFonts w:ascii="Times New Roman" w:hAnsi="Times New Roman"/>
          <w:color w:val="000000" w:themeColor="text1"/>
          <w:sz w:val="28"/>
          <w:lang w:val="uk-UA"/>
        </w:rPr>
        <w:t>Оцінка – це систематичне визначення достоїнств, цінності та значущості суб’єкта з використанням критеріїв, які регулюються набором стандартів. Це може допомогти організації, програмі, дизайну, проекту чи будь-якому іншому втручанню чи ініціативі оцінити будь-яку мету, реалізовану концепцію/пропозицію чи будь-яку альтернативу, щоб допомогти у прийнятті рішень; або з'ясувати ступінь досягнення або цінність щодо мети, завдань і результатів будь-якої такої дії, яка була завершена.</w:t>
      </w:r>
    </w:p>
    <w:p w14:paraId="1DF638D5" w14:textId="77777777" w:rsidR="006858E3" w:rsidRPr="00547A10" w:rsidRDefault="006858E3" w:rsidP="006858E3">
      <w:pPr>
        <w:spacing w:line="360" w:lineRule="auto"/>
        <w:ind w:firstLine="720"/>
        <w:jc w:val="both"/>
        <w:rPr>
          <w:rFonts w:ascii="Times New Roman" w:hAnsi="Times New Roman"/>
          <w:color w:val="000000" w:themeColor="text1"/>
          <w:sz w:val="28"/>
          <w:lang w:val="uk-UA"/>
        </w:rPr>
      </w:pPr>
      <w:r w:rsidRPr="00547A10">
        <w:rPr>
          <w:rFonts w:ascii="Times New Roman" w:hAnsi="Times New Roman"/>
          <w:color w:val="000000" w:themeColor="text1"/>
          <w:sz w:val="28"/>
          <w:lang w:val="uk-UA"/>
        </w:rPr>
        <w:t>Основна мета оцінки, окрім отримання уявлення про попередні або існуючі ініціативи, полягає в тому, щоб дати можливість обміркувати та допомогти у визначенні майбутніх змін. Оцінка часто використовується для характеристики та оцінки суб’єктів, які цікавлять широке коло людських підприємств, включаючи мистецтво, кримінальну юстицію, фонди, неприбуткові організації, уряд, охорону здоров’я та інші послуги. Це довгострокове і виконується в кінці певного періоду часу.</w:t>
      </w:r>
    </w:p>
    <w:p w14:paraId="09EEFEF3" w14:textId="77777777" w:rsidR="006858E3" w:rsidRPr="00547A10" w:rsidRDefault="006858E3" w:rsidP="006858E3">
      <w:pPr>
        <w:spacing w:line="360" w:lineRule="auto"/>
        <w:ind w:firstLine="720"/>
        <w:jc w:val="both"/>
        <w:rPr>
          <w:rFonts w:ascii="Times New Roman" w:hAnsi="Times New Roman"/>
          <w:color w:val="000000" w:themeColor="text1"/>
          <w:sz w:val="28"/>
          <w:lang w:val="uk-UA"/>
        </w:rPr>
      </w:pPr>
      <w:r w:rsidRPr="00547A10">
        <w:rPr>
          <w:rFonts w:ascii="Times New Roman" w:hAnsi="Times New Roman"/>
          <w:color w:val="000000" w:themeColor="text1"/>
          <w:sz w:val="28"/>
          <w:lang w:val="uk-UA"/>
        </w:rPr>
        <w:t>Існує дві групи експертних оцінок:</w:t>
      </w:r>
    </w:p>
    <w:p w14:paraId="30B77344" w14:textId="77777777" w:rsidR="006858E3" w:rsidRPr="00547A10" w:rsidRDefault="006858E3" w:rsidP="006858E3">
      <w:pPr>
        <w:pStyle w:val="a3"/>
        <w:numPr>
          <w:ilvl w:val="0"/>
          <w:numId w:val="2"/>
        </w:numPr>
        <w:spacing w:line="360" w:lineRule="auto"/>
        <w:jc w:val="both"/>
        <w:rPr>
          <w:color w:val="000000" w:themeColor="text1"/>
          <w:lang w:val="uk-UA"/>
        </w:rPr>
      </w:pPr>
      <w:r w:rsidRPr="00547A10">
        <w:rPr>
          <w:color w:val="000000" w:themeColor="text1"/>
          <w:lang w:val="uk-UA"/>
        </w:rPr>
        <w:t>Індивідуальні оцінки ґрунтуються на використанні думки окремих експертів, незалежних один від одного.</w:t>
      </w:r>
    </w:p>
    <w:p w14:paraId="08CDBA05" w14:textId="77777777" w:rsidR="006858E3" w:rsidRPr="00547A10" w:rsidRDefault="006858E3" w:rsidP="006858E3">
      <w:pPr>
        <w:pStyle w:val="a3"/>
        <w:numPr>
          <w:ilvl w:val="0"/>
          <w:numId w:val="2"/>
        </w:numPr>
        <w:spacing w:line="360" w:lineRule="auto"/>
        <w:jc w:val="both"/>
        <w:rPr>
          <w:color w:val="000000" w:themeColor="text1"/>
          <w:lang w:val="uk-UA"/>
        </w:rPr>
      </w:pPr>
      <w:r w:rsidRPr="00547A10">
        <w:rPr>
          <w:color w:val="000000" w:themeColor="text1"/>
          <w:lang w:val="uk-UA"/>
        </w:rPr>
        <w:t>Колективні оцінки ґрунтуються на використанні колективної думки експертів.</w:t>
      </w:r>
    </w:p>
    <w:p w14:paraId="5765FBC6" w14:textId="77777777" w:rsidR="006858E3" w:rsidRPr="00547A10" w:rsidRDefault="006858E3" w:rsidP="006858E3">
      <w:pPr>
        <w:spacing w:line="360" w:lineRule="auto"/>
        <w:ind w:firstLine="720"/>
        <w:jc w:val="both"/>
        <w:rPr>
          <w:rFonts w:ascii="Times New Roman" w:hAnsi="Times New Roman"/>
          <w:color w:val="000000" w:themeColor="text1"/>
          <w:sz w:val="28"/>
          <w:lang w:val="uk-UA"/>
        </w:rPr>
      </w:pPr>
      <w:r w:rsidRPr="00547A10">
        <w:rPr>
          <w:rFonts w:ascii="Times New Roman" w:hAnsi="Times New Roman"/>
          <w:color w:val="000000" w:themeColor="text1"/>
          <w:sz w:val="28"/>
          <w:lang w:val="uk-UA"/>
        </w:rPr>
        <w:t>Спільна думка має більшу точність, ніж індивідуальна думка кожного з фахівців. Цей метод застосовують для отримання кількісних оцінок якісних характеристик та властивостей. Наприклад, оцінка кількох технічних проектів за їх ступенем відповідності заданому критерію, під час змагання оцінка суддями виступу фігуриста.</w:t>
      </w:r>
    </w:p>
    <w:p w14:paraId="7E78D057" w14:textId="77777777" w:rsidR="006858E3" w:rsidRPr="00547A10" w:rsidRDefault="006858E3" w:rsidP="006858E3">
      <w:pPr>
        <w:spacing w:line="360" w:lineRule="auto"/>
        <w:ind w:firstLine="720"/>
        <w:jc w:val="both"/>
        <w:rPr>
          <w:rFonts w:ascii="Times New Roman" w:hAnsi="Times New Roman"/>
          <w:color w:val="000000" w:themeColor="text1"/>
          <w:sz w:val="28"/>
          <w:lang w:val="uk-UA"/>
        </w:rPr>
      </w:pPr>
      <w:r w:rsidRPr="00547A10">
        <w:rPr>
          <w:rFonts w:ascii="Times New Roman" w:hAnsi="Times New Roman"/>
          <w:color w:val="000000" w:themeColor="text1"/>
          <w:sz w:val="28"/>
          <w:lang w:val="uk-UA"/>
        </w:rPr>
        <w:t>Відомі такі методи експертних оцінок:</w:t>
      </w:r>
    </w:p>
    <w:p w14:paraId="7BDD8BA5" w14:textId="77777777" w:rsidR="006858E3" w:rsidRPr="00547A10" w:rsidRDefault="006858E3" w:rsidP="006858E3">
      <w:pPr>
        <w:pStyle w:val="a3"/>
        <w:numPr>
          <w:ilvl w:val="0"/>
          <w:numId w:val="3"/>
        </w:numPr>
        <w:spacing w:line="360" w:lineRule="auto"/>
        <w:jc w:val="both"/>
        <w:rPr>
          <w:color w:val="000000" w:themeColor="text1"/>
          <w:lang w:val="uk-UA"/>
        </w:rPr>
      </w:pPr>
      <w:r w:rsidRPr="00547A10">
        <w:rPr>
          <w:color w:val="000000" w:themeColor="text1"/>
          <w:lang w:val="uk-UA"/>
        </w:rPr>
        <w:t>Метод асоціацій. Заснований на вивченні схожого на властивості об'єкта з іншим об'єктом.</w:t>
      </w:r>
    </w:p>
    <w:p w14:paraId="7D432476" w14:textId="77777777" w:rsidR="006858E3" w:rsidRPr="00547A10" w:rsidRDefault="006858E3" w:rsidP="006858E3">
      <w:pPr>
        <w:pStyle w:val="a3"/>
        <w:numPr>
          <w:ilvl w:val="0"/>
          <w:numId w:val="3"/>
        </w:numPr>
        <w:spacing w:line="360" w:lineRule="auto"/>
        <w:jc w:val="both"/>
        <w:rPr>
          <w:color w:val="000000" w:themeColor="text1"/>
          <w:lang w:val="uk-UA"/>
        </w:rPr>
      </w:pPr>
      <w:r w:rsidRPr="00547A10">
        <w:rPr>
          <w:color w:val="000000" w:themeColor="text1"/>
          <w:lang w:val="uk-UA"/>
        </w:rPr>
        <w:t>Метод парних (бінарних) порівнянь. Заснований на співставленні експертом альтернативних варіантів, з яких треба вибрати найкращі.</w:t>
      </w:r>
    </w:p>
    <w:p w14:paraId="13DAB5E3" w14:textId="77777777" w:rsidR="006858E3" w:rsidRPr="00547A10" w:rsidRDefault="006858E3" w:rsidP="006858E3">
      <w:pPr>
        <w:pStyle w:val="a3"/>
        <w:numPr>
          <w:ilvl w:val="0"/>
          <w:numId w:val="3"/>
        </w:numPr>
        <w:spacing w:line="360" w:lineRule="auto"/>
        <w:jc w:val="both"/>
        <w:rPr>
          <w:color w:val="000000" w:themeColor="text1"/>
          <w:lang w:val="uk-UA"/>
        </w:rPr>
      </w:pPr>
      <w:r w:rsidRPr="00547A10">
        <w:rPr>
          <w:color w:val="000000" w:themeColor="text1"/>
          <w:lang w:val="uk-UA"/>
        </w:rPr>
        <w:lastRenderedPageBreak/>
        <w:t>Метод векторів переваг. Експерт аналізує весь набір альтернативних варіантів і вибирає найкращі.</w:t>
      </w:r>
    </w:p>
    <w:p w14:paraId="4880720C" w14:textId="77777777" w:rsidR="006858E3" w:rsidRPr="00547A10" w:rsidRDefault="006858E3" w:rsidP="006858E3">
      <w:pPr>
        <w:pStyle w:val="a3"/>
        <w:numPr>
          <w:ilvl w:val="0"/>
          <w:numId w:val="3"/>
        </w:numPr>
        <w:spacing w:line="360" w:lineRule="auto"/>
        <w:jc w:val="both"/>
        <w:rPr>
          <w:color w:val="000000" w:themeColor="text1"/>
          <w:lang w:val="uk-UA"/>
        </w:rPr>
      </w:pPr>
      <w:r w:rsidRPr="00547A10">
        <w:rPr>
          <w:color w:val="000000" w:themeColor="text1"/>
          <w:lang w:val="uk-UA"/>
        </w:rPr>
        <w:t>Метод фокальних об'єктів. Заснований на перенесенні ознак випадково відібраних аналогів на досліджуваний об'єкт.</w:t>
      </w:r>
    </w:p>
    <w:p w14:paraId="02A41320" w14:textId="77777777" w:rsidR="006858E3" w:rsidRPr="00547A10" w:rsidRDefault="006858E3" w:rsidP="006858E3">
      <w:pPr>
        <w:pStyle w:val="a3"/>
        <w:numPr>
          <w:ilvl w:val="0"/>
          <w:numId w:val="3"/>
        </w:numPr>
        <w:spacing w:line="360" w:lineRule="auto"/>
        <w:jc w:val="both"/>
        <w:rPr>
          <w:color w:val="000000" w:themeColor="text1"/>
          <w:lang w:val="uk-UA"/>
        </w:rPr>
      </w:pPr>
      <w:r w:rsidRPr="00547A10">
        <w:rPr>
          <w:color w:val="000000" w:themeColor="text1"/>
          <w:lang w:val="uk-UA"/>
        </w:rPr>
        <w:t>Індивідуальне експертне опитування. Опитування у формі інтерв'ю або у вигляді аналізу експертних оцінок. Означає розмову замовника з експертом, у ході якої замовник ставить перед експертом питання, відповіді які значимі задля досягнення програмних цілей. Аналіз експертних оцінок передбачає індивідуальне заповнення експертом розробленого замовником формуляра, за результатами якого проводиться всебічний аналіз проблемної ситуації та виявляються можливі шляхи її вирішення. Свої міркування експерт виносить у вигляді окремого документа.</w:t>
      </w:r>
    </w:p>
    <w:p w14:paraId="6B7E6127" w14:textId="77777777" w:rsidR="006858E3" w:rsidRPr="00547A10" w:rsidRDefault="006858E3" w:rsidP="006858E3">
      <w:pPr>
        <w:pStyle w:val="a3"/>
        <w:numPr>
          <w:ilvl w:val="0"/>
          <w:numId w:val="3"/>
        </w:numPr>
        <w:spacing w:after="0" w:line="360" w:lineRule="auto"/>
        <w:jc w:val="both"/>
        <w:rPr>
          <w:color w:val="000000" w:themeColor="text1"/>
          <w:lang w:val="uk-UA"/>
        </w:rPr>
      </w:pPr>
      <w:r w:rsidRPr="00547A10">
        <w:rPr>
          <w:color w:val="000000" w:themeColor="text1"/>
          <w:lang w:val="uk-UA"/>
        </w:rPr>
        <w:t>Спосіб середньої точки. Формуються два альтернативні варіанти рішення, один з яких менш бажаний. Після цього експерту необхідно підібрати третій альтернативний варіант, оцінка якого розташована між значеннями першої та другої альтернативи.</w:t>
      </w:r>
    </w:p>
    <w:p w14:paraId="6A620DA7" w14:textId="77777777" w:rsidR="006858E3" w:rsidRPr="00547A10" w:rsidRDefault="006858E3" w:rsidP="006858E3">
      <w:pPr>
        <w:pStyle w:val="a3"/>
        <w:numPr>
          <w:ilvl w:val="2"/>
          <w:numId w:val="1"/>
        </w:numPr>
        <w:spacing w:after="0" w:line="360" w:lineRule="auto"/>
        <w:jc w:val="both"/>
        <w:rPr>
          <w:color w:val="000000" w:themeColor="text1"/>
          <w:lang w:val="uk-UA"/>
        </w:rPr>
      </w:pPr>
      <w:r w:rsidRPr="00547A10">
        <w:rPr>
          <w:b/>
          <w:color w:val="000000" w:themeColor="text1"/>
          <w:lang w:val="uk-UA"/>
        </w:rPr>
        <w:t>Шкала Харрінгтона</w:t>
      </w:r>
    </w:p>
    <w:p w14:paraId="4EB2B395" w14:textId="77777777" w:rsidR="006858E3" w:rsidRPr="00547A10" w:rsidRDefault="006858E3" w:rsidP="006858E3">
      <w:pPr>
        <w:spacing w:line="360" w:lineRule="auto"/>
        <w:ind w:firstLine="720"/>
        <w:jc w:val="both"/>
        <w:rPr>
          <w:rFonts w:ascii="Times New Roman" w:hAnsi="Times New Roman"/>
          <w:color w:val="000000" w:themeColor="text1"/>
          <w:sz w:val="28"/>
          <w:lang w:val="uk-UA"/>
        </w:rPr>
      </w:pPr>
      <w:r w:rsidRPr="00547A10">
        <w:rPr>
          <w:rFonts w:ascii="Times New Roman" w:hAnsi="Times New Roman"/>
          <w:color w:val="000000" w:themeColor="text1"/>
          <w:sz w:val="28"/>
          <w:lang w:val="uk-UA"/>
        </w:rPr>
        <w:t>У випадку, якщо немає можливості використати жоден із експертних методі оцінки, можливо використати Шкалу Харрінгтона.</w:t>
      </w:r>
    </w:p>
    <w:p w14:paraId="38A034E5" w14:textId="77777777" w:rsidR="006858E3" w:rsidRPr="00547A10" w:rsidRDefault="006858E3" w:rsidP="006858E3">
      <w:pPr>
        <w:spacing w:line="360" w:lineRule="auto"/>
        <w:ind w:firstLine="720"/>
        <w:jc w:val="both"/>
        <w:rPr>
          <w:rFonts w:ascii="Times New Roman" w:hAnsi="Times New Roman"/>
          <w:color w:val="000000" w:themeColor="text1"/>
          <w:sz w:val="28"/>
          <w:lang w:val="uk-UA"/>
        </w:rPr>
      </w:pPr>
      <w:r w:rsidRPr="00547A10">
        <w:rPr>
          <w:rFonts w:ascii="Times New Roman" w:hAnsi="Times New Roman"/>
          <w:color w:val="000000" w:themeColor="text1"/>
          <w:sz w:val="28"/>
          <w:lang w:val="uk-UA"/>
        </w:rPr>
        <w:t>Шкала Харрінгтона - це багатоінтервальна дискретна вербально-числова шкала, що складається з п'яти інтервалів одиничного відрізка, що характеризують ступінь наближення до деякого ідеалу:</w:t>
      </w:r>
    </w:p>
    <w:p w14:paraId="7519FFE4" w14:textId="77777777" w:rsidR="006858E3" w:rsidRPr="00547A10" w:rsidRDefault="006858E3" w:rsidP="006858E3">
      <w:pPr>
        <w:spacing w:line="360" w:lineRule="auto"/>
        <w:ind w:firstLine="720"/>
        <w:jc w:val="both"/>
        <w:rPr>
          <w:rFonts w:ascii="Times New Roman" w:hAnsi="Times New Roman"/>
          <w:color w:val="000000" w:themeColor="text1"/>
          <w:sz w:val="28"/>
          <w:lang w:val="uk-UA"/>
        </w:rPr>
      </w:pPr>
      <w:r w:rsidRPr="00547A10">
        <w:rPr>
          <w:rFonts w:ascii="Times New Roman" w:hAnsi="Times New Roman"/>
          <w:color w:val="000000" w:themeColor="text1"/>
          <w:sz w:val="28"/>
          <w:lang w:val="uk-UA"/>
        </w:rPr>
        <w:t>Таблиця 2.1 - Вербально-числова шкала Харрінгтона</w:t>
      </w:r>
    </w:p>
    <w:tbl>
      <w:tblPr>
        <w:tblW w:w="6240" w:type="dxa"/>
        <w:jc w:val="center"/>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78"/>
        <w:gridCol w:w="3589"/>
        <w:gridCol w:w="2173"/>
      </w:tblGrid>
      <w:tr w:rsidR="006858E3" w:rsidRPr="00547A10" w14:paraId="20BCE729" w14:textId="77777777" w:rsidTr="00835D1F">
        <w:trPr>
          <w:jc w:val="center"/>
        </w:trPr>
        <w:tc>
          <w:tcPr>
            <w:tcW w:w="345" w:type="dxa"/>
            <w:tcBorders>
              <w:top w:val="single" w:sz="6" w:space="0" w:color="000000"/>
              <w:left w:val="single" w:sz="6" w:space="0" w:color="000000"/>
              <w:bottom w:val="single" w:sz="6" w:space="0" w:color="000000"/>
              <w:right w:val="single" w:sz="6" w:space="0" w:color="000000"/>
            </w:tcBorders>
            <w:vAlign w:val="center"/>
            <w:hideMark/>
          </w:tcPr>
          <w:p w14:paraId="017AD1B5"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w:t>
            </w:r>
          </w:p>
        </w:tc>
        <w:tc>
          <w:tcPr>
            <w:tcW w:w="3270" w:type="dxa"/>
            <w:tcBorders>
              <w:top w:val="single" w:sz="6" w:space="0" w:color="000000"/>
              <w:left w:val="single" w:sz="6" w:space="0" w:color="000000"/>
              <w:bottom w:val="single" w:sz="6" w:space="0" w:color="000000"/>
              <w:right w:val="single" w:sz="6" w:space="0" w:color="000000"/>
            </w:tcBorders>
            <w:vAlign w:val="center"/>
            <w:hideMark/>
          </w:tcPr>
          <w:p w14:paraId="5FCBB43D"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bCs/>
                <w:color w:val="000000"/>
                <w:sz w:val="28"/>
                <w:szCs w:val="24"/>
                <w:lang w:val="uk-UA" w:eastAsia="ru-RU"/>
              </w:rPr>
              <w:t>Змістовний опис градацій</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24CE7DCD"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bCs/>
                <w:color w:val="000000"/>
                <w:sz w:val="28"/>
                <w:szCs w:val="24"/>
                <w:lang w:val="uk-UA" w:eastAsia="ru-RU"/>
              </w:rPr>
              <w:t>Числове значення</w:t>
            </w:r>
          </w:p>
        </w:tc>
      </w:tr>
      <w:tr w:rsidR="006858E3" w:rsidRPr="00547A10" w14:paraId="7EB85CBF" w14:textId="77777777" w:rsidTr="00835D1F">
        <w:trPr>
          <w:jc w:val="center"/>
        </w:trPr>
        <w:tc>
          <w:tcPr>
            <w:tcW w:w="345" w:type="dxa"/>
            <w:tcBorders>
              <w:top w:val="single" w:sz="6" w:space="0" w:color="000000"/>
              <w:left w:val="single" w:sz="6" w:space="0" w:color="000000"/>
              <w:bottom w:val="single" w:sz="6" w:space="0" w:color="000000"/>
              <w:right w:val="single" w:sz="6" w:space="0" w:color="000000"/>
            </w:tcBorders>
            <w:hideMark/>
          </w:tcPr>
          <w:p w14:paraId="09FCC087"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1.</w:t>
            </w:r>
          </w:p>
        </w:tc>
        <w:tc>
          <w:tcPr>
            <w:tcW w:w="3270" w:type="dxa"/>
            <w:tcBorders>
              <w:top w:val="single" w:sz="6" w:space="0" w:color="000000"/>
              <w:left w:val="single" w:sz="6" w:space="0" w:color="000000"/>
              <w:bottom w:val="single" w:sz="6" w:space="0" w:color="000000"/>
              <w:right w:val="single" w:sz="6" w:space="0" w:color="000000"/>
            </w:tcBorders>
            <w:hideMark/>
          </w:tcPr>
          <w:p w14:paraId="4072AA19" w14:textId="77777777" w:rsidR="006858E3" w:rsidRPr="00547A10" w:rsidRDefault="006858E3" w:rsidP="00835D1F">
            <w:pPr>
              <w:spacing w:line="240" w:lineRule="auto"/>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Дуже висока</w:t>
            </w:r>
          </w:p>
        </w:tc>
        <w:tc>
          <w:tcPr>
            <w:tcW w:w="1980" w:type="dxa"/>
            <w:tcBorders>
              <w:top w:val="single" w:sz="6" w:space="0" w:color="000000"/>
              <w:left w:val="single" w:sz="6" w:space="0" w:color="000000"/>
              <w:bottom w:val="single" w:sz="6" w:space="0" w:color="000000"/>
              <w:right w:val="single" w:sz="6" w:space="0" w:color="000000"/>
            </w:tcBorders>
            <w:hideMark/>
          </w:tcPr>
          <w:p w14:paraId="09F45D9F"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0,8 – 1,0</w:t>
            </w:r>
          </w:p>
        </w:tc>
      </w:tr>
      <w:tr w:rsidR="006858E3" w:rsidRPr="00547A10" w14:paraId="5C695B03" w14:textId="77777777" w:rsidTr="00835D1F">
        <w:trPr>
          <w:jc w:val="center"/>
        </w:trPr>
        <w:tc>
          <w:tcPr>
            <w:tcW w:w="345" w:type="dxa"/>
            <w:tcBorders>
              <w:top w:val="single" w:sz="6" w:space="0" w:color="000000"/>
              <w:left w:val="single" w:sz="6" w:space="0" w:color="000000"/>
              <w:bottom w:val="single" w:sz="6" w:space="0" w:color="000000"/>
              <w:right w:val="single" w:sz="6" w:space="0" w:color="000000"/>
            </w:tcBorders>
            <w:hideMark/>
          </w:tcPr>
          <w:p w14:paraId="01CB103D"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2.</w:t>
            </w:r>
          </w:p>
        </w:tc>
        <w:tc>
          <w:tcPr>
            <w:tcW w:w="3270" w:type="dxa"/>
            <w:tcBorders>
              <w:top w:val="single" w:sz="6" w:space="0" w:color="000000"/>
              <w:left w:val="single" w:sz="6" w:space="0" w:color="000000"/>
              <w:bottom w:val="single" w:sz="6" w:space="0" w:color="000000"/>
              <w:right w:val="single" w:sz="6" w:space="0" w:color="000000"/>
            </w:tcBorders>
            <w:hideMark/>
          </w:tcPr>
          <w:p w14:paraId="663AA995" w14:textId="77777777" w:rsidR="006858E3" w:rsidRPr="00547A10" w:rsidRDefault="006858E3" w:rsidP="00835D1F">
            <w:pPr>
              <w:spacing w:line="240" w:lineRule="auto"/>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Висока</w:t>
            </w:r>
          </w:p>
        </w:tc>
        <w:tc>
          <w:tcPr>
            <w:tcW w:w="1980" w:type="dxa"/>
            <w:tcBorders>
              <w:top w:val="single" w:sz="6" w:space="0" w:color="000000"/>
              <w:left w:val="single" w:sz="6" w:space="0" w:color="000000"/>
              <w:bottom w:val="single" w:sz="6" w:space="0" w:color="000000"/>
              <w:right w:val="single" w:sz="6" w:space="0" w:color="000000"/>
            </w:tcBorders>
            <w:hideMark/>
          </w:tcPr>
          <w:p w14:paraId="7388A686"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0.64 – 0,8</w:t>
            </w:r>
          </w:p>
        </w:tc>
      </w:tr>
      <w:tr w:rsidR="006858E3" w:rsidRPr="00547A10" w14:paraId="450741DE" w14:textId="77777777" w:rsidTr="00835D1F">
        <w:trPr>
          <w:jc w:val="center"/>
        </w:trPr>
        <w:tc>
          <w:tcPr>
            <w:tcW w:w="345" w:type="dxa"/>
            <w:tcBorders>
              <w:top w:val="single" w:sz="6" w:space="0" w:color="000000"/>
              <w:left w:val="single" w:sz="6" w:space="0" w:color="000000"/>
              <w:bottom w:val="single" w:sz="6" w:space="0" w:color="000000"/>
              <w:right w:val="single" w:sz="6" w:space="0" w:color="000000"/>
            </w:tcBorders>
            <w:hideMark/>
          </w:tcPr>
          <w:p w14:paraId="50D57780"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3.</w:t>
            </w:r>
          </w:p>
        </w:tc>
        <w:tc>
          <w:tcPr>
            <w:tcW w:w="3270" w:type="dxa"/>
            <w:tcBorders>
              <w:top w:val="single" w:sz="6" w:space="0" w:color="000000"/>
              <w:left w:val="single" w:sz="6" w:space="0" w:color="000000"/>
              <w:bottom w:val="single" w:sz="6" w:space="0" w:color="000000"/>
              <w:right w:val="single" w:sz="6" w:space="0" w:color="000000"/>
            </w:tcBorders>
            <w:hideMark/>
          </w:tcPr>
          <w:p w14:paraId="28565B8B" w14:textId="77777777" w:rsidR="006858E3" w:rsidRPr="00547A10" w:rsidRDefault="006858E3" w:rsidP="00835D1F">
            <w:pPr>
              <w:spacing w:line="240" w:lineRule="auto"/>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Середня</w:t>
            </w:r>
          </w:p>
        </w:tc>
        <w:tc>
          <w:tcPr>
            <w:tcW w:w="1980" w:type="dxa"/>
            <w:tcBorders>
              <w:top w:val="single" w:sz="6" w:space="0" w:color="000000"/>
              <w:left w:val="single" w:sz="6" w:space="0" w:color="000000"/>
              <w:bottom w:val="single" w:sz="6" w:space="0" w:color="000000"/>
              <w:right w:val="single" w:sz="6" w:space="0" w:color="000000"/>
            </w:tcBorders>
            <w:hideMark/>
          </w:tcPr>
          <w:p w14:paraId="1402A882"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0,37 – 0,64</w:t>
            </w:r>
          </w:p>
        </w:tc>
      </w:tr>
      <w:tr w:rsidR="006858E3" w:rsidRPr="00547A10" w14:paraId="4E57BDA1" w14:textId="77777777" w:rsidTr="00835D1F">
        <w:trPr>
          <w:jc w:val="center"/>
        </w:trPr>
        <w:tc>
          <w:tcPr>
            <w:tcW w:w="345" w:type="dxa"/>
            <w:tcBorders>
              <w:top w:val="single" w:sz="6" w:space="0" w:color="000000"/>
              <w:left w:val="single" w:sz="6" w:space="0" w:color="000000"/>
              <w:bottom w:val="single" w:sz="6" w:space="0" w:color="000000"/>
              <w:right w:val="single" w:sz="6" w:space="0" w:color="000000"/>
            </w:tcBorders>
            <w:hideMark/>
          </w:tcPr>
          <w:p w14:paraId="4276B5CB"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4.</w:t>
            </w:r>
          </w:p>
        </w:tc>
        <w:tc>
          <w:tcPr>
            <w:tcW w:w="3270" w:type="dxa"/>
            <w:tcBorders>
              <w:top w:val="single" w:sz="6" w:space="0" w:color="000000"/>
              <w:left w:val="single" w:sz="6" w:space="0" w:color="000000"/>
              <w:bottom w:val="single" w:sz="6" w:space="0" w:color="000000"/>
              <w:right w:val="single" w:sz="6" w:space="0" w:color="000000"/>
            </w:tcBorders>
            <w:hideMark/>
          </w:tcPr>
          <w:p w14:paraId="5F2905E9" w14:textId="77777777" w:rsidR="006858E3" w:rsidRPr="00547A10" w:rsidRDefault="006858E3" w:rsidP="00835D1F">
            <w:pPr>
              <w:spacing w:line="240" w:lineRule="auto"/>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Низька</w:t>
            </w:r>
          </w:p>
        </w:tc>
        <w:tc>
          <w:tcPr>
            <w:tcW w:w="1980" w:type="dxa"/>
            <w:tcBorders>
              <w:top w:val="single" w:sz="6" w:space="0" w:color="000000"/>
              <w:left w:val="single" w:sz="6" w:space="0" w:color="000000"/>
              <w:bottom w:val="single" w:sz="6" w:space="0" w:color="000000"/>
              <w:right w:val="single" w:sz="6" w:space="0" w:color="000000"/>
            </w:tcBorders>
            <w:hideMark/>
          </w:tcPr>
          <w:p w14:paraId="43D49B54"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0,2 – 0,37</w:t>
            </w:r>
          </w:p>
        </w:tc>
      </w:tr>
      <w:tr w:rsidR="006858E3" w:rsidRPr="004225CF" w14:paraId="6C61CB80" w14:textId="77777777" w:rsidTr="00835D1F">
        <w:trPr>
          <w:jc w:val="center"/>
        </w:trPr>
        <w:tc>
          <w:tcPr>
            <w:tcW w:w="345" w:type="dxa"/>
            <w:tcBorders>
              <w:top w:val="single" w:sz="6" w:space="0" w:color="000000"/>
              <w:left w:val="single" w:sz="6" w:space="0" w:color="000000"/>
              <w:bottom w:val="single" w:sz="6" w:space="0" w:color="000000"/>
              <w:right w:val="single" w:sz="6" w:space="0" w:color="000000"/>
            </w:tcBorders>
            <w:hideMark/>
          </w:tcPr>
          <w:p w14:paraId="1712BAB5"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lastRenderedPageBreak/>
              <w:t>5.</w:t>
            </w:r>
          </w:p>
        </w:tc>
        <w:tc>
          <w:tcPr>
            <w:tcW w:w="3270" w:type="dxa"/>
            <w:tcBorders>
              <w:top w:val="single" w:sz="6" w:space="0" w:color="000000"/>
              <w:left w:val="single" w:sz="6" w:space="0" w:color="000000"/>
              <w:bottom w:val="single" w:sz="6" w:space="0" w:color="000000"/>
              <w:right w:val="single" w:sz="6" w:space="0" w:color="000000"/>
            </w:tcBorders>
            <w:hideMark/>
          </w:tcPr>
          <w:p w14:paraId="449176D6" w14:textId="77777777" w:rsidR="006858E3" w:rsidRPr="00547A10" w:rsidRDefault="006858E3" w:rsidP="00835D1F">
            <w:pPr>
              <w:spacing w:line="240" w:lineRule="auto"/>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Дуже низька</w:t>
            </w:r>
          </w:p>
        </w:tc>
        <w:tc>
          <w:tcPr>
            <w:tcW w:w="1980" w:type="dxa"/>
            <w:tcBorders>
              <w:top w:val="single" w:sz="6" w:space="0" w:color="000000"/>
              <w:left w:val="single" w:sz="6" w:space="0" w:color="000000"/>
              <w:bottom w:val="single" w:sz="6" w:space="0" w:color="000000"/>
              <w:right w:val="single" w:sz="6" w:space="0" w:color="000000"/>
            </w:tcBorders>
            <w:hideMark/>
          </w:tcPr>
          <w:p w14:paraId="1B88DBB7" w14:textId="77777777" w:rsidR="006858E3" w:rsidRPr="00547A10" w:rsidRDefault="006858E3" w:rsidP="00835D1F">
            <w:pPr>
              <w:spacing w:line="240" w:lineRule="auto"/>
              <w:jc w:val="center"/>
              <w:rPr>
                <w:rFonts w:ascii="Times New Roman" w:hAnsi="Times New Roman"/>
                <w:color w:val="000000"/>
                <w:sz w:val="28"/>
                <w:szCs w:val="24"/>
                <w:lang w:val="uk-UA" w:eastAsia="ru-RU"/>
              </w:rPr>
            </w:pPr>
            <w:r w:rsidRPr="00547A10">
              <w:rPr>
                <w:rFonts w:ascii="Times New Roman" w:hAnsi="Times New Roman"/>
                <w:color w:val="000000"/>
                <w:sz w:val="28"/>
                <w:szCs w:val="24"/>
                <w:lang w:val="uk-UA" w:eastAsia="ru-RU"/>
              </w:rPr>
              <w:t>0,0 – 0,2</w:t>
            </w:r>
          </w:p>
        </w:tc>
      </w:tr>
    </w:tbl>
    <w:p w14:paraId="7EC8ED66" w14:textId="77777777" w:rsidR="006858E3" w:rsidRPr="00547A10" w:rsidRDefault="006858E3" w:rsidP="006858E3">
      <w:pPr>
        <w:spacing w:line="360" w:lineRule="auto"/>
        <w:jc w:val="both"/>
        <w:rPr>
          <w:rFonts w:ascii="Times New Roman" w:hAnsi="Times New Roman"/>
          <w:color w:val="000000" w:themeColor="text1"/>
          <w:sz w:val="28"/>
          <w:lang w:val="uk-UA"/>
        </w:rPr>
      </w:pPr>
      <w:r w:rsidRPr="00547A10">
        <w:rPr>
          <w:lang w:val="uk-UA"/>
        </w:rPr>
        <w:tab/>
      </w:r>
      <w:r w:rsidRPr="00547A10">
        <w:rPr>
          <w:rFonts w:ascii="Times New Roman" w:hAnsi="Times New Roman"/>
          <w:color w:val="000000" w:themeColor="text1"/>
          <w:sz w:val="28"/>
          <w:lang w:val="uk-UA"/>
        </w:rPr>
        <w:t>Наведені в таблиці 2.1 числові значення отримані на основі статистичного аналізу великого масиву даних, завдяки чому шкала Харрінгтон має універсальне застосування і може у відповідних модифікаціях (наприклад, у вигляді шкали балів) використовуватися для оцінки різних показників якісного характеру.</w:t>
      </w:r>
    </w:p>
    <w:p w14:paraId="7D4864A7" w14:textId="77777777" w:rsidR="006858E3" w:rsidRPr="00547A10" w:rsidRDefault="006858E3" w:rsidP="006858E3">
      <w:pPr>
        <w:spacing w:line="360" w:lineRule="auto"/>
        <w:jc w:val="both"/>
        <w:rPr>
          <w:rFonts w:ascii="Times New Roman" w:hAnsi="Times New Roman"/>
          <w:sz w:val="28"/>
          <w:szCs w:val="28"/>
          <w:lang w:val="uk-UA"/>
        </w:rPr>
      </w:pPr>
      <w:r w:rsidRPr="00547A10">
        <w:rPr>
          <w:rFonts w:ascii="Times New Roman" w:hAnsi="Times New Roman"/>
          <w:sz w:val="28"/>
          <w:szCs w:val="28"/>
          <w:lang w:val="uk-UA"/>
        </w:rPr>
        <w:tab/>
        <w:t>Однак при оцінці об'єктів прийняття управлінських рішень за критеріями, що допускають лише суб'єктивну оцінку фахівців, доцільними є розробка та використання спеціальних шкал, що відображають специфіку того чи іншого критерію, тієї чи іншої групи об'єктів при виробленні та прийнятті управлінського рішення.</w:t>
      </w:r>
    </w:p>
    <w:p w14:paraId="5D4A4B95" w14:textId="77777777" w:rsidR="006858E3" w:rsidRPr="00547A10" w:rsidRDefault="006858E3" w:rsidP="006858E3">
      <w:pPr>
        <w:spacing w:line="360" w:lineRule="auto"/>
        <w:ind w:firstLine="720"/>
        <w:jc w:val="both"/>
        <w:rPr>
          <w:rFonts w:ascii="Times New Roman" w:hAnsi="Times New Roman"/>
          <w:sz w:val="28"/>
          <w:szCs w:val="28"/>
          <w:lang w:val="uk-UA"/>
        </w:rPr>
      </w:pPr>
      <w:r w:rsidRPr="00547A10">
        <w:rPr>
          <w:rFonts w:ascii="Times New Roman" w:hAnsi="Times New Roman"/>
          <w:sz w:val="28"/>
          <w:szCs w:val="28"/>
          <w:lang w:val="uk-UA"/>
        </w:rPr>
        <w:t>Можна використовувати таку процедуру для формування вербально-числових шкал, спеціально призначених для оцінки проектів за критеріями, для яких загальноприйняті вербально-числові шкали відсутні.</w:t>
      </w:r>
    </w:p>
    <w:p w14:paraId="741AB618" w14:textId="77777777" w:rsidR="006150BC" w:rsidRPr="006858E3" w:rsidRDefault="006150BC">
      <w:pPr>
        <w:rPr>
          <w:lang w:val="uk-UA"/>
        </w:rPr>
      </w:pPr>
      <w:bookmarkStart w:id="0" w:name="_GoBack"/>
      <w:bookmarkEnd w:id="0"/>
    </w:p>
    <w:sectPr w:rsidR="006150BC" w:rsidRPr="006858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0A0B"/>
    <w:multiLevelType w:val="hybridMultilevel"/>
    <w:tmpl w:val="02980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FBE65AA"/>
    <w:multiLevelType w:val="multilevel"/>
    <w:tmpl w:val="BDD6432A"/>
    <w:lvl w:ilvl="0">
      <w:start w:val="1"/>
      <w:numFmt w:val="decimal"/>
      <w:lvlText w:val="%1."/>
      <w:lvlJc w:val="left"/>
      <w:pPr>
        <w:ind w:left="495" w:hanging="495"/>
      </w:pPr>
      <w:rPr>
        <w:rFonts w:hint="default"/>
      </w:rPr>
    </w:lvl>
    <w:lvl w:ilvl="1">
      <w:start w:val="1"/>
      <w:numFmt w:val="decimal"/>
      <w:lvlText w:val="%1.%2."/>
      <w:lvlJc w:val="left"/>
      <w:pPr>
        <w:ind w:left="1571" w:hanging="720"/>
      </w:pPr>
      <w:rPr>
        <w:rFonts w:hint="default"/>
        <w:b/>
        <w:color w:val="000000" w:themeColor="text1"/>
        <w:sz w:val="28"/>
      </w:rPr>
    </w:lvl>
    <w:lvl w:ilvl="2">
      <w:start w:val="1"/>
      <w:numFmt w:val="decimal"/>
      <w:lvlText w:val="%1.%2.%3."/>
      <w:lvlJc w:val="left"/>
      <w:pPr>
        <w:ind w:left="2160" w:hanging="720"/>
      </w:pPr>
      <w:rPr>
        <w:rFonts w:hint="default"/>
        <w:b/>
        <w:color w:val="000000" w:themeColor="text1"/>
        <w:sz w:val="28"/>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BC302D8"/>
    <w:multiLevelType w:val="hybridMultilevel"/>
    <w:tmpl w:val="B4082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B9"/>
    <w:rsid w:val="006150BC"/>
    <w:rsid w:val="006858E3"/>
    <w:rsid w:val="00C81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46EA4-8B89-4C56-901D-19634152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8E3"/>
    <w:pPr>
      <w:spacing w:after="0" w:line="300" w:lineRule="atLeast"/>
    </w:pPr>
    <w:rPr>
      <w:rFonts w:ascii="Times" w:eastAsia="Times New Roman" w:hAnsi="Times" w:cs="Times New Roman"/>
      <w:sz w:val="24"/>
      <w:szCs w:val="20"/>
      <w:lang w:val="en-US"/>
    </w:rPr>
  </w:style>
  <w:style w:type="paragraph" w:styleId="3">
    <w:name w:val="heading 3"/>
    <w:basedOn w:val="a"/>
    <w:next w:val="a"/>
    <w:link w:val="30"/>
    <w:uiPriority w:val="9"/>
    <w:unhideWhenUsed/>
    <w:qFormat/>
    <w:rsid w:val="006858E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858E3"/>
    <w:rPr>
      <w:rFonts w:asciiTheme="majorHAnsi" w:eastAsiaTheme="majorEastAsia" w:hAnsiTheme="majorHAnsi" w:cstheme="majorBidi"/>
      <w:color w:val="1F3763" w:themeColor="accent1" w:themeShade="7F"/>
      <w:sz w:val="24"/>
      <w:szCs w:val="24"/>
      <w:lang w:val="en-US"/>
    </w:rPr>
  </w:style>
  <w:style w:type="paragraph" w:styleId="a3">
    <w:name w:val="List Paragraph"/>
    <w:basedOn w:val="a"/>
    <w:uiPriority w:val="34"/>
    <w:qFormat/>
    <w:rsid w:val="006858E3"/>
    <w:pPr>
      <w:spacing w:after="160" w:line="259" w:lineRule="auto"/>
      <w:ind w:left="720"/>
      <w:contextualSpacing/>
    </w:pPr>
    <w:rPr>
      <w:rFonts w:ascii="Times New Roman" w:eastAsiaTheme="minorHAnsi" w:hAnsi="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2021-12-18T11:32:00Z</dcterms:created>
  <dcterms:modified xsi:type="dcterms:W3CDTF">2021-12-18T11:32:00Z</dcterms:modified>
</cp:coreProperties>
</file>