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«МЭИ»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28"/>
        <w:gridCol w:w="2266"/>
        <w:gridCol w:w="1559"/>
        <w:gridCol w:w="4101"/>
        <w:tblGridChange w:id="0">
          <w:tblGrid>
            <w:gridCol w:w="1428"/>
            <w:gridCol w:w="2266"/>
            <w:gridCol w:w="1559"/>
            <w:gridCol w:w="41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Институт: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ИнЭИ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Направление подготовки: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38.03.05 «Бизнес-информатика»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b w:val="1"/>
          <w:sz w:val="28"/>
          <w:szCs w:val="28"/>
          <w:rtl w:val="0"/>
        </w:rPr>
        <w:t xml:space="preserve">тчет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практике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6236"/>
        <w:tblGridChange w:id="0">
          <w:tblGrid>
            <w:gridCol w:w="3119"/>
            <w:gridCol w:w="6236"/>
          </w:tblGrid>
        </w:tblGridChange>
      </w:tblGrid>
      <w:tr>
        <w:trPr>
          <w:cantSplit w:val="0"/>
          <w:trHeight w:val="59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Наименование практики: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Учебная практика: профилирующая практика</w:t>
            </w:r>
          </w:p>
        </w:tc>
      </w:tr>
    </w:tbl>
    <w:p w:rsidR="00000000" w:rsidDel="00000000" w:rsidP="00000000" w:rsidRDefault="00000000" w:rsidRPr="00000000" w14:paraId="00000013">
      <w:pPr>
        <w:ind w:left="4111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233.0" w:type="dxa"/>
        <w:jc w:val="left"/>
        <w:tblInd w:w="4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3"/>
        <w:gridCol w:w="3820"/>
        <w:tblGridChange w:id="0">
          <w:tblGrid>
            <w:gridCol w:w="1413"/>
            <w:gridCol w:w="38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/Асадов Н.Р.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ind w:right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(подпись 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Фамилия и инициалы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C">
      <w:pPr>
        <w:ind w:left="4111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233.0" w:type="dxa"/>
        <w:jc w:val="left"/>
        <w:tblInd w:w="4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3"/>
        <w:gridCol w:w="3820"/>
        <w:tblGridChange w:id="0">
          <w:tblGrid>
            <w:gridCol w:w="1413"/>
            <w:gridCol w:w="38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right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ИЭ-66-21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ind w:right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(номер учебной группы)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1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ПРОМЕЖУТОЧНАЯ АТТЕСТАЦИЯ </w:t>
        <w:br w:type="textWrapping"/>
        <w:t xml:space="preserve">ПО ПРАКТИКЕ</w:t>
      </w:r>
    </w:p>
    <w:tbl>
      <w:tblPr>
        <w:tblStyle w:val="Table5"/>
        <w:tblW w:w="5243.0" w:type="dxa"/>
        <w:jc w:val="left"/>
        <w:tblInd w:w="4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3"/>
        <w:tblGridChange w:id="0">
          <w:tblGrid>
            <w:gridCol w:w="5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(зачтено, не зачтено)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right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233.0" w:type="dxa"/>
        <w:jc w:val="left"/>
        <w:tblInd w:w="4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3"/>
        <w:gridCol w:w="3820"/>
        <w:tblGridChange w:id="0">
          <w:tblGrid>
            <w:gridCol w:w="1413"/>
            <w:gridCol w:w="38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           Лукьянова Т.В.                   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right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(подпись 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Фамилия и инициалы члена комиссии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C">
      <w:pPr>
        <w:ind w:left="4111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233.0" w:type="dxa"/>
        <w:jc w:val="left"/>
        <w:tblInd w:w="4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3"/>
        <w:gridCol w:w="3820"/>
        <w:tblGridChange w:id="0">
          <w:tblGrid>
            <w:gridCol w:w="1413"/>
            <w:gridCol w:w="38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            Крепков И.М.                    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right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(подпись 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Фамилия и инициалы члена комиссии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 </w:t>
          </w: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Цели практики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Задачи практики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ОСНОВНАЯ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Инженерно-экономический институт (ИнЭИ)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2.2 Кафедры и центры ИнЭИ</w:t>
            </w:r>
          </w:hyperlink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Перечнем учебных и научных лабораторий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ОБРАЗОВАТЕЛЬНАЯ ПРОГРАММА И ОСОБЕННОСТИ ВЫБРАННОГО НАПРАВЛЕНИЯ ОБУЧЕНИЯ И ПРОФИЛЯ ПОДГОТОВКИ</w:t>
              <w:tab/>
              <w:t xml:space="preserve">1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</w:t>
            </w:r>
          </w:hyperlink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Основные данные по образовательной программе:</w:t>
            </w:r>
          </w:hyperlink>
          <w:hyperlink w:anchor="_heading=h.26in1r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ОБЗОР ПРОФИЛЬНОЙ ОРГАНИЗАЦИИ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Общая характеристика: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Задачи и специфика работы профильной организации: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hyperlink>
          <w:hyperlink w:anchor="_heading=h.44sinio">
            <w:r w:rsidDel="00000000" w:rsidR="00000000" w:rsidRPr="00000000">
              <w:rPr>
                <w:sz w:val="28"/>
                <w:szCs w:val="28"/>
                <w:rtl w:val="0"/>
              </w:rPr>
              <w:t xml:space="preserve">Ф</w:t>
            </w:r>
          </w:hyperlink>
          <w:hyperlink w:anchor="_heading=h.44sini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орма собственности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Основные акционеры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hyperlink>
          <w:hyperlink w:anchor="_heading=h.3j2qqm3">
            <w:r w:rsidDel="00000000" w:rsidR="00000000" w:rsidRPr="00000000">
              <w:rPr>
                <w:sz w:val="28"/>
                <w:szCs w:val="28"/>
                <w:rtl w:val="0"/>
              </w:rPr>
              <w:t xml:space="preserve">К</w:t>
            </w:r>
          </w:hyperlink>
          <w:hyperlink w:anchor="_heading=h.3j2qqm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оличество сотрудников (в динамике);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sz w:val="28"/>
              <w:szCs w:val="28"/>
            </w:rPr>
          </w:pPr>
          <w:hyperlink w:anchor="_heading=h.1y810t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 Место расположения (город, федеральный округ);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</w:p>
        <w:p w:rsidR="00000000" w:rsidDel="00000000" w:rsidP="00000000" w:rsidRDefault="00000000" w:rsidRPr="00000000" w14:paraId="00000050">
          <w:pPr>
            <w:tabs>
              <w:tab w:val="right" w:leader="none" w:pos="9345"/>
            </w:tabs>
            <w:spacing w:before="120" w:line="360" w:lineRule="auto"/>
            <w:ind w:left="240" w:firstLine="0"/>
            <w:jc w:val="both"/>
            <w:rPr>
              <w:sz w:val="28"/>
              <w:szCs w:val="28"/>
            </w:rPr>
          </w:pPr>
          <w:hyperlink w:anchor="_heading=h.4i7ojhp">
            <w:r w:rsidDel="00000000" w:rsidR="00000000" w:rsidRPr="00000000">
              <w:rPr>
                <w:sz w:val="28"/>
                <w:szCs w:val="28"/>
                <w:rtl w:val="0"/>
              </w:rPr>
              <w:t xml:space="preserve">4.7 Мое место в  компании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                                                                                 22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24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i7ojhp"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hyperlink>
          <w:hyperlink w:anchor="_heading=h.4i7ojh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История компании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</w:t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120" w:line="36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РЕКОМЕНДОВАННОЙ ЛИТЕРАТУРЫ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line="360" w:lineRule="auto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5">
      <w:pPr>
        <w:spacing w:line="360" w:lineRule="auto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учебной профилирующей практики является единой для всех форм и сроков обучения. Программа составлена в соответствии с требованиями ФГОС ВО – бакалавриат</w:t>
      </w:r>
      <w:r w:rsidDel="00000000" w:rsidR="00000000" w:rsidRPr="00000000">
        <w:rPr>
          <w:color w:val="282828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Учебная практика проходит в структурных подразделениях образовательного учреждения с учетом утвержденного учебного плана.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i w:val="0"/>
          <w:smallCaps w:val="0"/>
          <w:strike w:val="0"/>
          <w:color w:val="282828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указания содержат перечень основных вопросов, подлежащих изучению в процессе прохождения практики, заданий и теоретический материал по их выполнению, требования к содержанию отчетных материалов, представляемых студентами после завершения практики.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tyjcwt" w:id="1"/>
      <w:bookmarkEnd w:id="1"/>
      <w:r w:rsidDel="00000000" w:rsidR="00000000" w:rsidRPr="00000000">
        <w:rPr>
          <w:sz w:val="28"/>
          <w:szCs w:val="28"/>
          <w:rtl w:val="0"/>
        </w:rPr>
        <w:t xml:space="preserve">1.1. Цели практики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52d47"/>
          <w:sz w:val="28"/>
          <w:szCs w:val="28"/>
          <w:highlight w:val="white"/>
          <w:u w:val="none"/>
          <w:vertAlign w:val="baseline"/>
          <w:rtl w:val="0"/>
        </w:rPr>
        <w:t xml:space="preserve">Целью практики является формирование у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обучающихся общего представления о выбранной направленности (профиле) образовательной программы, получение сведений об областях, сферах и специфике работы по выбранному профилю подготовки.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3dy6vkm" w:id="2"/>
      <w:bookmarkEnd w:id="2"/>
      <w:r w:rsidDel="00000000" w:rsidR="00000000" w:rsidRPr="00000000">
        <w:rPr>
          <w:sz w:val="28"/>
          <w:szCs w:val="28"/>
          <w:rtl w:val="0"/>
        </w:rPr>
        <w:t xml:space="preserve">1.2. Задачи практики 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Задачами учебной профилирующей практики являются: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ознакомление с организационной структурой Инженерно- экономического института, входящего в состав НИУ "МЭИ", направлениями исследований, учебными и научными лабораториями кафедр, профилями подготовки по программам бакалавриата выбранной формы обучения;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ознакомление с основной профессиональной образовательной программой (ОПОП) своего направления обучения и профиля подготовки, областью, объектами, видами и задачами профессиональной деятельности выпускников образовательной программы;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−</w:t>
          </w:r>
        </w:sdtContent>
      </w:sdt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ознакомление с ведущими региональными компаниями и предприятиями отрасли, направлениями их деятельности и потребностями рынка труда.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7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t3h5s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ОСНОВНАЯ ЧАСТЬ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4d34og8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2.1 </w:t>
      </w:r>
      <w:r w:rsidDel="00000000" w:rsidR="00000000" w:rsidRPr="00000000">
        <w:rPr>
          <w:sz w:val="28"/>
          <w:szCs w:val="28"/>
          <w:rtl w:val="0"/>
        </w:rPr>
        <w:t xml:space="preserve">Инженерно-экономический институт (ИнЭИ)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Инженерно-экономический институт (ИнЭИ) как учебное подразделение Национального исследовательского университета «МЭИ» создан 1 сентября 2014 года в результате объединения Института Менеджмента и Экономики в Энергетике и Промышленности (ИМЭЭП), Института Информационной и Экономической Безопасности (ИИЭБ), кафедры Экономики и организации предприятий Института Проблем Энергетической Эффективности (ИПЭЭФ) и кафедры Инженерного менеджмента Института электротехники.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ind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В Инженерно-экономическом институте проходят обучение бакалавры, магистры и аспиранты по 6 направлениям подготовки в сфере экономики, менеджмента, управления качеством, информационных технологий и информационной безопасности.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ind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В данный момент ИнЭИ это: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3 выпускающих кафедры и базовая кафедра;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6 направлений подготовки;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более 20 актуальных программ обучения и программы дополнительного образования;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около 4000 студентов;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более 140 квалифицированных преподавателей, в большинстве своем имеющие ученую степень кандидата или доктора наук;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современная и высокотехнологичная база для проведения учебных занятий и научных исследований.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ind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Образовательная концепция ИнЭИ: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rtl w:val="0"/>
        </w:rPr>
        <w:t xml:space="preserve">Грамотный экономический расчет, эффективное управление и надежная защита информации – главное условие успешного развития экономики России.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jc w:val="both"/>
        <w:rPr>
          <w:color w:val="2828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Бизнес - информатика 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Занимаются автоматизацией работы административных подразделений, бухгалтерий, плановых отделов, отделов сбыта, снабжения, хозяйственных, а также основных производственных подразделений крупных и средних фирм, предприятий и организаций, подсчитывают будет ли внедрение ИТ-системы выгодным для предприятия, сможет ли оно сэкономить, заменив ручную работу и «телефонное» управление компьютерной программой.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line="360" w:lineRule="auto"/>
        <w:rPr>
          <w:sz w:val="28"/>
          <w:szCs w:val="28"/>
          <w:highlight w:val="white"/>
        </w:rPr>
      </w:pPr>
      <w:bookmarkStart w:colFirst="0" w:colLast="0" w:name="_heading=h.2s8eyo1" w:id="5"/>
      <w:bookmarkEnd w:id="5"/>
      <w:r w:rsidDel="00000000" w:rsidR="00000000" w:rsidRPr="00000000">
        <w:rPr>
          <w:sz w:val="28"/>
          <w:szCs w:val="28"/>
          <w:highlight w:val="white"/>
          <w:rtl w:val="0"/>
        </w:rPr>
        <w:t xml:space="preserve">2.2 Кафедры и центры ИнЭИ 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Кафедра «Безопасности и Информационных Технологий» была образована в 2018 году в результате объединения кафедр «Информационной и Экономической Безопасности» и «Прикладной и бизнес-информатики» Инженерно-Экономического Института (ИнЭИ) НИУ «МЭИ».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Целью деятельности кафедры является качественная организация и осуществление образовательного процесса ИнЭИ в любых формах обучения на основе формирования у студентов и слушателей профессиональных и личностно-ориентированных компетенций в сферах экономики, менеджмента, информационной и экономической безопасности, позволяющих проводить информационно-аналитические исследования, моделировать угрозы и управлять рисками, создавать эффективные системы информационной и экономической безопасности, готовых реализовать эти компетенции в России и за рубежом.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Цель достигается: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постоянным качественным совершенствованием образовательного процесса;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внедрением активных образовательных технологий и методик обучения;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ведением научных исследований в сферах информационной и экономической безопасности, развитием корпоративных образовательных программ и методик дистанционного обучения;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обменом передовым опытом на международных и отечественных научно-практических конференциях;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0" w:firstLine="709"/>
        <w:jc w:val="both"/>
        <w:rPr>
          <w:color w:val="282828"/>
          <w:sz w:val="28"/>
          <w:szCs w:val="28"/>
        </w:rPr>
      </w:pPr>
      <w:r w:rsidDel="00000000" w:rsidR="00000000" w:rsidRPr="00000000">
        <w:rPr>
          <w:color w:val="282828"/>
          <w:sz w:val="28"/>
          <w:szCs w:val="28"/>
          <w:highlight w:val="white"/>
          <w:rtl w:val="0"/>
        </w:rPr>
        <w:t xml:space="preserve">совершенствованием профессиональных компетенций профессорско-преподавательского состава путем привлечения его к обмену опытом на учебно-методических и практических семинарах, повышения научной и педагогической квалификации, участию в корпоративных образовательных программах.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color w:val="282828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Layout w:type="fixed"/>
        <w:tblLook w:val="04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Направления подготовки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10.03.01 Информационная безопасность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10.04.01 Информационная безопасность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38.03.01 Экономика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38.04.01 Экономика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38.03.05 Бизнес-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09.03.03 Прикладная информатика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09.04.03 Прикладная информатика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17dp8vu" w:id="6"/>
      <w:bookmarkEnd w:id="6"/>
      <w:r w:rsidDel="00000000" w:rsidR="00000000" w:rsidRPr="00000000">
        <w:rPr>
          <w:sz w:val="28"/>
          <w:szCs w:val="28"/>
          <w:rtl w:val="0"/>
        </w:rPr>
        <w:t xml:space="preserve">2.3. Перечнем учебных и научных лабораторий 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Оснащенность кафедры: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реализации общеобразовательной программы на кафедре Безопасности и Информационных Технологий​ созданы и функционируют лаборатории: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6082"/>
        <w:tblGridChange w:id="0">
          <w:tblGrid>
            <w:gridCol w:w="3539"/>
            <w:gridCol w:w="6082"/>
          </w:tblGrid>
        </w:tblGridChange>
      </w:tblGrid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лаборатории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 лаборатории</w:t>
            </w:r>
          </w:p>
        </w:tc>
      </w:tr>
      <w:tr>
        <w:trPr>
          <w:cantSplit w:val="0"/>
          <w:trHeight w:val="764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Учебная лаборатория «Технических средств обеспечения безопасности»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Учебная лаборатория 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"Технических средств обеспечения безопасности"</w:t>
            </w: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имеющая в своем составе восемь автоматизированных рабочих мест со специальным программным обеспечением, функционирующих на базе операционной системы Windows, и специальное лабораторное оборудование, предназначенное для выполнения лабораторных работ по следующим дисциплинам: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Технические средства охраны, по которой выполняется четыре лабораторные работы.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Техническая защита информации, по которой выполняется три лабораторные работы.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Инженерно-техническая защита информации, по которой выполняется четыре лабораторные работы.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Технические средства защиты информации, по которой выполняется четыре лабораторные работы.</w:t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color w:val="28282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Учебная лаборатория 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82828"/>
                <w:sz w:val="28"/>
                <w:szCs w:val="28"/>
                <w:highlight w:val="white"/>
                <w:rtl w:val="0"/>
              </w:rPr>
              <w:t xml:space="preserve">«</w:t>
            </w: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Инженерно-технической защиты информации</w:t>
            </w:r>
            <w:r w:rsidDel="00000000" w:rsidR="00000000" w:rsidRPr="00000000">
              <w:rPr>
                <w:b w:val="1"/>
                <w:color w:val="282828"/>
                <w:sz w:val="28"/>
                <w:szCs w:val="28"/>
                <w:highlight w:val="white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​Учебная лаборатория 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"Инженерно-технической защиты информации"</w:t>
            </w: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имеющая в своем составе шестнадцать автоматизированных рабочих мест, со специальным программным обеспечением, функционирующих на базе операционной системы Linux, и специальное лабораторное оборудование предназначенные для выполнения лабораторных работ по следующим дисциплинам: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Техническая защита информации, по которой выполняется две лабораторные работы.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Инженерно-техническая защита информации, по которой выполняется двенадцать лабораторных работ.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Технические средства защиты информации, по которой выполняется четырнадцать лабораторных работ.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Программно-аппаратные средства защиты информации, по которой выполняется четыре лабораторные работы.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color w:val="28282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Учебная лаборатория 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«Программно-аппаратной защиты информации»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​Учебная лаборатория 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"Программно-аппаратной защиты информации"</w:t>
            </w: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имеющая 16 автоматизированных рабочих мест, со специальным программным обеспечением, функционирующих на базе операционной системы Windows, и специальное лабораторное оборудование, предназначенное для выполнения лабораторных работ по следующим дисциплинам: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Технические средства охраны, по которой выполняется две лабораторные работы.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Программно-аппаратные средства защиты информации, по которой выполняется четырнадцать лабораторных работ.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Криптографические методы защиты информации, по которой выполняется пять лабораторных работ.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Администрирование систем и сетей, по которой выполняется четыре лабораторные работы.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Обеспечение безопасности электронного бизнеса, по которой выполняется две лабораторные работы.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Защита и обработка конфиденциальных документов, по которой выполняется три лабораторные работы.</w:t>
            </w:r>
          </w:p>
        </w:tc>
      </w:tr>
      <w:tr>
        <w:trPr>
          <w:cantSplit w:val="0"/>
          <w:trHeight w:val="98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color w:val="28282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​Учебная лаборатория 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ind w:right="172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282828"/>
                <w:sz w:val="28"/>
                <w:szCs w:val="28"/>
                <w:highlight w:val="white"/>
                <w:rtl w:val="0"/>
              </w:rPr>
              <w:t xml:space="preserve">«Информационно-аналитических технологий»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​Учебная лаборатория 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"Информационно аналитических технологий"</w:t>
            </w: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имеющая в своем составе двадцать пять автоматизированных рабочих мест со специальным программным обеспечением, функционирующих на базе операционной системы Windows, предназначенные для выполнения лабораторных работ по следующим дисциплинам: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Организационное и правовое обеспечение защиты информации,  по которой выполняется две практические работы.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Информационно-аналитическое обеспечение безопасности предпринимательской деятельности, по которой выполняется две лабораторные и четыре практические работы.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25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28282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Управление персоналом, по которой выполняется одна практическая работа. Экономическая безопасность, по которой выполняется две практические работы. Экономическая безопасность, по которой выполняется две практические работы.</w:t>
            </w:r>
          </w:p>
        </w:tc>
      </w:tr>
    </w:tbl>
    <w:p w:rsidR="00000000" w:rsidDel="00000000" w:rsidP="00000000" w:rsidRDefault="00000000" w:rsidRPr="00000000" w14:paraId="000000C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rdcrj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ОБРАЗОВАТЕЛЬНАЯ ПРОГРАММА И ОСОБЕННОСТИ ВЫБРАННОГО НАПРАВЛЕНИЯ ОБУЧЕНИЯ И ПРОФИЛЯ ПОДГОТОВКИ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line="360" w:lineRule="auto"/>
        <w:rPr>
          <w:sz w:val="28"/>
          <w:szCs w:val="28"/>
          <w:highlight w:val="white"/>
        </w:rPr>
      </w:pPr>
      <w:bookmarkStart w:colFirst="0" w:colLast="0" w:name="_heading=h.26in1rg" w:id="8"/>
      <w:bookmarkEnd w:id="8"/>
      <w:r w:rsidDel="00000000" w:rsidR="00000000" w:rsidRPr="00000000">
        <w:rPr>
          <w:sz w:val="28"/>
          <w:szCs w:val="28"/>
          <w:rtl w:val="0"/>
        </w:rPr>
        <w:t xml:space="preserve">3.1.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Основные данные по образовательной программе: </w:t>
      </w:r>
    </w:p>
    <w:p w:rsidR="00000000" w:rsidDel="00000000" w:rsidP="00000000" w:rsidRDefault="00000000" w:rsidRPr="00000000" w14:paraId="000000D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 Основные данные по образовательной программе: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1.1 Направление подготовки: 38.03.05 Бизнес-информатика;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1.2 Наименование образовательной программы: Информационное и программное обеспечение бизнес-процессов;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1.3 Институт: Инженерно-экономический (ИнЭИ);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1.4 Кафедра: БИТ;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1.5 Форма обучения: очная;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1.5 Срок обучения: по очной форме составляет 4 года; 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1.6 Квалификация </w:t>
      </w:r>
      <w:r w:rsidDel="00000000" w:rsidR="00000000" w:rsidRPr="00000000">
        <w:rPr>
          <w:sz w:val="28"/>
          <w:szCs w:val="28"/>
          <w:rtl w:val="0"/>
        </w:rPr>
        <w:t xml:space="preserve">выпускника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: 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Общепрофессиональные компетенции выпускников</w:t>
      </w:r>
      <w:r w:rsidDel="00000000" w:rsidR="00000000" w:rsidRPr="00000000">
        <w:rPr>
          <w:rtl w:val="0"/>
        </w:rPr>
      </w:r>
    </w:p>
    <w:tbl>
      <w:tblPr>
        <w:tblStyle w:val="Table10"/>
        <w:tblW w:w="9346.0" w:type="dxa"/>
        <w:jc w:val="left"/>
        <w:tblLayout w:type="fixed"/>
        <w:tblLook w:val="0400"/>
      </w:tblPr>
      <w:tblGrid>
        <w:gridCol w:w="9346"/>
        <w:tblGridChange w:id="0">
          <w:tblGrid>
            <w:gridCol w:w="93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Код и наименование общепрофессиональной компетенции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ОПК-1. Способен проводить моделирование, анализ и совершенствование бизнес процессов и информационно технологической инфраструктуры предприятия в интересах достижения его стратегических целей с использованием современных методов и программного инструментария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ОПК-2. Способен проводить исследование и анализ рынка информационных систем и информационно коммуникационных технологий, выбирать рациональные решения для управления бизнесом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ОПК-3. Способен управлять процессами создания и использования продуктов и услуг в сфере информационно коммуникационных технологий, в том числе разрабатывать алгоритмы и программы для их практической реализации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ОПК-4. Способен понимать принципы работы информационных технологий; использовать информацию, методы и программные средства ее сбора, обработки и анализа для информационно аналитической поддержки принятия управленческих решений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ОПК-5. Способен организовывать взаимодействие с клиентами и партнерами в процессе решения задач управления жизненным циклом информационных систем и информационно коммуникационных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333333"/>
                <w:sz w:val="28"/>
                <w:szCs w:val="28"/>
                <w:highlight w:val="white"/>
                <w:rtl w:val="0"/>
              </w:rPr>
              <w:t xml:space="preserve">ОПК-6. Способен выполнять отдельные задачи в рамках коллективной научно исследовательской, проектной и учебно-профессиональной деятельности для поиска, выработки и применения новых решений в области информационно коммуникационных технологий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Профессиональные компетенции выпускников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Профессиональные компетенции, устанавливаемые образовательной программой,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источников. Компетентностно-формирующая часть учебного плана, определяющая этапы формирования компетенций дисциплинами, практиками учебного плана, представлена в приложении 6 к образовательной программе. Результаты выбора и анализа профессиональных стандартов для учета в образовательной программе представлены в приложениях 7 и 8 соответственно. В открытом доступе приложения 6-8 не представляются. Рабочая программа воспитания и календарный план воспитательной работы представлены в приложениях 9 и 10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2) Общая характеристика образовательной программы своего направления обучения и профиля подготовки: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2.1 Цель образовательной программы: разностороннее образование в областях информационно-коммуникационных технологий, экономики и менеджмента для энергетики и инновационной цифровой экономики на основе формирования общекультурных и профессиональных компетенций для проектной и организационно-управленческой деятельности в соответствии с требованиями ФГОС ВО по данному направлению подготовки. Формирование у выпускников гражданской ответственности и правового сознания, духовности и культуры, инициативности, самостоятельности, толерантности, способности к успешной социализации в обществе и активной адаптации на рынке труда;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2.2 Форма обучения: очная;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2.3 Объем программы: 240 з.е. Величина зачетной единицы устанавливается в объеме 27 астрономических часов (36 академических часов);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2.4 Срок получения образования: по очной форме составляет 4 года, по очно-заочной форме составляет 4 года 11 месяцев.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3)Характеристика профессиональной деятельности выпускников образовательной программы: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3.1 Область профессиональной деятельности выпускников: Связь, информационные и коммуникационные технологии (в сферах: Анализа, моделирования и формирования интегрального представления стратегий и целей , бизнес процессов и информационно-технологической инфраструктуры предприятий различной отраслевой направленности различных форм собственности, а также учреждений государственного и муниципального управления; стратегического планирования и управления развитием информационных систем и информационно-коммуникационных технологий управления предприятием; организации и управления процессами жизненного цикла информационных систем и информационно-коммуникационных технологий управления предприятием; аналитической поддержки процессов принятия решений для управления предприятием);. 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3.2 Объекты, виды и задачи профессиональной деятельности выпусника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8"/>
              <w:szCs w:val="28"/>
              <w:highlight w:val="white"/>
              <w:rtl w:val="0"/>
            </w:rPr>
            <w:t xml:space="preserve">1.12. Объект(ы) профессиональной деятельности выпускника: − Бизнес-процессы предприятия; − Прикладные и информационные процессы предприятия; − Информационные технологии.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8"/>
              <w:szCs w:val="28"/>
              <w:highlight w:val="white"/>
              <w:rtl w:val="0"/>
            </w:rPr>
            <w:t xml:space="preserve">1.13. Виды профессиональной деятельности выпускника: − Проектный.</w:t>
          </w:r>
        </w:sdtContent>
      </w:sdt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4. Планируемые результаты освоения образовательной программы. </w:t>
      </w:r>
    </w:p>
    <w:p w:rsidR="00000000" w:rsidDel="00000000" w:rsidP="00000000" w:rsidRDefault="00000000" w:rsidRPr="00000000" w14:paraId="000000F7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Ресурсное обеспечение образовательной программы по направлению 38.03.05 Бизнес-информатика сформировано на основе требований к условиям реализации образовательных программ, определяемых ФГОС ВО по данному направлению подготовки.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4.1. Общесистемные требования к реализации образовательной программы </w:t>
      </w:r>
    </w:p>
    <w:p w:rsidR="00000000" w:rsidDel="00000000" w:rsidP="00000000" w:rsidRDefault="00000000" w:rsidRPr="00000000" w14:paraId="000000F9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МЭИ располагает на праве собственности или ином законном основании материально техническим обеспечением образовательной деятельности (помещениями и оборудованием) для реализации образовательной программы по Блоку 1 «Дисциплины (модули)» и Блоку 3 «Государственная итоговая аттестация» в соответствии с учебным планом. </w:t>
      </w:r>
    </w:p>
    <w:p w:rsidR="00000000" w:rsidDel="00000000" w:rsidP="00000000" w:rsidRDefault="00000000" w:rsidRPr="00000000" w14:paraId="000000FA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Каждый обучающийся в течение всего периода обучения обеспечен индивидуальным неограниченным доступом к электронной информационно-образовательной среде МЭИ из любой точки, в которой имеется доступ к информационно-телекоммуникационной сети «Интернет» (далее – сеть «Интернет»), как на территории МЭИ, так и вне ее. </w:t>
      </w:r>
    </w:p>
    <w:p w:rsidR="00000000" w:rsidDel="00000000" w:rsidP="00000000" w:rsidRDefault="00000000" w:rsidRPr="00000000" w14:paraId="000000FB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Электронная информационно-образовательная среда МЭИ обеспечивает: </w:t>
      </w:r>
    </w:p>
    <w:p w:rsidR="00000000" w:rsidDel="00000000" w:rsidP="00000000" w:rsidRDefault="00000000" w:rsidRPr="00000000" w14:paraId="000000FC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8"/>
              <w:szCs w:val="28"/>
              <w:highlight w:val="white"/>
              <w:rtl w:val="0"/>
            </w:rPr>
            <w:t xml:space="preserve">− 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 </w:t>
          </w:r>
        </w:sdtContent>
      </w:sdt>
    </w:p>
    <w:p w:rsidR="00000000" w:rsidDel="00000000" w:rsidP="00000000" w:rsidRDefault="00000000" w:rsidRPr="00000000" w14:paraId="000000FD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8"/>
              <w:szCs w:val="28"/>
              <w:highlight w:val="white"/>
              <w:rtl w:val="0"/>
            </w:rPr>
            <w:t xml:space="preserve">− формирование электронного портфолио обучающегося, в том числе сохранение его работ и оценок за эти работы. При применении электронного обучения, дистанционных образовательных технологий электронная информационно-образовательная среда МЭИ дополнительно обеспечивает: </w:t>
          </w:r>
        </w:sdtContent>
      </w:sdt>
    </w:p>
    <w:p w:rsidR="00000000" w:rsidDel="00000000" w:rsidP="00000000" w:rsidRDefault="00000000" w:rsidRPr="00000000" w14:paraId="000000FE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8"/>
              <w:szCs w:val="28"/>
              <w:highlight w:val="white"/>
              <w:rtl w:val="0"/>
            </w:rPr>
            <w:t xml:space="preserve">− фиксацию хода образовательного процесса, результатов промежуточной аттестации и результатов освоения образовательной программы; </w:t>
          </w:r>
        </w:sdtContent>
      </w:sdt>
    </w:p>
    <w:p w:rsidR="00000000" w:rsidDel="00000000" w:rsidP="00000000" w:rsidRDefault="00000000" w:rsidRPr="00000000" w14:paraId="000000FF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8"/>
              <w:szCs w:val="28"/>
              <w:highlight w:val="white"/>
              <w:rtl w:val="0"/>
            </w:rPr>
            <w:t xml:space="preserve">− 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 </w:t>
          </w:r>
        </w:sdtContent>
      </w:sdt>
    </w:p>
    <w:p w:rsidR="00000000" w:rsidDel="00000000" w:rsidP="00000000" w:rsidRDefault="00000000" w:rsidRPr="00000000" w14:paraId="00000100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333333"/>
              <w:sz w:val="28"/>
              <w:szCs w:val="28"/>
              <w:highlight w:val="white"/>
              <w:rtl w:val="0"/>
            </w:rPr>
            <w:t xml:space="preserve">− взаимодействие между участниками образовательного процесса, в том числе синхронное и (или) асинхронное взаимодействие посредством сети «Интернет». </w:t>
          </w:r>
        </w:sdtContent>
      </w:sdt>
    </w:p>
    <w:p w:rsidR="00000000" w:rsidDel="00000000" w:rsidP="00000000" w:rsidRDefault="00000000" w:rsidRPr="00000000" w14:paraId="00000101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соответствует законодательству Российской Федерации. </w:t>
      </w:r>
    </w:p>
    <w:p w:rsidR="00000000" w:rsidDel="00000000" w:rsidP="00000000" w:rsidRDefault="00000000" w:rsidRPr="00000000" w14:paraId="00000102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4.2. Требования к материально-техническому и учебно-методическому обеспечению образовательной программы </w:t>
      </w:r>
    </w:p>
    <w:p w:rsidR="00000000" w:rsidDel="00000000" w:rsidP="00000000" w:rsidRDefault="00000000" w:rsidRPr="00000000" w14:paraId="00000104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Помещения представляют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 </w:t>
      </w:r>
    </w:p>
    <w:p w:rsidR="00000000" w:rsidDel="00000000" w:rsidP="00000000" w:rsidRDefault="00000000" w:rsidRPr="00000000" w14:paraId="00000105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МЭИ. </w:t>
      </w:r>
    </w:p>
    <w:p w:rsidR="00000000" w:rsidDel="00000000" w:rsidP="00000000" w:rsidRDefault="00000000" w:rsidRPr="00000000" w14:paraId="00000106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Допускается замена оборудования его виртуальными аналогами. </w:t>
      </w:r>
    </w:p>
    <w:p w:rsidR="00000000" w:rsidDel="00000000" w:rsidP="00000000" w:rsidRDefault="00000000" w:rsidRPr="00000000" w14:paraId="00000107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МЭИ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проходит обновление при необходимости). </w:t>
      </w:r>
    </w:p>
    <w:p w:rsidR="00000000" w:rsidDel="00000000" w:rsidP="00000000" w:rsidRDefault="00000000" w:rsidRPr="00000000" w14:paraId="00000108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Библиотечный фонд укомплектован требуемыми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000000" w:rsidDel="00000000" w:rsidP="00000000" w:rsidRDefault="00000000" w:rsidRPr="00000000" w14:paraId="00000109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Обучающимся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обновляется (при необходимости). </w:t>
      </w:r>
    </w:p>
    <w:p w:rsidR="00000000" w:rsidDel="00000000" w:rsidP="00000000" w:rsidRDefault="00000000" w:rsidRPr="00000000" w14:paraId="0000010A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Обучающиеся из числа инвалидов и лиц с ОВЗ обеспечены печатными и (или) электронными образовательными ресурсами в формах, адаптированных к ограничениям их здоровья. </w:t>
      </w:r>
    </w:p>
    <w:p w:rsidR="00000000" w:rsidDel="00000000" w:rsidP="00000000" w:rsidRDefault="00000000" w:rsidRPr="00000000" w14:paraId="0000010B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4.3. Требования к кадровым условиям реализации образовательной программы </w:t>
      </w:r>
    </w:p>
    <w:p w:rsidR="00000000" w:rsidDel="00000000" w:rsidP="00000000" w:rsidRDefault="00000000" w:rsidRPr="00000000" w14:paraId="0000010D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Реализация программы бакалавриата обеспечивается педагогическими работниками МЭИ, а также лицами, привлекаемыми к реализации программы бакалавриата на иных условиях. </w:t>
      </w:r>
    </w:p>
    <w:p w:rsidR="00000000" w:rsidDel="00000000" w:rsidP="00000000" w:rsidRDefault="00000000" w:rsidRPr="00000000" w14:paraId="0000010E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Квалификация педагогических работников МЭИ отвечает квалификационным требованиям, указанным в квалификационных справочниках и (или) профессиональных стандартах (при наличии). </w:t>
      </w:r>
    </w:p>
    <w:p w:rsidR="00000000" w:rsidDel="00000000" w:rsidP="00000000" w:rsidRDefault="00000000" w:rsidRPr="00000000" w14:paraId="0000010F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Не менее 70 процентов численности педагогических работников МЭИ, участвующих в реализации программы бакалавриата, и лиц, привлекаемых МЭИ к реализации программы бакалавриата на иных условиях (исходя из количества замещаемых ставок, приведенного к целочисленным значениям), ведут научную, учебно-методическую и (или) практическую работу, соответствующую профилю преподаваемой дисциплины (модуля). </w:t>
      </w:r>
    </w:p>
    <w:p w:rsidR="00000000" w:rsidDel="00000000" w:rsidP="00000000" w:rsidRDefault="00000000" w:rsidRPr="00000000" w14:paraId="00000110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Не менее 5 процентов численности педагогических работников МЭИ, участвующих в реализации программы бакалавриата, и лиц, привлекаемых к реализации программы бакалавриата на иных условиях (исходя из количества замещаемых ставок, приведенного к целочисленным значениям), являются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 </w:t>
      </w:r>
    </w:p>
    <w:p w:rsidR="00000000" w:rsidDel="00000000" w:rsidP="00000000" w:rsidRDefault="00000000" w:rsidRPr="00000000" w14:paraId="00000111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Не менее 60 процентов численности педагогических работников МЭИ и лиц, привлекаемых к образовательной деятельности МЭИ на иных условиях (исходя из количества замещаемых ставок, приведенного к целочисленным значениям), имеют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 </w:t>
        <w:br w:type="textWrapping"/>
      </w:r>
    </w:p>
    <w:p w:rsidR="00000000" w:rsidDel="00000000" w:rsidP="00000000" w:rsidRDefault="00000000" w:rsidRPr="00000000" w14:paraId="00000112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firstLine="709"/>
        <w:jc w:val="both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lnxbz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ОБЗОР ПРОФИЛЬНОЙ ОРГАНИЗАЦИИ</w:t>
      </w:r>
    </w:p>
    <w:p w:rsidR="00000000" w:rsidDel="00000000" w:rsidP="00000000" w:rsidRDefault="00000000" w:rsidRPr="00000000" w14:paraId="000001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35nkun2" w:id="10"/>
      <w:bookmarkEnd w:id="10"/>
      <w:r w:rsidDel="00000000" w:rsidR="00000000" w:rsidRPr="00000000">
        <w:rPr>
          <w:sz w:val="28"/>
          <w:szCs w:val="28"/>
          <w:rtl w:val="0"/>
        </w:rPr>
        <w:t xml:space="preserve">4.1. Общая характеристика: </w:t>
      </w:r>
    </w:p>
    <w:p w:rsidR="00000000" w:rsidDel="00000000" w:rsidP="00000000" w:rsidRDefault="00000000" w:rsidRPr="00000000" w14:paraId="000001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ГКС (АО (Акционерное общество) «Группа Систематика») — многопрофильный ИТ-холдинг, один из лидеров российского рынка информационных технологий.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 консолидирует 11 профильных компаний и 30‑летний опыт цифровизации и автоматизации государственных структур и крупных коммерческих предприятий в промышленности. Группа входит в состав «Национальной компьютерной корпорации», которая включена в топ-100 крупнейших компаний РФ.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Объединенная структура ГКС – это более 1200 сотрудников, около 100 партнерских контрактов с производителями ИТ-, компьютерного и телекоммуникационного оборудования и ПО, более 2000 клиентов в разных отраслевых сегментах, сервисный центр круглосуточный, более 2000 партнеров в 85 субъектах Российской Федерации. Представительства Группы располагаются в Москве, Санкт-Петербурге, Екатеринбурге, Красноярске, Новосибирске, Курске, Краснодаре, Белгороде, Хабаровске, Казани, Шуе, Тамбове и в городах стран СНГ.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1ksv4uv" w:id="11"/>
      <w:bookmarkEnd w:id="11"/>
      <w:r w:rsidDel="00000000" w:rsidR="00000000" w:rsidRPr="00000000">
        <w:rPr>
          <w:sz w:val="28"/>
          <w:szCs w:val="28"/>
          <w:rtl w:val="0"/>
        </w:rPr>
        <w:t xml:space="preserve">4.2 Задачи и специфика работы профильной организации: </w:t>
      </w:r>
    </w:p>
    <w:p w:rsidR="00000000" w:rsidDel="00000000" w:rsidP="00000000" w:rsidRDefault="00000000" w:rsidRPr="00000000" w14:paraId="000001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Айти компания ГКС является профильной организацией в сфере информационных технологий (IT). ГКС «Группа компаний Систематика» - имеет в своем наличии разнообразный набор ИТ-услуг и решений, такие как:  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программного обеспечения: создание и поддержка различных типов программного обеспечения, включая веб-приложения, мобильные приложения, программное обеспечение для управления бизнес-процессами; 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ИТ-консалтинг: предоставление экспертных знаний и рекомендаций по вопросам информационных технологий, оптимизации бизнес-процессов, выбора и внедрения IT-решений; 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ИТ-инфраструктура: построение и поддержка IT-инфраструктуры, включая установку, администрирование и мониторинг серверов, сетей, облачных решений; 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Внедрение и поддержка CRM-систем (customer relationship management): создание и настройка систем управления взаимоотношениями с клиентами для автоматизации продаж, маркетинга и обслуживания клиентов; 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Кибербезопасность: защита информации и IT-инфраструктуры от внешних угроз, анализ и предотвращение кибератак, внедрение и обслуживание систем мониторинга и обнаружения инцидентов; 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Обучение и сертификация: проведение обучающих курсов и сертификационных программ по различным направлениям IT, включая программирование, системную администрацию, информационную безопасность; 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Техническая поддержка: предоставление технической поддержки пользователей и решение проблем с программным и аппаратным обеспечением.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44sinio" w:id="12"/>
      <w:bookmarkEnd w:id="12"/>
      <w:r w:rsidDel="00000000" w:rsidR="00000000" w:rsidRPr="00000000">
        <w:rPr>
          <w:sz w:val="28"/>
          <w:szCs w:val="28"/>
          <w:rtl w:val="0"/>
        </w:rPr>
        <w:t xml:space="preserve">4.3 Форма собственности</w:t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shd w:fill="ffffff" w:val="clear"/>
        <w:spacing w:after="0" w:before="0" w:line="360" w:lineRule="auto"/>
        <w:jc w:val="both"/>
        <w:rPr>
          <w:b w:val="0"/>
          <w:color w:val="000000"/>
          <w:sz w:val="28"/>
          <w:szCs w:val="28"/>
        </w:rPr>
      </w:pPr>
      <w:bookmarkStart w:colFirst="0" w:colLast="0" w:name="_heading=h.2jxsxqh" w:id="13"/>
      <w:bookmarkEnd w:id="13"/>
      <w:r w:rsidDel="00000000" w:rsidR="00000000" w:rsidRPr="00000000">
        <w:rPr>
          <w:b w:val="0"/>
          <w:sz w:val="28"/>
          <w:szCs w:val="28"/>
          <w:rtl w:val="0"/>
        </w:rPr>
        <w:t xml:space="preserve">АО "Группа Систематика"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действующая организация</w:t>
      </w:r>
    </w:p>
    <w:p w:rsidR="00000000" w:rsidDel="00000000" w:rsidP="00000000" w:rsidRDefault="00000000" w:rsidRPr="00000000" w14:paraId="0000012B">
      <w:pPr>
        <w:shd w:fill="ffffff" w:val="clear"/>
        <w:spacing w:line="360" w:lineRule="auto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Факты об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ИНН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7701768139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КПП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770101001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ОГРН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1087746148764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образование 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31.01.2008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Юридический адрес</w:t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105082, город Москва, Большая Почтовая ул, д. 26 стр. 1, эт/пом/ком/оф 6/I/1/2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Основной вид деятельности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Консультирование по вопросам коммерческой деятельности и управления (70.22)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Генеральный директор - Закрепин Евгений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Налоговый орган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Инспекция ФНС России № 1 по г.Москве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Дополнительные виды деятельности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18.1</w:t>
              <w:tab/>
              <w:t xml:space="preserve">Деятельность полиграфическая и предоставление услуг в этой области</w:t>
            </w:r>
          </w:p>
          <w:p w:rsidR="00000000" w:rsidDel="00000000" w:rsidP="00000000" w:rsidRDefault="00000000" w:rsidRPr="00000000" w14:paraId="0000014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26.11</w:t>
              <w:tab/>
              <w:t xml:space="preserve">Производство элементов электронной аппаратуры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26.2</w:t>
              <w:tab/>
              <w:t xml:space="preserve">Производство компьютеров и периферийного оборудования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еще 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z337ya" w:id="14"/>
      <w:bookmarkEnd w:id="14"/>
      <w:r w:rsidDel="00000000" w:rsidR="00000000" w:rsidRPr="00000000">
        <w:rPr>
          <w:sz w:val="28"/>
          <w:szCs w:val="28"/>
          <w:rtl w:val="0"/>
        </w:rPr>
        <w:t xml:space="preserve">4.4 Основные акционеры</w:t>
      </w:r>
    </w:p>
    <w:p w:rsidR="00000000" w:rsidDel="00000000" w:rsidP="00000000" w:rsidRDefault="00000000" w:rsidRPr="00000000" w14:paraId="00000146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Главные акционеры компании - неизвестны. Акционерами могут любые участники приобретшие акции компании на закрытых биржевых торгов.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3j2qqm3" w:id="15"/>
      <w:bookmarkEnd w:id="15"/>
      <w:r w:rsidDel="00000000" w:rsidR="00000000" w:rsidRPr="00000000">
        <w:rPr>
          <w:sz w:val="28"/>
          <w:szCs w:val="28"/>
          <w:rtl w:val="0"/>
        </w:rPr>
        <w:t xml:space="preserve">4.5 Количество сотрудников (в динамике); </w:t>
      </w:r>
    </w:p>
    <w:p w:rsidR="00000000" w:rsidDel="00000000" w:rsidP="00000000" w:rsidRDefault="00000000" w:rsidRPr="00000000" w14:paraId="000001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72000" cy="2654300"/>
            <wp:effectExtent b="0" l="0" r="0" t="0"/>
            <wp:docPr id="15969652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1y810tw" w:id="16"/>
      <w:bookmarkEnd w:id="16"/>
      <w:r w:rsidDel="00000000" w:rsidR="00000000" w:rsidRPr="00000000">
        <w:rPr>
          <w:sz w:val="28"/>
          <w:szCs w:val="28"/>
          <w:rtl w:val="0"/>
        </w:rPr>
        <w:t xml:space="preserve">4.6 Место расположения (город, федеральный округ);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color w:val="11111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108811, г. Москва, п. Московский, Киевское ш., 22-й км, домовл. 6, стр. 1, офисный парк Comcity, корпус А4b. </w:t>
      </w:r>
    </w:p>
    <w:p w:rsidR="00000000" w:rsidDel="00000000" w:rsidP="00000000" w:rsidRDefault="00000000" w:rsidRPr="00000000" w14:paraId="00000150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heading=h.i9vrznz94mdu" w:id="17"/>
      <w:bookmarkEnd w:id="17"/>
      <w:r w:rsidDel="00000000" w:rsidR="00000000" w:rsidRPr="00000000">
        <w:rPr>
          <w:sz w:val="28"/>
          <w:szCs w:val="28"/>
          <w:rtl w:val="0"/>
        </w:rPr>
        <w:t xml:space="preserve">4.8 Мое место в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компании я бы хотел быть DevOps специалистом и выполнять следующие задачи: </w:t>
      </w:r>
    </w:p>
    <w:p w:rsidR="00000000" w:rsidDel="00000000" w:rsidP="00000000" w:rsidRDefault="00000000" w:rsidRPr="00000000" w14:paraId="0000015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1.Установка\администрирование и поддержка Azure DevopsServer;</w:t>
      </w:r>
    </w:p>
    <w:p w:rsidR="00000000" w:rsidDel="00000000" w:rsidP="00000000" w:rsidRDefault="00000000" w:rsidRPr="00000000" w14:paraId="0000015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2.Администрирование Bitbucket, Gitlab;</w:t>
      </w:r>
    </w:p>
    <w:p w:rsidR="00000000" w:rsidDel="00000000" w:rsidP="00000000" w:rsidRDefault="00000000" w:rsidRPr="00000000" w14:paraId="0000015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Установка\настройка, сопровождение, "тюнинг" СУБД postgresql;</w:t>
      </w:r>
    </w:p>
    <w:p w:rsidR="00000000" w:rsidDel="00000000" w:rsidP="00000000" w:rsidRDefault="00000000" w:rsidRPr="00000000" w14:paraId="0000015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Настройка, администрирование приложений на apachetomcat, nginx;</w:t>
      </w:r>
    </w:p>
    <w:p w:rsidR="00000000" w:rsidDel="00000000" w:rsidP="00000000" w:rsidRDefault="00000000" w:rsidRPr="00000000" w14:paraId="0000015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Поддержка системы ведения документации xwiki;</w:t>
      </w:r>
    </w:p>
    <w:p w:rsidR="00000000" w:rsidDel="00000000" w:rsidP="00000000" w:rsidRDefault="00000000" w:rsidRPr="00000000" w14:paraId="0000015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Понимание принципов работы kubernetes и docker, администрирование системы;</w:t>
      </w:r>
    </w:p>
    <w:p w:rsidR="00000000" w:rsidDel="00000000" w:rsidP="00000000" w:rsidRDefault="00000000" w:rsidRPr="00000000" w14:paraId="0000015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Установка, администрирование серверов linux;</w:t>
      </w:r>
    </w:p>
    <w:p w:rsidR="00000000" w:rsidDel="00000000" w:rsidP="00000000" w:rsidRDefault="00000000" w:rsidRPr="00000000" w14:paraId="0000015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Установка, настройка систем мониторинга;</w:t>
      </w:r>
    </w:p>
    <w:p w:rsidR="00000000" w:rsidDel="00000000" w:rsidP="00000000" w:rsidRDefault="00000000" w:rsidRPr="00000000" w14:paraId="0000015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Установка\администрирование MSSQLserver;</w:t>
      </w:r>
    </w:p>
    <w:p w:rsidR="00000000" w:rsidDel="00000000" w:rsidP="00000000" w:rsidRDefault="00000000" w:rsidRPr="00000000" w14:paraId="0000015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Установка\администрирование серверов семейства Windows;</w:t>
      </w:r>
    </w:p>
    <w:p w:rsidR="00000000" w:rsidDel="00000000" w:rsidP="00000000" w:rsidRDefault="00000000" w:rsidRPr="00000000" w14:paraId="0000015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Установка\администрирование и поддержка сервера OpenVPN;</w:t>
      </w:r>
    </w:p>
    <w:p w:rsidR="00000000" w:rsidDel="00000000" w:rsidP="00000000" w:rsidRDefault="00000000" w:rsidRPr="00000000" w14:paraId="0000015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Администрирование систем виртуализации.</w:t>
      </w:r>
    </w:p>
    <w:p w:rsidR="00000000" w:rsidDel="00000000" w:rsidP="00000000" w:rsidRDefault="00000000" w:rsidRPr="00000000" w14:paraId="0000015E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профессия крайне перспективна, тем более в такой большой компании как АО ГКС.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4i7ojhp" w:id="18"/>
      <w:bookmarkEnd w:id="18"/>
      <w:r w:rsidDel="00000000" w:rsidR="00000000" w:rsidRPr="00000000">
        <w:rPr>
          <w:sz w:val="28"/>
          <w:szCs w:val="28"/>
          <w:rtl w:val="0"/>
        </w:rPr>
        <w:t xml:space="preserve">4.8 История компании </w:t>
      </w:r>
    </w:p>
    <w:p w:rsidR="00000000" w:rsidDel="00000000" w:rsidP="00000000" w:rsidRDefault="00000000" w:rsidRPr="00000000" w14:paraId="0000016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1988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компании «Аквариус Дата»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компании TopS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компании «АНД Проджект»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компании TopS BI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95898437499994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Компания «Аквариус Дата» переименована в «Систематика»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группы компаний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Приобретение Landata и «Энсис Технологии»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ООО «РСТ-Инвент»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Покупка бизнеса компании «Сайнер»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ГКС объединилась с компанией STEP 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компании HeadPoint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Выделение «Систематики Консалтинг» в отдельную компанию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Ребрендинг ГКС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дирекции систем комплексной безопасности и антитеррористической защиты ГКС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.9179687499999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Аналитическая платформа «Триафлай» включена в продуктовый портфель ГКС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Изменение состава входящих в группу компаний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облачного провайдера «Облако.ру»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Изменения в структуре управления ГКС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Изменения в структуре управления ГКС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xcytp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время практике я проанализировал полностью компанию ГСК. Выявил ее сильные стороны. Отметил для себя привлекательные характеристики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все время практики я получил </w:t>
      </w:r>
      <w:r w:rsidDel="00000000" w:rsidR="00000000" w:rsidRPr="00000000">
        <w:rPr>
          <w:sz w:val="28"/>
          <w:szCs w:val="28"/>
          <w:rtl w:val="0"/>
        </w:rPr>
        <w:t xml:space="preserve">хороший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опыт. Овладел навыками</w:t>
      </w:r>
      <w:r w:rsidDel="00000000" w:rsidR="00000000" w:rsidRPr="00000000">
        <w:rPr>
          <w:sz w:val="28"/>
          <w:szCs w:val="28"/>
          <w:rtl w:val="0"/>
        </w:rPr>
        <w:t xml:space="preserve">, к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оторые помогут мне в дальней</w:t>
      </w:r>
      <w:r w:rsidDel="00000000" w:rsidR="00000000" w:rsidRPr="00000000">
        <w:rPr>
          <w:sz w:val="28"/>
          <w:szCs w:val="28"/>
          <w:rtl w:val="0"/>
        </w:rPr>
        <w:t xml:space="preserve">ш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ей учебе и работ</w:t>
      </w:r>
      <w:r w:rsidDel="00000000" w:rsidR="00000000" w:rsidRPr="00000000">
        <w:rPr>
          <w:sz w:val="28"/>
          <w:szCs w:val="28"/>
          <w:rtl w:val="0"/>
        </w:rPr>
        <w:t xml:space="preserve">е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Отличное место прохождение практики и качественно квалифицированный персонал способствовали всему эту.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уверенностью могу сказать, что данная практика п</w:t>
      </w:r>
      <w:r w:rsidDel="00000000" w:rsidR="00000000" w:rsidRPr="00000000">
        <w:rPr>
          <w:sz w:val="28"/>
          <w:szCs w:val="28"/>
          <w:rtl w:val="0"/>
        </w:rPr>
        <w:t xml:space="preserve">ошла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мне исключительно на пользу.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ci93x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РЕКОМЕНДОВАННОЙ ЛИТЕРАТУРЫ</w:t>
      </w:r>
    </w:p>
    <w:p w:rsidR="00000000" w:rsidDel="00000000" w:rsidP="00000000" w:rsidRDefault="00000000" w:rsidRPr="00000000" w14:paraId="000001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(ГКС (АО “Группа Систематика”): [сайт]. URL: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https://gcs.ru/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(ГКС Группа компании: [сайт]. URL: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https://www.tadviser.ru/index.php/%D0%9A%D0%BE%D0%BC%D0%BF%D0%B0%D0%BD%D0%B8%D1%8F:%D0%93%D0%9A%D0%A1_%D0%93%D1%80%D1%83%D0%BF%D0%BF%D0%B0_%D0%BA%D0%BE%D0%BC%D0%BF%D0%B0%D0%BD%D0%B8%D0%B9_%D0%A1%D0%B8%D1%81%D1%82%D0%B5%D0%BC%D0%B0%D1%82%D0%B8%D0%BA%D0%B0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(Как оформлять список литературы: [сайт]. URL: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https://yaaspirant.ru/spisok-literatury/kak-v-spiske-literatury-oformlyat-internet-istochniki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Вакансии (АО “Группа Систематика”): [сайт]. URL: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https://hh.ru/employer/2189974</w:t>
        </w:r>
      </w:hyperlink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(АО ГКС,  Москва): [сайт]. URL: https://spark-interfax.ru/moskva-butyrski/ao-gks-inn-7715769076-ogrn-1097746468467-7227af3c306e4446925c23d1644c16fd).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footerReference r:id="rId15" w:type="even"/>
      <w:pgSz w:h="16838" w:w="11906" w:orient="portrait"/>
      <w:pgMar w:bottom="1133.8582677165355" w:top="1133.8582677165355" w:left="1700.7874015748032" w:right="566.929133858267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F16"/>
    <w:rPr>
      <w:rFonts w:ascii="Times New Roman" w:cs="Times New Roman" w:eastAsia="Times New Roman" w:hAnsi="Times New Roman"/>
      <w:kern w:val="0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66A8B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link w:val="20"/>
    <w:uiPriority w:val="9"/>
    <w:qFormat w:val="1"/>
    <w:rsid w:val="00467FC0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4">
    <w:name w:val="heading 4"/>
    <w:basedOn w:val="a"/>
    <w:link w:val="40"/>
    <w:uiPriority w:val="9"/>
    <w:qFormat w:val="1"/>
    <w:rsid w:val="00467FC0"/>
    <w:pPr>
      <w:spacing w:after="100" w:afterAutospacing="1" w:before="100" w:beforeAutospacing="1"/>
      <w:outlineLvl w:val="3"/>
    </w:pPr>
    <w:rPr>
      <w:b w:val="1"/>
      <w:bCs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467FC0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ru-RU"/>
    </w:rPr>
  </w:style>
  <w:style w:type="character" w:styleId="40" w:customStyle="1">
    <w:name w:val="Заголовок 4 Знак"/>
    <w:basedOn w:val="a0"/>
    <w:link w:val="4"/>
    <w:uiPriority w:val="9"/>
    <w:rsid w:val="00467FC0"/>
    <w:rPr>
      <w:rFonts w:ascii="Times New Roman" w:cs="Times New Roman" w:eastAsia="Times New Roman" w:hAnsi="Times New Roman"/>
      <w:b w:val="1"/>
      <w:bCs w:val="1"/>
      <w:kern w:val="0"/>
      <w:lang w:eastAsia="ru-RU"/>
    </w:rPr>
  </w:style>
  <w:style w:type="paragraph" w:styleId="a3">
    <w:name w:val="Normal (Web)"/>
    <w:basedOn w:val="a"/>
    <w:uiPriority w:val="99"/>
    <w:unhideWhenUsed w:val="1"/>
    <w:rsid w:val="00467FC0"/>
    <w:pPr>
      <w:spacing w:after="100" w:afterAutospacing="1" w:before="100" w:beforeAutospacing="1"/>
    </w:pPr>
  </w:style>
  <w:style w:type="character" w:styleId="a4">
    <w:name w:val="Hyperlink"/>
    <w:basedOn w:val="a0"/>
    <w:uiPriority w:val="99"/>
    <w:unhideWhenUsed w:val="1"/>
    <w:rsid w:val="00467FC0"/>
    <w:rPr>
      <w:color w:val="0000ff"/>
      <w:u w:val="single"/>
    </w:rPr>
  </w:style>
  <w:style w:type="table" w:styleId="a5">
    <w:name w:val="Table Grid"/>
    <w:basedOn w:val="a1"/>
    <w:uiPriority w:val="59"/>
    <w:rsid w:val="00471C5B"/>
    <w:rPr>
      <w:kern w:val="0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Strong"/>
    <w:basedOn w:val="a0"/>
    <w:uiPriority w:val="22"/>
    <w:qFormat w:val="1"/>
    <w:rsid w:val="00471C5B"/>
    <w:rPr>
      <w:b w:val="1"/>
      <w:bCs w:val="1"/>
    </w:rPr>
  </w:style>
  <w:style w:type="paragraph" w:styleId="ms-rteelement-p" w:customStyle="1">
    <w:name w:val="ms-rteelement-p"/>
    <w:basedOn w:val="a"/>
    <w:rsid w:val="00471C5B"/>
    <w:pPr>
      <w:spacing w:after="100" w:afterAutospacing="1" w:before="100" w:beforeAutospacing="1"/>
    </w:pPr>
  </w:style>
  <w:style w:type="paragraph" w:styleId="counterpartycard-reliabilitylistelement" w:customStyle="1">
    <w:name w:val="counterpartycard-reliabilitylistelement"/>
    <w:basedOn w:val="a"/>
    <w:rsid w:val="00DF1F16"/>
    <w:pPr>
      <w:spacing w:after="100" w:afterAutospacing="1" w:before="100" w:beforeAutospacing="1"/>
    </w:pPr>
  </w:style>
  <w:style w:type="character" w:styleId="a11yhidden" w:customStyle="1">
    <w:name w:val="a11yhidden"/>
    <w:basedOn w:val="a0"/>
    <w:rsid w:val="00DF1F16"/>
  </w:style>
  <w:style w:type="paragraph" w:styleId="a7">
    <w:name w:val="List Paragraph"/>
    <w:basedOn w:val="a"/>
    <w:uiPriority w:val="34"/>
    <w:qFormat w:val="1"/>
    <w:rsid w:val="00F25241"/>
    <w:pPr>
      <w:ind w:left="720"/>
      <w:contextualSpacing w:val="1"/>
    </w:pPr>
  </w:style>
  <w:style w:type="character" w:styleId="a8">
    <w:name w:val="FollowedHyperlink"/>
    <w:basedOn w:val="a0"/>
    <w:uiPriority w:val="99"/>
    <w:semiHidden w:val="1"/>
    <w:unhideWhenUsed w:val="1"/>
    <w:rsid w:val="00F25241"/>
    <w:rPr>
      <w:color w:val="954f72" w:themeColor="followedHyperlink"/>
      <w:u w:val="single"/>
    </w:rPr>
  </w:style>
  <w:style w:type="paragraph" w:styleId="a9">
    <w:name w:val="No Spacing"/>
    <w:uiPriority w:val="1"/>
    <w:qFormat w:val="1"/>
    <w:rsid w:val="002355C8"/>
    <w:rPr>
      <w:kern w:val="0"/>
      <w:sz w:val="22"/>
      <w:szCs w:val="22"/>
    </w:rPr>
  </w:style>
  <w:style w:type="paragraph" w:styleId="aa">
    <w:name w:val="header"/>
    <w:basedOn w:val="a"/>
    <w:link w:val="ab"/>
    <w:uiPriority w:val="99"/>
    <w:unhideWhenUsed w:val="1"/>
    <w:rsid w:val="002355C8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basedOn w:val="a0"/>
    <w:link w:val="aa"/>
    <w:uiPriority w:val="99"/>
    <w:rsid w:val="002355C8"/>
    <w:rPr>
      <w:rFonts w:ascii="Times New Roman" w:cs="Times New Roman" w:eastAsia="Times New Roman" w:hAnsi="Times New Roman"/>
      <w:kern w:val="0"/>
      <w:lang w:eastAsia="ru-RU"/>
    </w:rPr>
  </w:style>
  <w:style w:type="paragraph" w:styleId="ac">
    <w:name w:val="footer"/>
    <w:basedOn w:val="a"/>
    <w:link w:val="ad"/>
    <w:uiPriority w:val="99"/>
    <w:unhideWhenUsed w:val="1"/>
    <w:rsid w:val="002355C8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basedOn w:val="a0"/>
    <w:link w:val="ac"/>
    <w:uiPriority w:val="99"/>
    <w:rsid w:val="002355C8"/>
    <w:rPr>
      <w:rFonts w:ascii="Times New Roman" w:cs="Times New Roman" w:eastAsia="Times New Roman" w:hAnsi="Times New Roman"/>
      <w:kern w:val="0"/>
      <w:lang w:eastAsia="ru-RU"/>
    </w:rPr>
  </w:style>
  <w:style w:type="character" w:styleId="ae">
    <w:name w:val="page number"/>
    <w:basedOn w:val="a0"/>
    <w:uiPriority w:val="99"/>
    <w:semiHidden w:val="1"/>
    <w:unhideWhenUsed w:val="1"/>
    <w:rsid w:val="002355C8"/>
  </w:style>
  <w:style w:type="character" w:styleId="af">
    <w:name w:val="Unresolved Mention"/>
    <w:basedOn w:val="a0"/>
    <w:uiPriority w:val="99"/>
    <w:semiHidden w:val="1"/>
    <w:unhideWhenUsed w:val="1"/>
    <w:rsid w:val="002355C8"/>
    <w:rPr>
      <w:color w:val="605e5c"/>
      <w:shd w:color="auto" w:fill="e1dfdd" w:val="clear"/>
    </w:rPr>
  </w:style>
  <w:style w:type="character" w:styleId="10" w:customStyle="1">
    <w:name w:val="Заголовок 1 Знак"/>
    <w:basedOn w:val="a0"/>
    <w:link w:val="1"/>
    <w:uiPriority w:val="9"/>
    <w:rsid w:val="00B66A8B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  <w:lang w:eastAsia="ru-RU"/>
    </w:rPr>
  </w:style>
  <w:style w:type="paragraph" w:styleId="af0">
    <w:name w:val="TOC Heading"/>
    <w:basedOn w:val="1"/>
    <w:next w:val="a"/>
    <w:uiPriority w:val="39"/>
    <w:unhideWhenUsed w:val="1"/>
    <w:qFormat w:val="1"/>
    <w:rsid w:val="00B66A8B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21">
    <w:name w:val="toc 2"/>
    <w:basedOn w:val="a"/>
    <w:next w:val="a"/>
    <w:autoRedefine w:val="1"/>
    <w:uiPriority w:val="39"/>
    <w:unhideWhenUsed w:val="1"/>
    <w:rsid w:val="00B66A8B"/>
    <w:pPr>
      <w:spacing w:before="120"/>
      <w:ind w:left="240"/>
    </w:pPr>
    <w:rPr>
      <w:rFonts w:asciiTheme="minorHAnsi" w:cstheme="minorHAnsi" w:hAnsiTheme="minorHAnsi"/>
      <w:b w:val="1"/>
      <w:bCs w:val="1"/>
      <w:sz w:val="22"/>
      <w:szCs w:val="22"/>
    </w:rPr>
  </w:style>
  <w:style w:type="paragraph" w:styleId="11">
    <w:name w:val="toc 1"/>
    <w:basedOn w:val="a"/>
    <w:next w:val="a"/>
    <w:autoRedefine w:val="1"/>
    <w:uiPriority w:val="39"/>
    <w:unhideWhenUsed w:val="1"/>
    <w:rsid w:val="00B66A8B"/>
    <w:pPr>
      <w:spacing w:before="120"/>
    </w:pPr>
    <w:rPr>
      <w:rFonts w:asciiTheme="minorHAnsi" w:cstheme="minorHAnsi" w:hAnsiTheme="minorHAnsi"/>
      <w:b w:val="1"/>
      <w:bCs w:val="1"/>
      <w:i w:val="1"/>
      <w:iCs w:val="1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rsid w:val="00B66A8B"/>
    <w:pPr>
      <w:ind w:left="480"/>
    </w:pPr>
    <w:rPr>
      <w:rFonts w:asciiTheme="minorHAnsi" w:cstheme="minorHAnsi" w:hAnsiTheme="minorHAnsi"/>
      <w:sz w:val="20"/>
      <w:szCs w:val="20"/>
    </w:rPr>
  </w:style>
  <w:style w:type="paragraph" w:styleId="41">
    <w:name w:val="toc 4"/>
    <w:basedOn w:val="a"/>
    <w:next w:val="a"/>
    <w:autoRedefine w:val="1"/>
    <w:uiPriority w:val="39"/>
    <w:semiHidden w:val="1"/>
    <w:unhideWhenUsed w:val="1"/>
    <w:rsid w:val="00B66A8B"/>
    <w:pPr>
      <w:ind w:left="720"/>
    </w:pPr>
    <w:rPr>
      <w:rFonts w:asciiTheme="minorHAnsi" w:cstheme="minorHAnsi" w:hAnsiTheme="minorHAnsi"/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B66A8B"/>
    <w:pPr>
      <w:ind w:left="960"/>
    </w:pPr>
    <w:rPr>
      <w:rFonts w:asciiTheme="minorHAnsi" w:cstheme="minorHAnsi" w:hAnsiTheme="minorHAnsi"/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B66A8B"/>
    <w:pPr>
      <w:ind w:left="1200"/>
    </w:pPr>
    <w:rPr>
      <w:rFonts w:asciiTheme="minorHAnsi" w:cstheme="minorHAnsi" w:hAnsi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B66A8B"/>
    <w:pPr>
      <w:ind w:left="1440"/>
    </w:pPr>
    <w:rPr>
      <w:rFonts w:asciiTheme="minorHAnsi" w:cstheme="minorHAnsi" w:hAnsi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B66A8B"/>
    <w:pPr>
      <w:ind w:left="1680"/>
    </w:pPr>
    <w:rPr>
      <w:rFonts w:asciiTheme="minorHAnsi" w:cstheme="minorHAnsi" w:hAnsi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B66A8B"/>
    <w:pPr>
      <w:ind w:left="1920"/>
    </w:pPr>
    <w:rPr>
      <w:rFonts w:asciiTheme="minorHAnsi" w:cs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h.ru/employer/2189974" TargetMode="External"/><Relationship Id="rId10" Type="http://schemas.openxmlformats.org/officeDocument/2006/relationships/hyperlink" Target="https://yaaspirant.ru/spisok-literatury/kak-v-spiske-literatury-oformlyat-internet-istochniki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dviser.ru/index.php/%D0%9A%D0%BE%D0%BC%D0%BF%D0%B0%D0%BD%D0%B8%D1%8F:%D0%93%D0%9A%D0%A1_%D0%93%D1%80%D1%83%D0%BF%D0%BF%D0%B0_%D0%BA%D0%BE%D0%BC%D0%BF%D0%B0%D0%BD%D0%B8%D0%B9_%D0%A1%D0%B8%D1%81%D1%82%D0%B5%D0%BC%D0%B0%D1%82%D0%B8%D0%BA%D0%B0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c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SULegAFk6nej3d0kUG/pbn/lC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MgloLjN6bnlzaDcyCGgudHlqY3d0MgloLjNkeTZ2a20yCWguMXQzaDVzZjIJaC40ZDM0b2c4MgloLjJzOGV5bzEyCWguMTdkcDh2dTIJaC4zcmRjcmpuMgloLjI2aW4xcmcyCGgubG54Yno5MgloLjM1bmt1bjIyCWguMWtzdjR1djIJaC40NHNpbmlvMgloLjJqeHN4cWgyCGguejMzN3lhMgloLjNqMnFxbTMyCWguMXk4MTB0dzIOaC5pOXZyem56OTRtZHUyCWguNGk3b2pocDIJaC4yeGN5dHBpMgloLjFjaTkzeGI4AHIhMS00bXIxMndWd2lGTTlZajNraUFqOTJDNXlKUjJYNU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2023-07-06T12:49:00Z</dcterms:created>
  <dc:creator>Natali Ibragimova</dc:creator>
</cp:coreProperties>
</file>