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95.jpg" ContentType="image/jpeg"/>
  <Override PartName="/word/media/rId103.png" ContentType="image/png"/>
  <Override PartName="/word/media/rId91.jpg" ContentType="image/jpe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68.png" ContentType="image/png"/>
  <Override PartName="/word/media/rId71.png" ContentType="image/png"/>
  <Override PartName="/word/media/rId75.png" ContentType="image/png"/>
  <Override PartName="/word/media/rId78.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an essential criterion.</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lockText"/>
      </w:pPr>
      <w:r>
        <w:t xml:space="preserve">R sessions sometimes reopen with objects from earlier work, including hidden ones (often because you clicked</w:t>
      </w:r>
      <w:r>
        <w:t xml:space="preserve"> </w:t>
      </w:r>
      <w:r>
        <w:t xml:space="preserve">“</w:t>
      </w:r>
      <w:r>
        <w:t xml:space="preserve">save workspace</w:t>
      </w:r>
      <w:r>
        <w:t xml:space="preserve">”</w:t>
      </w:r>
      <w:r>
        <w:t xml:space="preserve"> </w:t>
      </w:r>
      <w:r>
        <w:t xml:space="preserve">when you quit RStudio). Left over data or functions can cause headaches and confusion, so if you think this might be affecting you, then you can begin by clearing your global environment by running:</w:t>
      </w:r>
    </w:p>
    <w:p>
      <w:pPr>
        <w:pStyle w:val="BlockText"/>
      </w:pPr>
      <w:r>
        <w:rPr>
          <w:rStyle w:val="VerbatimChar"/>
        </w:rPr>
        <w:t xml:space="preserve">rm(list = ls())</w:t>
      </w:r>
    </w:p>
    <w:p>
      <w:pPr>
        <w:pStyle w:val="BlockText"/>
      </w:pPr>
      <w:r>
        <w:t xml:space="preserve">This removes all objects in the global environment (but not hidden ones). It does not delete any files, so don’t worry about loosing any of your work.</w:t>
      </w:r>
    </w:p>
    <w:p>
      <w:pPr>
        <w:pStyle w:val="BlockText"/>
      </w:pPr>
      <w:r>
        <w:t xml:space="preserve">Alternatively, in RStudio you can do the same from the Environment pane by clicking the broom icon (Clear All).</w:t>
      </w:r>
    </w:p>
    <w:p>
      <w:pPr>
        <w:pStyle w:val="FirstParagraph"/>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But before we can do this, we first need to install the package (if you haven’t done so already) and then load it ready to use:</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 </w:t>
      </w:r>
      <w:r>
        <w:rPr>
          <w:rStyle w:val="CommentTok"/>
        </w:rPr>
        <w:t xml:space="preserve"># Install the software</w:t>
      </w:r>
      <w:r>
        <w:br/>
      </w:r>
      <w:r>
        <w:rPr>
          <w:rStyle w:val="FunctionTok"/>
        </w:rPr>
        <w:t xml:space="preserve">library</w:t>
      </w:r>
      <w:r>
        <w:rPr>
          <w:rStyle w:val="NormalTok"/>
        </w:rPr>
        <w:t xml:space="preserve">(ggplot2) </w:t>
      </w:r>
      <w:r>
        <w:rPr>
          <w:rStyle w:val="CommentTok"/>
        </w:rPr>
        <w:t xml:space="preserve"># Load the software</w:t>
      </w:r>
    </w:p>
    <w:p>
      <w:pPr>
        <w:pStyle w:val="FirstParagraph"/>
      </w:pPr>
      <w:r>
        <w:t xml:space="preserve">Once we have</w:t>
      </w:r>
      <w:r>
        <w:t xml:space="preserve"> </w:t>
      </w:r>
      <w:r>
        <w:rPr>
          <w:rStyle w:val="VerbatimChar"/>
        </w:rPr>
        <w:t xml:space="preserve">ggplot2</w:t>
      </w:r>
      <w:r>
        <w:t xml:space="preserve"> </w:t>
      </w:r>
      <w:r>
        <w:t xml:space="preserve">installed and loaded, we can make a simple</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orkshop-2---Data-visualisation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orkshop-2---Data-visualisation_files/figure-docx/unnamed-chunk-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orkshop-2---Data-visualisation_files/figure-docx/unnamed-chunk-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pStyle w:val="FirstParagraph"/>
      </w:pPr>
      <w:r>
        <w:t xml:space="preserve">Question 1. What variables do we have available to us?</w:t>
      </w:r>
    </w:p>
    <w:p>
      <w:pPr>
        <w:pStyle w:val="BodyText"/>
      </w:pPr>
      <w:r>
        <w:t xml:space="preserve">Question 2. How many observations/samples do we have?</w:t>
      </w:r>
    </w:p>
    <w:p>
      <w:pPr>
        <w:pStyle w:val="BodyText"/>
      </w:pPr>
      <w:r>
        <w:t xml:space="preserve">Question 3. Is the relationship between boto length and number of drought years likely to be positive, neutral, or negative?</w:t>
      </w:r>
    </w:p>
    <w:p>
      <w:pPr>
        <w:pStyle w:val="BodyText"/>
      </w:pPr>
      <w:r>
        <w:t xml:space="preserve">Question 4. What range of lengths do boto dolphins reach at maturity?</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orkshop-2---Data-visualisation_files/figure-docx/unnamed-chunk-13-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that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orkshop-2---Data-visualisation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orkshop-2---Data-visualisation_files/figure-docx/unnamed-chunk-14-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clearer than boxplots.</w:t>
      </w:r>
    </w:p>
    <w:p>
      <w:pPr>
        <w:pStyle w:val="BodyText"/>
      </w:pPr>
      <w:r>
        <w:t xml:space="preserve">With either boxplots or violin plots, it’s fairly common that people will add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w:t>
      </w:r>
    </w:p>
    <w:p>
      <w:pPr>
        <w:pStyle w:val="BodyText"/>
      </w:pPr>
      <w:r>
        <w:t xml:space="preserve">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w:t>
      </w:r>
    </w:p>
    <w:p>
      <w:pPr>
        <w:pStyle w:val="BodyText"/>
      </w:pPr>
      <w:r>
        <w:t xml:space="preserve">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 which can can specify by saying</w:t>
      </w:r>
      <w:r>
        <w:t xml:space="preserve"> </w:t>
      </w:r>
      <w:r>
        <w:rPr>
          <w:rStyle w:val="VerbatimChar"/>
        </w:rPr>
        <w:t xml:space="preserve">height = 0</w:t>
      </w:r>
      <w:r>
        <w:t xml:space="preserve"> </w:t>
      </w:r>
      <w:r>
        <w:t xml:space="preserve">(i.e. zero noise added to</w:t>
      </w:r>
      <w:r>
        <w:t xml:space="preserve"> </w:t>
      </w:r>
      <w:r>
        <w:t xml:space="preserve">“</w:t>
      </w:r>
      <w:r>
        <w:t xml:space="preserve">height</w:t>
      </w:r>
      <w:r>
        <w:t xml:space="preserve">”</w:t>
      </w:r>
      <w:r>
        <w:t xml:space="preserve">, or the y-axis), and</w:t>
      </w:r>
      <w:r>
        <w:t xml:space="preserve"> </w:t>
      </w:r>
      <w:r>
        <w:rPr>
          <w:rStyle w:val="VerbatimChar"/>
        </w:rPr>
        <w:t xml:space="preserve">width = 0.1</w:t>
      </w:r>
      <w:r>
        <w:t xml:space="preserve"> </w:t>
      </w:r>
      <w:r>
        <w:t xml:space="preserve">(i.e. points can move 0.1 units to the left and right on the x-axis).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orkshop-2---Data-visualisation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pStyle w:val="FirstParagraph"/>
      </w:pPr>
      <w:r>
        <w:t xml:space="preserve">The questions below have issues in the code which will either cause errors or will not do what ever was intended. To help with this, try to spot the error on your own first. If you’re really struggling, try running the code to see what happens.</w:t>
      </w:r>
    </w:p>
    <w:p>
      <w:pPr>
        <w:pStyle w:val="BodyText"/>
      </w:pPr>
      <w:r>
        <w:t xml:space="preserve">Question 1. 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t xml:space="preserve">Question 2.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pStyle w:val="FirstParagraph"/>
      </w:pPr>
      <w:r>
        <w:t xml:space="preserve">Question 3.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pStyle w:val="FirstParagraph"/>
      </w:pPr>
      <w:r>
        <w:t xml:space="preserve">Question 4. If I wanted to produce a histogram of boto lengths, what should my code look like? (If you’re stuck, try typing</w:t>
      </w:r>
      <w:r>
        <w:t xml:space="preserve"> </w:t>
      </w:r>
      <w:r>
        <w:rPr>
          <w:rStyle w:val="VerbatimChar"/>
        </w:rPr>
        <w:t xml:space="preserve">??geom_</w:t>
      </w:r>
      <w:r>
        <w:t xml:space="preserve"> </w:t>
      </w:r>
      <w:r>
        <w:t xml:space="preserve">into the console and scroll through the Help page, or type</w:t>
      </w:r>
      <w:r>
        <w:t xml:space="preserve"> </w:t>
      </w:r>
      <w:r>
        <w:rPr>
          <w:rStyle w:val="VerbatimChar"/>
        </w:rPr>
        <w:t xml:space="preserve">geom_</w:t>
      </w:r>
      <w:r>
        <w:t xml:space="preserve"> </w:t>
      </w:r>
      <w:r>
        <w:t xml:space="preserve">into your script and wait for RStudio to give you a pop-up autocomplete prompt, or just do a quick google).</w:t>
      </w:r>
    </w:p>
    <w:p>
      <w:pPr>
        <w:pStyle w:val="BodyText"/>
      </w:pPr>
      <w:r>
        <w:t xml:space="preserve">Question 5. From the boxplot you produced earlier, what information helps you see how symmetrical the distribution is for dolphins lengths for females and males?</w:t>
      </w:r>
    </w:p>
    <w:p>
      <w:pPr>
        <w:pStyle w:val="BodyText"/>
      </w:pPr>
      <w:r>
        <w:t xml:space="preserve">Question 6. What is the difference between the interquartile range in the boxplot and the range?</w:t>
      </w:r>
    </w:p>
    <w:p>
      <w:pPr>
        <w:pStyle w:val="BodyText"/>
      </w:pPr>
      <w:r>
        <w:t xml:space="preserve">Question 7. What is the difference between the interquartile range and variance?</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orkshop-2---Data-visualisation_files/figure-docx/unnamed-chunk-26-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sexes.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orkshop-2---Data-visualisation_files/figure-docx/unnamed-chunk-27-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one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orkshop-2---Data-visualisation_files/figure-docx/unnamed-chunk-28-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orkshop-2---Data-visualisation_files/figure-docx/unnamed-chunk-2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pStyle w:val="FirstParagraph"/>
      </w:pPr>
      <w:r>
        <w:t xml:space="preserve">Question 1. Imagine a line drawn through females and males in the faceted figure. Do you think they would have the same slope?</w:t>
      </w:r>
    </w:p>
    <w:p>
      <w:pPr>
        <w:pStyle w:val="BodyText"/>
      </w:pPr>
      <w:r>
        <w:t xml:space="preserve">Question 2. Depending on your answer to 1., do you think this might violate any of our assumptions?</w:t>
      </w:r>
    </w:p>
    <w:p>
      <w:pPr>
        <w:pStyle w:val="BodyText"/>
      </w:pPr>
      <w:r>
        <w:t xml:space="preserve">Question 3. 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bookmarkEnd w:id="61"/>
    <w:bookmarkEnd w:id="62"/>
    <w:bookmarkStart w:id="67" w:name="geom_s"/>
    <w:p>
      <w:pPr>
        <w:pStyle w:val="Heading1"/>
      </w:pP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when prompted) and you may be asked</w:t>
      </w:r>
      <w:r>
        <w:t xml:space="preserve"> </w:t>
      </w:r>
      <w:r>
        <w:t xml:space="preserve">“</w:t>
      </w:r>
      <w:r>
        <w:t xml:space="preserve">Do you want to install from sources the package which needs compilation?</w:t>
      </w:r>
      <w:r>
        <w:t xml:space="preserve">”</w:t>
      </w:r>
      <w:r>
        <w:t xml:space="preserve">, if so just say no.</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geom_hex</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p>
    <w:p>
      <w:pPr>
        <w:pStyle w:val="FirstParagraph"/>
      </w:pPr>
      <w:r>
        <w:drawing>
          <wp:inline>
            <wp:extent cx="4620126" cy="3696101"/>
            <wp:effectExtent b="0" l="0" r="0" t="0"/>
            <wp:docPr descr="" title="" id="65" name="Picture"/>
            <a:graphic>
              <a:graphicData uri="http://schemas.openxmlformats.org/drawingml/2006/picture">
                <pic:pic>
                  <pic:nvPicPr>
                    <pic:cNvPr descr="Workshop-2---Data-visualisation_files/figure-docx/unnamed-chunk-33-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82" w:name="interpretation-of-commmon-graphs"/>
    <w:p>
      <w:pPr>
        <w:pStyle w:val="Heading1"/>
      </w:pPr>
      <w:r>
        <w:t xml:space="preserve">Interpretation of Commmon Graphs</w:t>
      </w:r>
    </w:p>
    <w:p>
      <w:pPr>
        <w:pStyle w:val="FirstParagraph"/>
      </w:pPr>
      <w:r>
        <w:t xml:space="preserve">Scatterplots, histograms, density plots, boxplots and violin plots are commonly used for EDA. Each type of plot has its own particular strengths for exploring certain aspects of a dataset. Consequently, it is important to understand how to interpret these common plots. We will highlight some features and elements here but be sure that you are confident about how to interpret all of the plots that you produce in the workshops. We assume you are comfortable interpreting scatterplots and boxplots at this point (but feel free to ask if you need a reminder), but it’s worth taking a second to talk about histograms and density plots.</w:t>
      </w:r>
    </w:p>
    <w:bookmarkStart w:id="74" w:name="histograms"/>
    <w:p>
      <w:pPr>
        <w:pStyle w:val="Heading2"/>
      </w:pPr>
      <w:r>
        <w:t xml:space="preserve">Histograms</w:t>
      </w:r>
    </w:p>
    <w:p>
      <w:pPr>
        <w:pStyle w:val="FirstParagraph"/>
      </w:pPr>
      <w:r>
        <w:t xml:space="preserve">Frequency histograms are useful for visualising the distribution of data. The histogram represents the number of observations (count or frequency) per interval (or</w:t>
      </w:r>
      <w:r>
        <w:t xml:space="preserve"> </w:t>
      </w:r>
      <w:r>
        <w:t xml:space="preserve">“</w:t>
      </w:r>
      <w:r>
        <w:t xml:space="preserve">bin</w:t>
      </w:r>
      <w:r>
        <w:t xml:space="preserve">”</w:t>
      </w:r>
      <w:r>
        <w:t xml:space="preserve">) of the variable. Earlier in the workshop you produced a violin plot comparing boto dolphin body lengths for male and female dolphins. You may have noted that the shapes of the violins (i.e., density plots) for the two sexes were different, female was like a vase, wider at the base than in the middle or top, whereas the male group was wider at the top than the base and had less curvy sides. The shape of the density plot in the violin reflects a smoothed version of a histogram. In a frequency histogram, we can also see these patterns.</w:t>
      </w:r>
    </w:p>
    <w:p>
      <w:pPr>
        <w:pStyle w:val="BodyText"/>
      </w:pPr>
      <w:r>
        <w:t xml:space="preserve">Create a histogram using the boto length data (you did this in Question Set Two, Question 4). We can improve the appearance of the graph by adding outlines to the bars, adding labels for the axes.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69" name="Picture"/>
            <a:graphic>
              <a:graphicData uri="http://schemas.openxmlformats.org/drawingml/2006/picture">
                <pic:pic>
                  <pic:nvPicPr>
                    <pic:cNvPr descr="Workshop-2---Data-visualisation_files/figure-docx/unnamed-chunk-34-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it is relatively easy to see how many dolphins are in each bin but is it not so easy to see what lengths of dolphin are represented by each bin. In</w:t>
      </w:r>
      <w:r>
        <w:t xml:space="preserve"> </w:t>
      </w:r>
      <w:r>
        <w:rPr>
          <w:rStyle w:val="VerbatimChar"/>
        </w:rPr>
        <w:t xml:space="preserve">ggplot2</w:t>
      </w:r>
      <w:r>
        <w:t xml:space="preserve">, the default bin width is 30. That means that ggplot is dividing the range of the x variable (in this case length) into 30 bins of equal width (</w:t>
      </w:r>
      <m:oMath>
        <m:r>
          <m:rPr>
            <m:nor/>
            <m:sty m:val="p"/>
          </m:rPr>
          <m:t>binwidth</m:t>
        </m:r>
        <m:r>
          <m:rPr>
            <m:sty m:val="p"/>
          </m:rPr>
          <m:t>=</m:t>
        </m:r>
        <m:f>
          <m:fPr>
            <m:type m:val="bar"/>
          </m:fPr>
          <m:num>
            <m:r>
              <m:t>m</m:t>
            </m:r>
            <m:r>
              <m:t>a</m:t>
            </m:r>
            <m:r>
              <m:t>x</m:t>
            </m:r>
            <m:d>
              <m:dPr>
                <m:begChr m:val="("/>
                <m:endChr m:val=")"/>
                <m:sepChr m:val=""/>
                <m:grow/>
              </m:dPr>
              <m:e>
                <m:r>
                  <m:t>x</m:t>
                </m:r>
              </m:e>
            </m:d>
            <m:r>
              <m:rPr>
                <m:sty m:val="p"/>
              </m:rPr>
              <m:t>−</m:t>
            </m:r>
            <m:r>
              <m:t>m</m:t>
            </m:r>
            <m:r>
              <m:t>i</m:t>
            </m:r>
            <m:r>
              <m:t>n</m:t>
            </m:r>
            <m:d>
              <m:dPr>
                <m:begChr m:val="("/>
                <m:endChr m:val=")"/>
                <m:sepChr m:val=""/>
                <m:grow/>
              </m:dPr>
              <m:e>
                <m:r>
                  <m:t>x</m:t>
                </m:r>
              </m:e>
            </m:d>
          </m:num>
          <m:den>
            <m:r>
              <m:t>30</m:t>
            </m:r>
          </m:den>
        </m:f>
      </m:oMath>
      <w:r>
        <w:t xml:space="preserve">). The default binwidth for the full boto length data can be calculated (</w:t>
      </w:r>
      <w:r>
        <w:rPr>
          <w:rStyle w:val="VerbatimChar"/>
        </w:rPr>
        <w:t xml:space="preserve">diff(range(boto$length))/30</w:t>
      </w:r>
      <w:r>
        <w:t xml:space="preserve"> </w:t>
      </w:r>
      <w:r>
        <w:t xml:space="preserve">= 2.27). There is no ideal bin width but usually one sets a bin width to provide a reasonably smooth presentation of the distribution, and so that there are not too many bins with only a single observation. You can set the bin width manually by adding an additional argument,</w:t>
      </w:r>
      <w:r>
        <w:t xml:space="preserve"> </w:t>
      </w:r>
      <w:r>
        <w:rPr>
          <w:rStyle w:val="VerbatimChar"/>
        </w:rPr>
        <w:t xml:space="preserve">binwidth</w:t>
      </w:r>
      <w:r>
        <w:t xml:space="preserve"> </w:t>
      </w:r>
      <w:r>
        <w:t xml:space="preserve">to the</w:t>
      </w:r>
      <w:r>
        <w:t xml:space="preserve"> </w:t>
      </w:r>
      <w:r>
        <w:rPr>
          <w:rStyle w:val="VerbatimChar"/>
        </w:rPr>
        <w:t xml:space="preserve">geom_histogram()</w:t>
      </w:r>
      <w:r>
        <w:t xml:space="preserve"> </w:t>
      </w:r>
      <w:r>
        <w:t xml:space="preserve">function as below:</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Workshop-2---Data-visualisation_files/figure-docx/unnamed-chunk-35-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for a histogram where the range of values goes from 170-238 cm, with a binwidth of 5, each bin will represent an interval of 5 cm. Therefore, to interpret the middle bin (the one that sits on top of 200 cm), you can read off the plot that there are 10 observations (i.e. 10 dolphins) that had lengths that fell between 197.5 and 202.5 cm. For the bin to the far right, there is 1 observation that falls between 237.5 and 242.5 cm (i.e. there is only one dolphin that is ca. 240 cm long in the data).</w:t>
      </w:r>
    </w:p>
    <w:bookmarkEnd w:id="74"/>
    <w:bookmarkStart w:id="81" w:name="density-plots"/>
    <w:p>
      <w:pPr>
        <w:pStyle w:val="Heading2"/>
      </w:pPr>
      <w:r>
        <w:t xml:space="preserve">Density plots</w:t>
      </w:r>
    </w:p>
    <w:p>
      <w:pPr>
        <w:pStyle w:val="FirstParagraph"/>
      </w:pPr>
      <w:r>
        <w:t xml:space="preserve">Density plots share a similar</w:t>
      </w:r>
      <w:r>
        <w:t xml:space="preserve"> </w:t>
      </w:r>
      <w:r>
        <w:t xml:space="preserve">“</w:t>
      </w:r>
      <w:r>
        <w:t xml:space="preserve">space</w:t>
      </w:r>
      <w:r>
        <w:t xml:space="preserve">”</w:t>
      </w:r>
      <w:r>
        <w:t xml:space="preserve"> </w:t>
      </w:r>
      <w:r>
        <w:t xml:space="preserve">as histograms, in that they’re very useful for understanding the spread of your data. In truth, they’re exceptionally similar to histograms but differ in two important ways: 1. The y-axis doesn’t show counts but proportion (i.e. what proportion of observations are in at this value) 2. They don’t use bins and bars, but instead use a smoothed line</w:t>
      </w:r>
    </w:p>
    <w:p>
      <w:pPr>
        <w:pStyle w:val="BodyText"/>
      </w:pPr>
      <w:r>
        <w:t xml:space="preserve">Here’s what the equivalent density plot looks like for the boto dolphins: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Workshop-2---Data-visualisation_files/figure-docx/unnamed-chunk-36-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compare it to the histogram, you’ can see similar you’d probably reach the same conclusion. Most dolphins are below ca. 210 cm long, a decent amount of them are between 210 to 230 cm, and very few at more than 230 cm.</w:t>
      </w:r>
    </w:p>
    <w:p>
      <w:pPr>
        <w:pStyle w:val="BodyText"/>
      </w:pPr>
      <w:r>
        <w:t xml:space="preserve">It’s possible to combine a histogram and a density plot, though it is a bit fiddly because you need to convert proportion into counts (by multiplying proportion with the total number of dolphins with the binwidth). I wouldn’t normally do this in my own work, but if you’re interested, here’s what the code could look like: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Workshop-2---Data-visualisation_files/figure-docx/unnamed-chunk-37-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Remember those violin plots from earlier? They’re basically just density plots rotated onto their side and split by whichever factor you add to the x-axis.</w:t>
      </w:r>
    </w:p>
    <w:bookmarkEnd w:id="81"/>
    <w:bookmarkEnd w:id="82"/>
    <w:bookmarkStart w:id="90" w:name="the-good-and-the-bad"/>
    <w:p>
      <w:pPr>
        <w:pStyle w:val="Heading1"/>
      </w:pPr>
      <w:r>
        <w:t xml:space="preserve">The Good and The Bad</w:t>
      </w:r>
    </w:p>
    <w:p>
      <w:pPr>
        <w:pStyle w:val="FirstParagraph"/>
      </w:pPr>
      <w:r>
        <w:t xml:space="preserve">We’re going to do something that’s, hopefully, fun but also instructive. On MyAberdeen, you find a dataset called</w:t>
      </w:r>
      <w:r>
        <w:t xml:space="preserve"> </w:t>
      </w:r>
      <w:r>
        <w:rPr>
          <w:rStyle w:val="VerbatimChar"/>
        </w:rPr>
        <w:t xml:space="preserve">abdn_rent.txt</w:t>
      </w:r>
      <w:r>
        <w:t xml:space="preserve">. This dataset contains</w:t>
      </w:r>
      <w:r>
        <w:t xml:space="preserve"> </w:t>
      </w:r>
      <m:oMath>
        <m:r>
          <m:rPr>
            <m:sty m:val="p"/>
          </m:rPr>
          <m:t>&gt;</m:t>
        </m:r>
        <m:r>
          <m:t>500</m:t>
        </m:r>
      </m:oMath>
      <w:r>
        <w:t xml:space="preserve"> </w:t>
      </w:r>
      <w:r>
        <w:t xml:space="preserve">records (i.e. observations or samples) of rent prices for properties listed in Aberdeenshire on the ASPC website. In addition to the rent price, 15 additional variables were recorded as well. The variables are:</w:t>
      </w:r>
    </w:p>
    <w:p>
      <w:pPr>
        <w:numPr>
          <w:ilvl w:val="0"/>
          <w:numId w:val="1003"/>
        </w:numPr>
      </w:pPr>
      <w:r>
        <w:rPr>
          <w:rStyle w:val="VerbatimChar"/>
        </w:rPr>
        <w:t xml:space="preserve">Price</w:t>
      </w:r>
      <w:r>
        <w:t xml:space="preserve"> </w:t>
      </w:r>
      <w:r>
        <w:t xml:space="preserve">- the rent of the listed property (£)</w:t>
      </w:r>
    </w:p>
    <w:p>
      <w:pPr>
        <w:numPr>
          <w:ilvl w:val="0"/>
          <w:numId w:val="1003"/>
        </w:numPr>
      </w:pPr>
      <w:r>
        <w:rPr>
          <w:rStyle w:val="VerbatimChar"/>
        </w:rPr>
        <w:t xml:space="preserve">Bedrooms</w:t>
      </w:r>
      <w:r>
        <w:t xml:space="preserve"> </w:t>
      </w:r>
      <w:r>
        <w:t xml:space="preserve">- the number of bedrooms in the property</w:t>
      </w:r>
    </w:p>
    <w:p>
      <w:pPr>
        <w:numPr>
          <w:ilvl w:val="0"/>
          <w:numId w:val="1003"/>
        </w:numPr>
      </w:pPr>
      <w:r>
        <w:rPr>
          <w:rStyle w:val="VerbatimChar"/>
        </w:rPr>
        <w:t xml:space="preserve">PublicRooms</w:t>
      </w:r>
      <w:r>
        <w:t xml:space="preserve"> </w:t>
      </w:r>
      <w:r>
        <w:t xml:space="preserve">- the number of living rooms in the property</w:t>
      </w:r>
    </w:p>
    <w:p>
      <w:pPr>
        <w:numPr>
          <w:ilvl w:val="0"/>
          <w:numId w:val="1003"/>
        </w:numPr>
      </w:pPr>
      <w:r>
        <w:rPr>
          <w:rStyle w:val="VerbatimChar"/>
        </w:rPr>
        <w:t xml:space="preserve">Rooms</w:t>
      </w:r>
      <w:r>
        <w:t xml:space="preserve"> </w:t>
      </w:r>
      <w:r>
        <w:t xml:space="preserve">- the total number of bedrooms plus living rooms in the property</w:t>
      </w:r>
    </w:p>
    <w:p>
      <w:pPr>
        <w:numPr>
          <w:ilvl w:val="0"/>
          <w:numId w:val="1003"/>
        </w:numPr>
      </w:pPr>
      <w:r>
        <w:rPr>
          <w:rStyle w:val="VerbatimChar"/>
        </w:rPr>
        <w:t xml:space="preserve">Bathrooms</w:t>
      </w:r>
      <w:r>
        <w:t xml:space="preserve"> </w:t>
      </w:r>
      <w:r>
        <w:t xml:space="preserve">- the number of bathrooms</w:t>
      </w:r>
    </w:p>
    <w:p>
      <w:pPr>
        <w:numPr>
          <w:ilvl w:val="0"/>
          <w:numId w:val="1003"/>
        </w:numPr>
      </w:pPr>
      <w:r>
        <w:rPr>
          <w:rStyle w:val="VerbatimChar"/>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rPr>
        <w:t xml:space="preserve">EPC</w:t>
      </w:r>
      <w:r>
        <w:t xml:space="preserve"> </w:t>
      </w:r>
      <w:r>
        <w:t xml:space="preserve">- the Energy Performance Certificate (A is highly energy efficient, G is terrible)</w:t>
      </w:r>
    </w:p>
    <w:p>
      <w:pPr>
        <w:numPr>
          <w:ilvl w:val="0"/>
          <w:numId w:val="1003"/>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rPr>
        <w:t xml:space="preserve">PropertyURL</w:t>
      </w:r>
      <w:r>
        <w:t xml:space="preserve"> </w:t>
      </w:r>
      <w:r>
        <w:t xml:space="preserve">- web link for the property listing</w:t>
      </w:r>
    </w:p>
    <w:p>
      <w:pPr>
        <w:numPr>
          <w:ilvl w:val="0"/>
          <w:numId w:val="1003"/>
        </w:numPr>
      </w:pPr>
      <w:r>
        <w:rPr>
          <w:rStyle w:val="VerbatimChar"/>
        </w:rPr>
        <w:t xml:space="preserve">Address</w:t>
      </w:r>
      <w:r>
        <w:t xml:space="preserve"> </w:t>
      </w:r>
      <w:r>
        <w:t xml:space="preserve">- the property name or address</w:t>
      </w:r>
    </w:p>
    <w:p>
      <w:pPr>
        <w:numPr>
          <w:ilvl w:val="0"/>
          <w:numId w:val="1003"/>
        </w:numPr>
      </w:pPr>
      <w:r>
        <w:rPr>
          <w:rStyle w:val="VerbatimChar"/>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rPr>
        <w:t xml:space="preserve">HouseType</w:t>
      </w:r>
      <w:r>
        <w:t xml:space="preserve"> </w:t>
      </w:r>
      <w:r>
        <w:t xml:space="preserve">- whether the property is</w:t>
      </w:r>
      <w:r>
        <w:t xml:space="preserve"> </w:t>
      </w:r>
      <w:r>
        <w:t xml:space="preserve">“</w:t>
      </w:r>
      <w:hyperlink r:id="rId83">
        <w:r>
          <w:rPr>
            <w:rStyle w:val="Hyperlink"/>
          </w:rPr>
          <w:t xml:space="preserve">detached</w:t>
        </w:r>
      </w:hyperlink>
      <w:r>
        <w:t xml:space="preserve">”</w:t>
      </w:r>
      <w:r>
        <w:t xml:space="preserve">,</w:t>
      </w:r>
      <w:r>
        <w:t xml:space="preserve"> </w:t>
      </w:r>
      <w:r>
        <w:t xml:space="preserve">“</w:t>
      </w:r>
      <w:hyperlink r:id="rId84">
        <w:r>
          <w:rPr>
            <w:rStyle w:val="Hyperlink"/>
          </w:rPr>
          <w:t xml:space="preserve">semi-detached</w:t>
        </w:r>
      </w:hyperlink>
      <w:r>
        <w:t xml:space="preserve">”</w:t>
      </w:r>
      <w:r>
        <w:t xml:space="preserve">,</w:t>
      </w:r>
      <w:r>
        <w:t xml:space="preserve"> </w:t>
      </w:r>
      <w:r>
        <w:t xml:space="preserve">“</w:t>
      </w:r>
      <w:hyperlink r:id="rId85">
        <w:r>
          <w:rPr>
            <w:rStyle w:val="Hyperlink"/>
          </w:rPr>
          <w:t xml:space="preserve">terrace</w:t>
        </w:r>
      </w:hyperlink>
      <w:r>
        <w:t xml:space="preserve">”</w:t>
      </w:r>
      <w:r>
        <w:t xml:space="preserve">, or</w:t>
      </w:r>
      <w:r>
        <w:t xml:space="preserve"> </w:t>
      </w:r>
      <w:r>
        <w:t xml:space="preserve">“</w:t>
      </w:r>
      <w:hyperlink r:id="rId86">
        <w:r>
          <w:rPr>
            <w:rStyle w:val="Hyperlink"/>
          </w:rPr>
          <w:t xml:space="preserve">flat</w:t>
        </w:r>
      </w:hyperlink>
      <w:r>
        <w:t xml:space="preserve">”</w:t>
      </w:r>
      <w:r>
        <w:t xml:space="preserve"> </w:t>
      </w:r>
      <w:r>
        <w:t xml:space="preserve">(NB flats can also be called</w:t>
      </w:r>
      <w:r>
        <w:t xml:space="preserve"> </w:t>
      </w:r>
      <w:r>
        <w:t xml:space="preserve">“</w:t>
      </w:r>
      <w:r>
        <w:t xml:space="preserve">apartments</w:t>
      </w:r>
      <w:r>
        <w:t xml:space="preserve">”</w:t>
      </w:r>
      <w:r>
        <w:t xml:space="preserve">)</w:t>
      </w:r>
    </w:p>
    <w:p>
      <w:pPr>
        <w:numPr>
          <w:ilvl w:val="0"/>
          <w:numId w:val="1003"/>
        </w:numPr>
      </w:pPr>
      <w:r>
        <w:rPr>
          <w:rStyle w:val="VerbatimChar"/>
        </w:rPr>
        <w:t xml:space="preserve">Furnished</w:t>
      </w:r>
      <w:r>
        <w:t xml:space="preserve"> </w:t>
      </w:r>
      <w:r>
        <w:t xml:space="preserve">- whether the property is fully furnished, part furnished, or unfurnished</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88"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w:t>
      </w:r>
    </w:p>
    <w:p>
      <w:pPr>
        <w:pStyle w:val="BodyText"/>
      </w:pPr>
      <w:r>
        <w:t xml:space="preserve">Create your most informative and visually appealing figure now - note that your</w:t>
      </w:r>
      <w:r>
        <w:t xml:space="preserve"> </w:t>
      </w:r>
      <w:r>
        <w:t xml:space="preserve">“</w:t>
      </w:r>
      <w:r>
        <w:t xml:space="preserve">audience</w:t>
      </w:r>
      <w:r>
        <w:t xml:space="preserve">”</w:t>
      </w:r>
      <w:r>
        <w:t xml:space="preserve"> </w:t>
      </w:r>
      <w:r>
        <w:t xml:space="preserve">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w:t>
      </w:r>
      <w:r>
        <w:t xml:space="preserve"> </w:t>
      </w:r>
      <w:hyperlink r:id="rId87">
        <w:r>
          <w:rPr>
            <w:rStyle w:val="Hyperlink"/>
          </w:rPr>
          <w:t xml:space="preserve">Intro2R chapter</w:t>
        </w:r>
      </w:hyperlink>
      <w:r>
        <w:t xml:space="preserve"> </w:t>
      </w:r>
      <w:r>
        <w:t xml:space="preserve">for a slightly more detailed walk through on</w:t>
      </w:r>
      <w:r>
        <w:t xml:space="preserve"> </w:t>
      </w:r>
      <w:r>
        <w:rPr>
          <w:rStyle w:val="VerbatimChar"/>
        </w:rPr>
        <w:t xml:space="preserve">ggplot2</w:t>
      </w:r>
      <w:r>
        <w:t xml:space="preserve">, or else use your LLM of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bookmarkEnd w:id="88"/>
    <w:bookmarkStart w:id="89"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add your figures onto the MyAberdeen discussion board, and we’ll have an</w:t>
      </w:r>
      <w:r>
        <w:t xml:space="preserve"> </w:t>
      </w:r>
      <w:r>
        <w:t xml:space="preserve">“</w:t>
      </w:r>
      <w:r>
        <w:t xml:space="preserve">Art Exhibit</w:t>
      </w:r>
      <w:r>
        <w:t xml:space="preserve">”</w:t>
      </w:r>
      <w:r>
        <w:t xml:space="preserve"> </w:t>
      </w:r>
      <w:r>
        <w:t xml:space="preserve">to finish the workshop :D.</w:t>
      </w:r>
    </w:p>
    <w:bookmarkEnd w:id="89"/>
    <w:bookmarkEnd w:id="90"/>
    <w:bookmarkStart w:id="107" w:name="figures-from-the-real-world"/>
    <w:p>
      <w:pPr>
        <w:pStyle w:val="Heading1"/>
      </w:pPr>
      <w:r>
        <w:t xml:space="preserve">Figures from the Real World</w:t>
      </w:r>
    </w:p>
    <w:p>
      <w:pPr>
        <w:pStyle w:val="FirstParagraph"/>
      </w:pPr>
      <w:r>
        <w:t xml:space="preserve">Below are a series of figures seen</w:t>
      </w:r>
      <w:r>
        <w:t xml:space="preserve"> </w:t>
      </w:r>
      <w:r>
        <w:t xml:space="preserve">“</w:t>
      </w:r>
      <w:r>
        <w:t xml:space="preserve">out in the wild</w:t>
      </w:r>
      <w:r>
        <w:t xml:space="preserve">”</w:t>
      </w:r>
      <w:r>
        <w:t xml:space="preserve">. Have a look through them and consider what works, what doesn’t work, and why they have made the decisions they have when producing that figure. Also give some thought to how you might create these figures in</w:t>
      </w:r>
      <w:r>
        <w:t xml:space="preserve"> </w:t>
      </w:r>
      <w:r>
        <w:rPr>
          <w:rStyle w:val="VerbatimChar"/>
        </w:rPr>
        <w:t xml:space="preserve">ggplot2</w:t>
      </w:r>
      <w:r>
        <w:t xml:space="preserve">.</w:t>
      </w:r>
    </w:p>
    <w:bookmarkStart w:id="94" w:name="the-y-axis1"/>
    <w:p>
      <w:pPr>
        <w:pStyle w:val="Heading2"/>
      </w:pPr>
      <w:r>
        <w:t xml:space="preserve">THe Y-AxIs!1!</w:t>
      </w:r>
    </w:p>
    <w:p>
      <w:pPr>
        <w:pStyle w:val="FirstParagraph"/>
      </w:pPr>
      <w:r>
        <w:drawing>
          <wp:inline>
            <wp:extent cx="3810000" cy="5755640"/>
            <wp:effectExtent b="0" l="0" r="0" t="0"/>
            <wp:docPr descr="" title="" id="92" name="Picture"/>
            <a:graphic>
              <a:graphicData uri="http://schemas.openxmlformats.org/drawingml/2006/picture">
                <pic:pic>
                  <pic:nvPicPr>
                    <pic:cNvPr descr="Figures/LondonBus.jpg" id="93" name="Picture"/>
                    <pic:cNvPicPr>
                      <a:picLocks noChangeArrowheads="1" noChangeAspect="1"/>
                    </pic:cNvPicPr>
                  </pic:nvPicPr>
                  <pic:blipFill>
                    <a:blip r:embed="rId91"/>
                    <a:stretch>
                      <a:fillRect/>
                    </a:stretch>
                  </pic:blipFill>
                  <pic:spPr bwMode="auto">
                    <a:xfrm>
                      <a:off x="0" y="0"/>
                      <a:ext cx="3810000" cy="5755640"/>
                    </a:xfrm>
                    <a:prstGeom prst="rect">
                      <a:avLst/>
                    </a:prstGeom>
                    <a:noFill/>
                    <a:ln w="9525">
                      <a:noFill/>
                      <a:headEnd/>
                      <a:tailEnd/>
                    </a:ln>
                  </pic:spPr>
                </pic:pic>
              </a:graphicData>
            </a:graphic>
          </wp:inline>
        </w:drawing>
      </w:r>
    </w:p>
    <w:bookmarkEnd w:id="94"/>
    <w:bookmarkStart w:id="98" w:name="are-you-even-happy"/>
    <w:p>
      <w:pPr>
        <w:pStyle w:val="Heading2"/>
      </w:pPr>
      <w:r>
        <w:t xml:space="preserve">Are you even happy?</w:t>
      </w:r>
    </w:p>
    <w:p>
      <w:pPr>
        <w:pStyle w:val="FirstParagraph"/>
      </w:pPr>
      <w:r>
        <w:drawing>
          <wp:inline>
            <wp:extent cx="3810000" cy="3515054"/>
            <wp:effectExtent b="0" l="0" r="0" t="0"/>
            <wp:docPr descr="" title="" id="96" name="Picture"/>
            <a:graphic>
              <a:graphicData uri="http://schemas.openxmlformats.org/drawingml/2006/picture">
                <pic:pic>
                  <pic:nvPicPr>
                    <pic:cNvPr descr="Figures/Happy.jpg" id="97" name="Picture"/>
                    <pic:cNvPicPr>
                      <a:picLocks noChangeArrowheads="1" noChangeAspect="1"/>
                    </pic:cNvPicPr>
                  </pic:nvPicPr>
                  <pic:blipFill>
                    <a:blip r:embed="rId95"/>
                    <a:stretch>
                      <a:fillRect/>
                    </a:stretch>
                  </pic:blipFill>
                  <pic:spPr bwMode="auto">
                    <a:xfrm>
                      <a:off x="0" y="0"/>
                      <a:ext cx="3810000" cy="3515054"/>
                    </a:xfrm>
                    <a:prstGeom prst="rect">
                      <a:avLst/>
                    </a:prstGeom>
                    <a:noFill/>
                    <a:ln w="9525">
                      <a:noFill/>
                      <a:headEnd/>
                      <a:tailEnd/>
                    </a:ln>
                  </pic:spPr>
                </pic:pic>
              </a:graphicData>
            </a:graphic>
          </wp:inline>
        </w:drawing>
      </w:r>
    </w:p>
    <w:bookmarkEnd w:id="98"/>
    <w:bookmarkStart w:id="102" w:name="birds-and-light"/>
    <w:p>
      <w:pPr>
        <w:pStyle w:val="Heading2"/>
      </w:pPr>
      <w:r>
        <w:t xml:space="preserve">Birds and light</w:t>
      </w:r>
    </w:p>
    <w:p>
      <w:pPr>
        <w:pStyle w:val="FirstParagraph"/>
      </w:pPr>
      <w:r>
        <w:drawing>
          <wp:inline>
            <wp:extent cx="4677877" cy="3869355"/>
            <wp:effectExtent b="0" l="0" r="0" t="0"/>
            <wp:docPr descr="" title="" id="100" name="Picture"/>
            <a:graphic>
              <a:graphicData uri="http://schemas.openxmlformats.org/drawingml/2006/picture">
                <pic:pic>
                  <pic:nvPicPr>
                    <pic:cNvPr descr="Figures/Birds.png" id="101" name="Picture"/>
                    <pic:cNvPicPr>
                      <a:picLocks noChangeArrowheads="1" noChangeAspect="1"/>
                    </pic:cNvPicPr>
                  </pic:nvPicPr>
                  <pic:blipFill>
                    <a:blip r:embed="rId99"/>
                    <a:stretch>
                      <a:fillRect/>
                    </a:stretch>
                  </pic:blipFill>
                  <pic:spPr bwMode="auto">
                    <a:xfrm>
                      <a:off x="0" y="0"/>
                      <a:ext cx="4677877" cy="3869355"/>
                    </a:xfrm>
                    <a:prstGeom prst="rect">
                      <a:avLst/>
                    </a:prstGeom>
                    <a:noFill/>
                    <a:ln w="9525">
                      <a:noFill/>
                      <a:headEnd/>
                      <a:tailEnd/>
                    </a:ln>
                  </pic:spPr>
                </pic:pic>
              </a:graphicData>
            </a:graphic>
          </wp:inline>
        </w:drawing>
      </w:r>
    </w:p>
    <w:bookmarkEnd w:id="102"/>
    <w:bookmarkStart w:id="106" w:name="marmosets-and-ketamine"/>
    <w:p>
      <w:pPr>
        <w:pStyle w:val="Heading2"/>
      </w:pPr>
      <w:r>
        <w:t xml:space="preserve">Marmosets and ketamine (?!)</w:t>
      </w:r>
    </w:p>
    <w:p>
      <w:pPr>
        <w:pStyle w:val="FirstParagraph"/>
      </w:pPr>
      <w:r>
        <w:drawing>
          <wp:inline>
            <wp:extent cx="2300437" cy="2964581"/>
            <wp:effectExtent b="0" l="0" r="0" t="0"/>
            <wp:docPr descr="" title="" id="104" name="Picture"/>
            <a:graphic>
              <a:graphicData uri="http://schemas.openxmlformats.org/drawingml/2006/picture">
                <pic:pic>
                  <pic:nvPicPr>
                    <pic:cNvPr descr="Figures/Ketamine.png" id="105" name="Picture"/>
                    <pic:cNvPicPr>
                      <a:picLocks noChangeArrowheads="1" noChangeAspect="1"/>
                    </pic:cNvPicPr>
                  </pic:nvPicPr>
                  <pic:blipFill>
                    <a:blip r:embed="rId103"/>
                    <a:stretch>
                      <a:fillRect/>
                    </a:stretch>
                  </pic:blipFill>
                  <pic:spPr bwMode="auto">
                    <a:xfrm>
                      <a:off x="0" y="0"/>
                      <a:ext cx="2300437" cy="2964581"/>
                    </a:xfrm>
                    <a:prstGeom prst="rect">
                      <a:avLst/>
                    </a:prstGeom>
                    <a:noFill/>
                    <a:ln w="9525">
                      <a:noFill/>
                      <a:headEnd/>
                      <a:tailEnd/>
                    </a:ln>
                  </pic:spPr>
                </pic:pic>
              </a:graphicData>
            </a:graphic>
          </wp:inline>
        </w:drawing>
      </w:r>
    </w:p>
    <w:bookmarkEnd w:id="106"/>
    <w:bookmarkEnd w:id="10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image" Id="rId95" Target="media/rId95.jpg" /><Relationship Type="http://schemas.openxmlformats.org/officeDocument/2006/relationships/image" Id="rId103" Target="media/rId103.png" /><Relationship Type="http://schemas.openxmlformats.org/officeDocument/2006/relationships/image" Id="rId91" Target="media/rId91.jp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s>
</file>

<file path=word/_rels/footnotes.xml.rels><?xml version="1.0" encoding="UTF-8"?><Relationships xmlns="http://schemas.openxmlformats.org/package/2006/relationships"><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2025-08-22T20:04:05Z</dcterms:created>
  <dcterms:modified xsi:type="dcterms:W3CDTF">2025-08-22T20:04:05Z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2025-08-22</vt:lpwstr>
  </property>
  <property fmtid="{D5CDD505-2E9C-101B-9397-08002B2CF9AE}" pid="3" name="output">
    <vt:lpwstr/>
  </property>
</Properties>
</file>