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FloorArea</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Bedrooms</w:t>
      </w:r>
      <w:r>
        <w:t xml:space="preserve"> </w:t>
      </w:r>
      <w:r>
        <w:t xml:space="preserve">and</w:t>
      </w:r>
      <w:r>
        <w:t xml:space="preserve"> </w:t>
      </w:r>
      <w:r>
        <w:rPr>
          <w:rStyle w:val="VerbatimChar"/>
        </w:rPr>
        <w:t xml:space="preserve">PublicRooms</w:t>
      </w:r>
      <w:r>
        <w:t xml:space="preserve"> </w:t>
      </w:r>
      <w:r>
        <w:t xml:space="preserve">together (i.e., bedrooms and living rooms).</w:t>
      </w:r>
    </w:p>
    <w:p>
      <w:pPr>
        <w:pStyle w:val="BodyText"/>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being valued at £100,000 in 1991,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w:r>
        <w:t xml:space="preserve">$</w:t>
      </w:r>
      <w:r>
        <w:t xml:space="preserve">_i =</w:t>
      </w:r>
      <w:r>
        <w:t xml:space="preserve"> </w:t>
      </w:r>
      <w:r>
        <w:t xml:space="preserve">_0 +</w:t>
      </w:r>
      <w:r>
        <w:t xml:space="preserve"> </w:t>
      </w:r>
      <w:r>
        <w:t xml:space="preserve">_1</w:t>
      </w:r>
      <w:r>
        <w:t xml:space="preserve"> </w:t>
      </w:r>
      <w:r>
        <w:t xml:space="preserve">FloorArea_i +</w:t>
      </w:r>
      <w:r>
        <w:t xml:space="preserve"> </w:t>
      </w:r>
      <w:r>
        <w:t xml:space="preserve">_2</w:t>
      </w:r>
      <w:r>
        <w:t xml:space="preserve"> </w:t>
      </w:r>
      <w:r>
        <w:t xml:space="preserve">rooms_i + $</w:t>
      </w:r>
      <w:r>
        <w:t xml:space="preserve"> </w:t>
      </w:r>
      <w:r>
        <w:t xml:space="preserve">$</w:t>
      </w:r>
      <w:r>
        <w:t xml:space="preserve">_3</w:t>
      </w:r>
      <w:r>
        <w:t xml:space="preserve"> </w:t>
      </w:r>
      <w:r>
        <w:t xml:space="preserve">EPCB_i +</w:t>
      </w:r>
      <w:r>
        <w:t xml:space="preserve">_4</w:t>
      </w:r>
      <w:r>
        <w:t xml:space="preserve"> </w:t>
      </w:r>
      <w:r>
        <w:t xml:space="preserve">EPCC_i +</w:t>
      </w:r>
      <w:r>
        <w:t xml:space="preserve"> </w:t>
      </w:r>
      <w:r>
        <w:t xml:space="preserve">_5</w:t>
      </w:r>
      <w:r>
        <w:t xml:space="preserve"> </w:t>
      </w:r>
      <w:r>
        <w:t xml:space="preserve">EPCD_i + $</w:t>
      </w:r>
      <w:r>
        <w:t xml:space="preserve"> </w:t>
      </w: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r>
        <w:t xml:space="preserve"> </w:t>
      </w: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r>
        <w:t xml:space="preserve"> </w:t>
      </w: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4"/>
        </w:numPr>
        <w:pStyle w:val="Compact"/>
      </w:pPr>
      <m:oMath>
        <m:sSub>
          <m:e>
            <m:r>
              <m:t>β</m:t>
            </m:r>
          </m:e>
          <m:sub>
            <m:r>
              <m:t>1</m:t>
            </m:r>
          </m:sub>
        </m:sSub>
      </m:oMath>
      <w:r>
        <w:t xml:space="preserve"> </w:t>
      </w:r>
      <w:r>
        <w:t xml:space="preserve">is the slope for each additional square meter in floor area.</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4"/>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-557.98  -85.11   -3.80   61.95  973.70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290.1360   126.0063   2.303  0.02167 *  </w:t>
      </w:r>
      <w:r>
        <w:br/>
      </w:r>
      <w:r>
        <w:rPr>
          <w:rStyle w:val="VerbatimChar"/>
        </w:rPr>
        <w:t xml:space="preserve">## FloorArea      0.8013     0.4519   1.773  0.07677 .  </w:t>
      </w:r>
      <w:r>
        <w:br/>
      </w:r>
      <w:r>
        <w:rPr>
          <w:rStyle w:val="VerbatimChar"/>
        </w:rPr>
        <w:t xml:space="preserve">## Rooms        115.8150    12.3889   9.348  &lt; 2e-16 ***</w:t>
      </w:r>
      <w:r>
        <w:br/>
      </w:r>
      <w:r>
        <w:rPr>
          <w:rStyle w:val="VerbatimChar"/>
        </w:rPr>
        <w:t xml:space="preserve">## EPCB         111.0141   125.0551   0.888  0.37508    </w:t>
      </w:r>
      <w:r>
        <w:br/>
      </w:r>
      <w:r>
        <w:rPr>
          <w:rStyle w:val="VerbatimChar"/>
        </w:rPr>
        <w:t xml:space="preserve">## EPCC         -15.9616   123.2501  -0.130  0.89700    </w:t>
      </w:r>
      <w:r>
        <w:br/>
      </w:r>
      <w:r>
        <w:rPr>
          <w:rStyle w:val="VerbatimChar"/>
        </w:rPr>
        <w:t xml:space="preserve">## EPCD         -46.1162   123.2882  -0.374  0.70851    </w:t>
      </w:r>
      <w:r>
        <w:br/>
      </w:r>
      <w:r>
        <w:rPr>
          <w:rStyle w:val="VerbatimChar"/>
        </w:rPr>
        <w:t xml:space="preserve">## EPCE         -98.9862   124.5719  -0.795  0.42718    </w:t>
      </w:r>
      <w:r>
        <w:br/>
      </w:r>
      <w:r>
        <w:rPr>
          <w:rStyle w:val="VerbatimChar"/>
        </w:rPr>
        <w:t xml:space="preserve">## EPCF        -157.4698   137.5342  -1.145  0.25273    </w:t>
      </w:r>
      <w:r>
        <w:br/>
      </w:r>
      <w:r>
        <w:rPr>
          <w:rStyle w:val="VerbatimChar"/>
        </w:rPr>
        <w:t xml:space="preserve">## EPCG         -47.6776   212.5465  -0.224  0.82259    </w:t>
      </w:r>
      <w:r>
        <w:br/>
      </w:r>
      <w:r>
        <w:rPr>
          <w:rStyle w:val="VerbatimChar"/>
        </w:rPr>
        <w:t xml:space="preserve">## TaxB          15.9444    24.5671   0.649  0.51660    </w:t>
      </w:r>
      <w:r>
        <w:br/>
      </w:r>
      <w:r>
        <w:rPr>
          <w:rStyle w:val="VerbatimChar"/>
        </w:rPr>
        <w:t xml:space="preserve">## TaxC          71.8175    25.6450   2.800  0.00528 ** </w:t>
      </w:r>
      <w:r>
        <w:br/>
      </w:r>
      <w:r>
        <w:rPr>
          <w:rStyle w:val="VerbatimChar"/>
        </w:rPr>
        <w:t xml:space="preserve">## TaxD         121.4938    25.6935   4.729 2.87e-06 ***</w:t>
      </w:r>
      <w:r>
        <w:br/>
      </w:r>
      <w:r>
        <w:rPr>
          <w:rStyle w:val="VerbatimChar"/>
        </w:rPr>
        <w:t xml:space="preserve">## TaxE         211.0300    32.3086   6.532 1.48e-10 ***</w:t>
      </w:r>
      <w:r>
        <w:br/>
      </w:r>
      <w:r>
        <w:rPr>
          <w:rStyle w:val="VerbatimChar"/>
        </w:rPr>
        <w:t xml:space="preserve">## TaxF         358.8200    45.3758   7.908 1.43e-14 ***</w:t>
      </w:r>
      <w:r>
        <w:br/>
      </w:r>
      <w:r>
        <w:rPr>
          <w:rStyle w:val="VerbatimChar"/>
        </w:rPr>
        <w:t xml:space="preserve">## TaxG         709.2917    57.6845  12.296  &lt; 2e-16 ***</w:t>
      </w:r>
      <w:r>
        <w:br/>
      </w:r>
      <w:r>
        <w:rPr>
          <w:rStyle w:val="VerbatimChar"/>
        </w:rPr>
        <w:t xml:space="preserve">## TaxH         970.6184   182.8335   5.309 1.60e-07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172.2 on 553 degrees of freedom</w:t>
      </w:r>
      <w:r>
        <w:br/>
      </w:r>
      <w:r>
        <w:rPr>
          <w:rStyle w:val="VerbatimChar"/>
        </w:rPr>
        <w:t xml:space="preserve">## Multiple R-squared:  0.7922, Adjusted R-squared:  0.7866 </w:t>
      </w:r>
      <w:r>
        <w:br/>
      </w:r>
      <w:r>
        <w:rPr>
          <w:rStyle w:val="VerbatimChar"/>
        </w:rPr>
        <w:t xml:space="preserve">## F-statistic: 140.6 on 15 and 553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534</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Pr>
      <w:r>
        <w:t xml:space="preserve">Do you see any assumptions that are likely broken in the Residuals vs Fitted and Scale-Location plots?</w:t>
      </w:r>
    </w:p>
    <w:p>
      <w:pPr>
        <w:numPr>
          <w:ilvl w:val="0"/>
          <w:numId w:val="1005"/>
        </w:numPr>
      </w:pPr>
      <w:r>
        <w:t xml:space="preserve">If so, what is the consequence of violating this assumptions?</w:t>
      </w:r>
    </w:p>
    <w:p>
      <w:pPr>
        <w:numPr>
          <w:ilvl w:val="0"/>
          <w:numId w:val="1005"/>
        </w:numPr>
      </w:pPr>
      <w:r>
        <w:t xml:space="preserve">Do you see any assumptions that are likely broken in the Q-Q Residuals plot?</w:t>
      </w:r>
    </w:p>
    <w:p>
      <w:pPr>
        <w:numPr>
          <w:ilvl w:val="0"/>
          <w:numId w:val="1005"/>
        </w:numPr>
      </w:pPr>
      <w:r>
        <w:t xml:space="preserve">Are there any observations that are having a disproportionate affect on the model?</w:t>
      </w:r>
    </w:p>
    <w:p>
      <w:pPr>
        <w:numPr>
          <w:ilvl w:val="0"/>
          <w:numId w:val="1005"/>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 532</w:t>
      </w:r>
    </w:p>
    <w:p>
      <w:pPr>
        <w:pStyle w:val="FirstParagraph"/>
      </w:pPr>
      <w:r>
        <w:drawing>
          <wp:inline>
            <wp:extent cx="4620126" cy="3696101"/>
            <wp:effectExtent b="0" l="0" r="0" t="0"/>
            <wp:docPr descr="" title="" id="30" name="Picture"/>
            <a:graphic>
              <a:graphicData uri="http://schemas.openxmlformats.org/drawingml/2006/picture">
                <pic:pic>
                  <pic:nvPicPr>
                    <pic:cNvPr descr="Workshop-7---LM-with-multiple-predicto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-557.93  -85.29   -3.80   62.17  973.68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342.5521   175.3936   1.953  0.05132 .  </w:t>
      </w:r>
      <w:r>
        <w:br/>
      </w:r>
      <w:r>
        <w:rPr>
          <w:rStyle w:val="VerbatimChar"/>
        </w:rPr>
        <w:t xml:space="preserve">## FloorArea      0.8035     0.4523   1.776  0.07621 .  </w:t>
      </w:r>
      <w:r>
        <w:br/>
      </w:r>
      <w:r>
        <w:rPr>
          <w:rStyle w:val="VerbatimChar"/>
        </w:rPr>
        <w:t xml:space="preserve">## Rooms        115.7721    12.3984   9.338  &lt; 2e-16 ***</w:t>
      </w:r>
      <w:r>
        <w:br/>
      </w:r>
      <w:r>
        <w:rPr>
          <w:rStyle w:val="VerbatimChar"/>
        </w:rPr>
        <w:t xml:space="preserve">## EPCB          58.5886   174.7256   0.335  0.73751    </w:t>
      </w:r>
      <w:r>
        <w:br/>
      </w:r>
      <w:r>
        <w:rPr>
          <w:rStyle w:val="VerbatimChar"/>
        </w:rPr>
        <w:t xml:space="preserve">## EPCC         -68.3733   173.4139  -0.394  0.69353    </w:t>
      </w:r>
      <w:r>
        <w:br/>
      </w:r>
      <w:r>
        <w:rPr>
          <w:rStyle w:val="VerbatimChar"/>
        </w:rPr>
        <w:t xml:space="preserve">## EPCD         -98.5375   173.4566  -0.568  0.57021    </w:t>
      </w:r>
      <w:r>
        <w:br/>
      </w:r>
      <w:r>
        <w:rPr>
          <w:rStyle w:val="VerbatimChar"/>
        </w:rPr>
        <w:t xml:space="preserve">## EPCE        -151.4083   174.3740  -0.868  0.38561    </w:t>
      </w:r>
      <w:r>
        <w:br/>
      </w:r>
      <w:r>
        <w:rPr>
          <w:rStyle w:val="VerbatimChar"/>
        </w:rPr>
        <w:t xml:space="preserve">## EPCF        -209.9176   183.9114  -1.141  0.25420    </w:t>
      </w:r>
      <w:r>
        <w:br/>
      </w:r>
      <w:r>
        <w:rPr>
          <w:rStyle w:val="VerbatimChar"/>
        </w:rPr>
        <w:t xml:space="preserve">## EPCG        -100.1275   245.2014  -0.408  0.68318    </w:t>
      </w:r>
      <w:r>
        <w:br/>
      </w:r>
      <w:r>
        <w:rPr>
          <w:rStyle w:val="VerbatimChar"/>
        </w:rPr>
        <w:t xml:space="preserve">## TaxB          15.9416    24.5852   0.648  0.51698    </w:t>
      </w:r>
      <w:r>
        <w:br/>
      </w:r>
      <w:r>
        <w:rPr>
          <w:rStyle w:val="VerbatimChar"/>
        </w:rPr>
        <w:t xml:space="preserve">## TaxC          71.8071    25.6640   2.798  0.00532 ** </w:t>
      </w:r>
      <w:r>
        <w:br/>
      </w:r>
      <w:r>
        <w:rPr>
          <w:rStyle w:val="VerbatimChar"/>
        </w:rPr>
        <w:t xml:space="preserve">## TaxD         121.4771    25.7125   4.724 2.93e-06 ***</w:t>
      </w:r>
      <w:r>
        <w:br/>
      </w:r>
      <w:r>
        <w:rPr>
          <w:rStyle w:val="VerbatimChar"/>
        </w:rPr>
        <w:t xml:space="preserve">## TaxE         210.9937    32.3325   6.526 1.53e-10 ***</w:t>
      </w:r>
      <w:r>
        <w:br/>
      </w:r>
      <w:r>
        <w:rPr>
          <w:rStyle w:val="VerbatimChar"/>
        </w:rPr>
        <w:t xml:space="preserve">## TaxF         358.7567    45.4095   7.900 1.51e-14 ***</w:t>
      </w:r>
      <w:r>
        <w:br/>
      </w:r>
      <w:r>
        <w:rPr>
          <w:rStyle w:val="VerbatimChar"/>
        </w:rPr>
        <w:t xml:space="preserve">## TaxG         709.2054    57.7274  12.285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172.4 on 552 degrees of freedom</w:t>
      </w:r>
      <w:r>
        <w:br/>
      </w:r>
      <w:r>
        <w:rPr>
          <w:rStyle w:val="VerbatimChar"/>
        </w:rPr>
        <w:t xml:space="preserve">## Multiple R-squared:  0.7861, Adjusted R-squared:  0.7806 </w:t>
      </w:r>
      <w:r>
        <w:br/>
      </w:r>
      <w:r>
        <w:rPr>
          <w:rStyle w:val="VerbatimChar"/>
        </w:rPr>
        <w:t xml:space="preserve">## F-statistic: 144.9 on 14 and 552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£0.80.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£40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bookmarkStart w:id="57" w:name="question-set-two"/>
    <w:p>
      <w:pPr>
        <w:pStyle w:val="Heading3"/>
      </w:pPr>
      <w:r>
        <w:t xml:space="preserve">Question Set Two</w:t>
      </w:r>
    </w:p>
    <w:p>
      <w:pPr>
        <w:numPr>
          <w:ilvl w:val="0"/>
          <w:numId w:val="1006"/>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6"/>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06"/>
        </w:numPr>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7"/>
        </w:numPr>
        <w:pStyle w:val="Compact"/>
      </w:pPr>
      <w:r>
        <w:t xml:space="preserve">Specify the Causal Relationships for the Response Variable:</w:t>
      </w:r>
    </w:p>
    <w:p>
      <w:pPr>
        <w:numPr>
          <w:ilvl w:val="0"/>
          <w:numId w:val="1008"/>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09"/>
        </w:numPr>
        <w:pStyle w:val="Compact"/>
      </w:pPr>
      <w:r>
        <w:t xml:space="preserve">Define the Relationships Between Variables:</w:t>
      </w:r>
    </w:p>
    <w:p>
      <w:pPr>
        <w:numPr>
          <w:ilvl w:val="0"/>
          <w:numId w:val="1010"/>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1"/>
        </w:numPr>
        <w:pStyle w:val="Compact"/>
      </w:pPr>
      <w:r>
        <w:t xml:space="preserve">Set Up the Response and Explanatory Variables:</w:t>
      </w:r>
    </w:p>
    <w:p>
      <w:pPr>
        <w:numPr>
          <w:ilvl w:val="0"/>
          <w:numId w:val="1012"/>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-941.57  -99.88   -4.91   77.18 1308.89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217.5147    20.8936   10.41   &lt;2e-16 ***</w:t>
      </w:r>
      <w:r>
        <w:br/>
      </w:r>
      <w:r>
        <w:rPr>
          <w:rStyle w:val="VerbatimChar"/>
        </w:rPr>
        <w:t xml:space="preserve">## FloorArea     8.2251     0.2478   33.19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216.8 on 566 degrees of freedom</w:t>
      </w:r>
      <w:r>
        <w:br/>
      </w:r>
      <w:r>
        <w:rPr>
          <w:rStyle w:val="VerbatimChar"/>
        </w:rPr>
        <w:t xml:space="preserve">## Multiple R-squared:  0.6606, Adjusted R-squared:   0.66 </w:t>
      </w:r>
      <w:r>
        <w:br/>
      </w:r>
      <w:r>
        <w:rPr>
          <w:rStyle w:val="VerbatimChar"/>
        </w:rPr>
        <w:t xml:space="preserve">## F-statistic:  1102 on 1 and 566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£7.65. So long as we assume that our DAG is accurate (a potentially big assumption), this £7.65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£0.80. At the time, we noted that £0.80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2025-08-25T08:55:07Z</dcterms:created>
  <dcterms:modified xsi:type="dcterms:W3CDTF">2025-08-25T08:55:07Z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