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Override PartName="/word/media/rId43.png" ContentType="image/png"/>
  <Override PartName="/word/media/rId46.png" ContentType="image/png"/>
  <Override PartName="/word/media/rId49.png" ContentType="image/png"/>
  <Override PartName="/word/media/rId52.png" ContentType="image/png"/>
  <Override PartName="/word/media/rId61.png" ContentType="image/png"/>
  <Override PartName="/word/media/rId66.png" ContentType="image/png"/>
  <Override PartName="/word/media/rId70.png" ContentType="image/png"/>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You might recognize this dataset from the first week of the course — it contains information about flat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59" w:name="predictive-modelling"/>
    <w:p>
      <w:pPr>
        <w:pStyle w:val="Heading1"/>
      </w:pPr>
      <w:r>
        <w:t xml:space="preserve">Predictive Modelling</w:t>
      </w:r>
    </w:p>
    <w:p>
      <w:pPr>
        <w:pStyle w:val="FirstParagraph"/>
      </w:pPr>
      <w:r>
        <w:t xml:space="preserve">Predictive models are a great starting point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flat is more or less expensive; we just want to predict prices as accurately as possible.</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bookmarkEnd w:id="24"/>
    <w:bookmarkStart w:id="25"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hyperlink as an explanatory variable in the model). But let’s keep it simple today. We’ll include the following predictors:</w:t>
      </w:r>
    </w:p>
    <w:p>
      <w:pPr>
        <w:numPr>
          <w:ilvl w:val="0"/>
          <w:numId w:val="1003"/>
        </w:numPr>
        <w:pStyle w:val="Compact"/>
      </w:pPr>
      <w:r>
        <w:rPr>
          <w:rStyle w:val="VerbatimChar"/>
          <w:bCs/>
          <w:b/>
        </w:rPr>
        <w:t xml:space="preserve">sqmt</w:t>
      </w:r>
      <w:r>
        <w:t xml:space="preserve">: Property size in square meters.</w:t>
      </w:r>
    </w:p>
    <w:p>
      <w:pPr>
        <w:numPr>
          <w:ilvl w:val="0"/>
          <w:numId w:val="1003"/>
        </w:numPr>
        <w:pStyle w:val="Compact"/>
      </w:pPr>
      <w:r>
        <w:rPr>
          <w:rStyle w:val="VerbatimChar"/>
          <w:bCs/>
          <w:b/>
        </w:rPr>
        <w:t xml:space="preserve">rooms</w:t>
      </w:r>
      <w:r>
        <w:t xml:space="preserve">: Total number of rooms (the sum of bedrooms and living rooms).</w:t>
      </w:r>
    </w:p>
    <w:p>
      <w:pPr>
        <w:numPr>
          <w:ilvl w:val="0"/>
          <w:numId w:val="1003"/>
        </w:numPr>
        <w:pStyle w:val="Compact"/>
      </w:pPr>
      <w:r>
        <w:rPr>
          <w:rStyle w:val="VerbatimChar"/>
          <w:bCs/>
          <w:b/>
        </w:rPr>
        <w:t xml:space="preserve">epc</w:t>
      </w:r>
      <w:r>
        <w:t xml:space="preserve">: The property’s energy performance rating (categorical with levels A to G, A being the most energy efficient).</w:t>
      </w:r>
    </w:p>
    <w:p>
      <w:pPr>
        <w:numPr>
          <w:ilvl w:val="0"/>
          <w:numId w:val="1003"/>
        </w:numPr>
        <w:pStyle w:val="Compact"/>
      </w:pPr>
      <w:r>
        <w:rPr>
          <w:rStyle w:val="VerbatimChar"/>
          <w:bCs/>
          <w:b/>
        </w:rPr>
        <w:t xml:space="preserve">tax</w:t>
      </w:r>
      <w:r>
        <w:t xml:space="preserve">: The council tax band based on the assumed property value in 1991 (categorical with levels A to G, G being the most expensive).</w:t>
      </w:r>
    </w:p>
    <w:p>
      <w:pPr>
        <w:pStyle w:val="FirstParagraph"/>
      </w:pPr>
      <w:r>
        <w:t xml:space="preserve">Notice that we’re using</w:t>
      </w:r>
      <w:r>
        <w:t xml:space="preserve"> </w:t>
      </w:r>
      <w:r>
        <w:rPr>
          <w:rStyle w:val="VerbatimChar"/>
        </w:rPr>
        <w:t xml:space="preserve">rooms</w:t>
      </w:r>
      <w:r>
        <w:t xml:space="preserve"> </w:t>
      </w:r>
      <w:r>
        <w:t xml:space="preserve">in the model, but this variable isn’t in the dataset. You’ll need to create it by adding</w:t>
      </w:r>
      <w:r>
        <w:t xml:space="preserve"> </w:t>
      </w:r>
      <w:r>
        <w:rPr>
          <w:rStyle w:val="VerbatimChar"/>
        </w:rPr>
        <w:t xml:space="preserve">beds</w:t>
      </w:r>
      <w:r>
        <w:t xml:space="preserve"> </w:t>
      </w:r>
      <w:r>
        <w:t xml:space="preserve">and</w:t>
      </w:r>
      <w:r>
        <w:t xml:space="preserve"> </w:t>
      </w:r>
      <w:r>
        <w:rPr>
          <w:rStyle w:val="VerbatimChar"/>
        </w:rPr>
        <w:t xml:space="preserve">living</w:t>
      </w:r>
      <w:r>
        <w:t xml:space="preserve"> </w:t>
      </w:r>
      <w:r>
        <w:t xml:space="preserve">together (i.e., bedrooms and living rooms).</w:t>
      </w:r>
    </w:p>
    <w:p>
      <w:pPr>
        <w:pStyle w:val="SourceCode"/>
      </w:pPr>
      <w:r>
        <w:rPr>
          <w:rStyle w:val="NormalTok"/>
        </w:rPr>
        <w:t xml:space="preserve">abdn</w:t>
      </w:r>
      <w:r>
        <w:rPr>
          <w:rStyle w:val="SpecialCharTok"/>
        </w:rPr>
        <w:t xml:space="preserve">$</w:t>
      </w:r>
      <w:r>
        <w:rPr>
          <w:rStyle w:val="NormalTok"/>
        </w:rPr>
        <w:t xml:space="preserve">rooms </w:t>
      </w:r>
      <w:r>
        <w:rPr>
          <w:rStyle w:val="OtherTok"/>
        </w:rPr>
        <w:t xml:space="preserve">&lt;-</w:t>
      </w:r>
      <w:r>
        <w:rPr>
          <w:rStyle w:val="NormalTok"/>
        </w:rPr>
        <w:t xml:space="preserve"> abdn</w:t>
      </w:r>
      <w:r>
        <w:rPr>
          <w:rStyle w:val="SpecialCharTok"/>
        </w:rPr>
        <w:t xml:space="preserve">$</w:t>
      </w:r>
      <w:r>
        <w:rPr>
          <w:rStyle w:val="NormalTok"/>
        </w:rPr>
        <w:t xml:space="preserve">beds </w:t>
      </w:r>
      <w:r>
        <w:rPr>
          <w:rStyle w:val="SpecialCharTok"/>
        </w:rPr>
        <w:t xml:space="preserve">+</w:t>
      </w:r>
      <w:r>
        <w:rPr>
          <w:rStyle w:val="NormalTok"/>
        </w:rPr>
        <w:t xml:space="preserve"> abdn</w:t>
      </w:r>
      <w:r>
        <w:rPr>
          <w:rStyle w:val="SpecialCharTok"/>
        </w:rPr>
        <w:t xml:space="preserve">$</w:t>
      </w:r>
      <w:r>
        <w:rPr>
          <w:rStyle w:val="NormalTok"/>
        </w:rPr>
        <w:t xml:space="preserve">living</w:t>
      </w:r>
    </w:p>
    <w:p>
      <w:pPr>
        <w:pStyle w:val="FirstParagraph"/>
      </w:pPr>
      <w:r>
        <w:t xml:space="preserve">Another 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underlying</w:t>
      </w:r>
      <w:r>
        <w:t xml:space="preserve"> </w:t>
      </w:r>
      <w:r>
        <w:t xml:space="preserve">“</w:t>
      </w:r>
      <w:r>
        <w:t xml:space="preserve">values</w:t>
      </w:r>
      <w:r>
        <w:t xml:space="preserve">”</w:t>
      </w:r>
      <w:r>
        <w:t xml:space="preserve"> </w:t>
      </w:r>
      <w:r>
        <w:t xml:space="preserve">are continuous (e.g. the property was worth £100,000 in 1991) but these have been discretised, or converted into groups (e.g. instead of £100,000 it’s recorded as</w:t>
      </w:r>
      <w:r>
        <w:t xml:space="preserve"> </w:t>
      </w:r>
      <w:r>
        <w:rPr>
          <w:rStyle w:val="VerbatimChar"/>
        </w:rPr>
        <w:t xml:space="preserve">tax</w:t>
      </w:r>
      <w:r>
        <w:t xml:space="preserve"> </w:t>
      </w:r>
      <w:r>
        <w:t xml:space="preserve">equal to</w:t>
      </w:r>
      <w:r>
        <w:t xml:space="preserve"> </w:t>
      </w:r>
      <w:r>
        <w:rPr>
          <w:rStyle w:val="VerbatimChar"/>
        </w:rPr>
        <w:t xml:space="preserve">a</w:t>
      </w:r>
      <w:r>
        <w:t xml:space="preserve">).</w:t>
      </w:r>
    </w:p>
    <w:p>
      <w:pPr>
        <w:pStyle w:val="BodyText"/>
      </w:pPr>
      <w:r>
        <w:t xml:space="preserve">Whenever this discretisation is done, when it comes to the actual model, it can make our life pretty horrible, which you can see when we write out the full notation. In our case, here’s what our model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s</m:t>
        </m:r>
        <m:r>
          <m:t>q</m:t>
        </m:r>
        <m:r>
          <m:t>m</m:t>
        </m:r>
        <m:sSub>
          <m:e>
            <m:r>
              <m:t>t</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sSub>
          <m:e>
            <m:r>
              <m:t>β</m:t>
            </m:r>
          </m:e>
          <m:sub>
            <m:r>
              <m:t>3</m:t>
            </m:r>
          </m:sub>
        </m:sSub>
        <m:r>
          <m:rPr>
            <m:sty m:val="p"/>
          </m:rPr>
          <m:t>×</m:t>
        </m:r>
        <m:r>
          <m:t>e</m:t>
        </m:r>
        <m:r>
          <m:t>p</m:t>
        </m:r>
        <m:r>
          <m:t>c</m:t>
        </m:r>
        <m:sSub>
          <m:e>
            <m:r>
              <m:t>C</m:t>
            </m:r>
          </m:e>
          <m:sub>
            <m:r>
              <m:t>i</m:t>
            </m:r>
          </m:sub>
        </m:sSub>
        <m:r>
          <m:rPr>
            <m:sty m:val="p"/>
          </m:rPr>
          <m:t>+</m:t>
        </m:r>
      </m:oMath>
      <w:r>
        <w:t xml:space="preserve"> </w:t>
      </w:r>
      <m:oMath>
        <m:sSub>
          <m:e>
            <m:r>
              <m:t>β</m:t>
            </m:r>
          </m:e>
          <m:sub>
            <m:r>
              <m:t>4</m:t>
            </m:r>
          </m:sub>
        </m:sSub>
        <m:r>
          <m:rPr>
            <m:sty m:val="p"/>
          </m:rPr>
          <m:t>×</m:t>
        </m:r>
        <m:r>
          <m:t>e</m:t>
        </m:r>
        <m:r>
          <m:t>p</m:t>
        </m:r>
        <m:r>
          <m:t>c</m:t>
        </m:r>
        <m:sSub>
          <m:e>
            <m:r>
              <m:t>D</m:t>
            </m:r>
          </m:e>
          <m:sub>
            <m:r>
              <m:t>i</m:t>
            </m:r>
          </m:sub>
        </m:sSub>
        <m:r>
          <m:rPr>
            <m:sty m:val="p"/>
          </m:rPr>
          <m:t>+</m:t>
        </m:r>
        <m:sSub>
          <m:e>
            <m:r>
              <m:t>β</m:t>
            </m:r>
          </m:e>
          <m:sub>
            <m:r>
              <m:t>5</m:t>
            </m:r>
          </m:sub>
        </m:sSub>
        <m:r>
          <m:rPr>
            <m:sty m:val="p"/>
          </m:rPr>
          <m:t>×</m:t>
        </m:r>
        <m:r>
          <m:t>e</m:t>
        </m:r>
        <m:r>
          <m:t>p</m:t>
        </m:r>
        <m:r>
          <m:t>c</m:t>
        </m:r>
        <m:sSub>
          <m:e>
            <m:r>
              <m:t>E</m:t>
            </m:r>
          </m:e>
          <m:sub>
            <m:r>
              <m:t>i</m:t>
            </m:r>
          </m:sub>
        </m:sSub>
        <m:r>
          <m:rPr>
            <m:sty m:val="p"/>
          </m:rPr>
          <m:t>+</m:t>
        </m:r>
        <m:sSub>
          <m:e>
            <m:r>
              <m:t>β</m:t>
            </m:r>
          </m:e>
          <m:sub>
            <m:r>
              <m:t>6</m:t>
            </m:r>
          </m:sub>
        </m:sSub>
        <m:r>
          <m:rPr>
            <m:sty m:val="p"/>
          </m:rPr>
          <m:t>×</m:t>
        </m:r>
        <m:r>
          <m:t>e</m:t>
        </m:r>
        <m:r>
          <m:t>p</m:t>
        </m:r>
        <m:r>
          <m:t>c</m:t>
        </m:r>
        <m:sSub>
          <m:e>
            <m:r>
              <m:t>F</m:t>
            </m:r>
          </m:e>
          <m:sub>
            <m:r>
              <m:t>i</m:t>
            </m:r>
          </m:sub>
        </m:sSub>
        <m:r>
          <m:rPr>
            <m:sty m:val="p"/>
          </m:rPr>
          <m:t>+</m:t>
        </m:r>
        <m:sSub>
          <m:e>
            <m:r>
              <m:t>β</m:t>
            </m:r>
          </m:e>
          <m:sub>
            <m:r>
              <m:t>7</m:t>
            </m:r>
          </m:sub>
        </m:sSub>
        <m:r>
          <m:rPr>
            <m:sty m:val="p"/>
          </m:rPr>
          <m:t>×</m:t>
        </m:r>
        <m:r>
          <m:t>e</m:t>
        </m:r>
        <m:r>
          <m:t>p</m:t>
        </m:r>
        <m:r>
          <m:t>c</m:t>
        </m:r>
        <m:sSub>
          <m:e>
            <m:r>
              <m:t>G</m:t>
            </m:r>
          </m:e>
          <m:sub>
            <m:r>
              <m:t>i</m:t>
            </m:r>
          </m:sub>
        </m:sSub>
        <m:r>
          <m:rPr>
            <m:sty m:val="p"/>
          </m:rPr>
          <m:t>+</m:t>
        </m:r>
      </m:oMath>
      <w:r>
        <w:t xml:space="preserve"> </w:t>
      </w:r>
      <m:oMath>
        <m:sSub>
          <m:e>
            <m:r>
              <m:t>β</m:t>
            </m:r>
          </m:e>
          <m:sub>
            <m:r>
              <m:t>8</m:t>
            </m:r>
          </m:sub>
        </m:sSub>
        <m:r>
          <m:rPr>
            <m:sty m:val="p"/>
          </m:rPr>
          <m:t>×</m:t>
        </m:r>
        <m:r>
          <m:t>t</m:t>
        </m:r>
        <m:r>
          <m:t>a</m:t>
        </m:r>
        <m:r>
          <m:t>x</m:t>
        </m:r>
        <m:sSub>
          <m:e>
            <m:r>
              <m:t>B</m:t>
            </m:r>
          </m:e>
          <m:sub>
            <m:r>
              <m:t>i</m:t>
            </m:r>
          </m:sub>
        </m:sSub>
        <m:r>
          <m:rPr>
            <m:sty m:val="p"/>
          </m:rPr>
          <m:t>+</m:t>
        </m:r>
        <m:sSub>
          <m:e>
            <m:r>
              <m:t>β</m:t>
            </m:r>
          </m:e>
          <m:sub>
            <m:r>
              <m:t>9</m:t>
            </m:r>
          </m:sub>
        </m:sSub>
        <m:r>
          <m:rPr>
            <m:sty m:val="p"/>
          </m:rPr>
          <m:t>×</m:t>
        </m:r>
        <m:r>
          <m:t>t</m:t>
        </m:r>
        <m:r>
          <m:t>a</m:t>
        </m:r>
        <m:r>
          <m:t>x</m:t>
        </m:r>
        <m:sSub>
          <m:e>
            <m:r>
              <m:t>C</m:t>
            </m:r>
          </m:e>
          <m:sub>
            <m:r>
              <m:t>i</m:t>
            </m:r>
          </m:sub>
        </m:sSub>
        <m:r>
          <m:rPr>
            <m:sty m:val="p"/>
          </m:rPr>
          <m:t>+</m:t>
        </m:r>
        <m:sSub>
          <m:e>
            <m:r>
              <m:t>β</m:t>
            </m:r>
          </m:e>
          <m:sub>
            <m:r>
              <m:t>10</m:t>
            </m:r>
          </m:sub>
        </m:sSub>
        <m:r>
          <m:rPr>
            <m:sty m:val="p"/>
          </m:rPr>
          <m:t>×</m:t>
        </m:r>
        <m:r>
          <m:t>t</m:t>
        </m:r>
        <m:r>
          <m:t>a</m:t>
        </m:r>
        <m:r>
          <m:t>x</m:t>
        </m:r>
        <m:sSub>
          <m:e>
            <m:r>
              <m:t>D</m:t>
            </m:r>
          </m:e>
          <m:sub>
            <m:r>
              <m:t>i</m:t>
            </m:r>
          </m:sub>
        </m:sSub>
        <m:r>
          <m:rPr>
            <m:sty m:val="p"/>
          </m:rPr>
          <m:t>+</m:t>
        </m:r>
      </m:oMath>
      <w:r>
        <w:t xml:space="preserve"> </w:t>
      </w:r>
      <m:oMath>
        <m:sSub>
          <m:e>
            <m:r>
              <m:t>β</m:t>
            </m:r>
          </m:e>
          <m:sub>
            <m:r>
              <m:t>11</m:t>
            </m:r>
          </m:sub>
        </m:sSub>
        <m:r>
          <m:rPr>
            <m:sty m:val="p"/>
          </m:rPr>
          <m:t>×</m:t>
        </m:r>
        <m:r>
          <m:t>t</m:t>
        </m:r>
        <m:r>
          <m:t>a</m:t>
        </m:r>
        <m:r>
          <m:t>x</m:t>
        </m:r>
        <m:sSub>
          <m:e>
            <m:r>
              <m:t>E</m:t>
            </m:r>
          </m:e>
          <m:sub>
            <m:r>
              <m:t>i</m:t>
            </m:r>
          </m:sub>
        </m:sSub>
        <m:r>
          <m:rPr>
            <m:sty m:val="p"/>
          </m:rPr>
          <m:t>+</m:t>
        </m:r>
        <m:sSub>
          <m:e>
            <m:r>
              <m:t>β</m:t>
            </m:r>
          </m:e>
          <m:sub>
            <m:r>
              <m:t>12</m:t>
            </m:r>
          </m:sub>
        </m:sSub>
        <m:r>
          <m:rPr>
            <m:sty m:val="p"/>
          </m:rPr>
          <m:t>×</m:t>
        </m:r>
        <m:r>
          <m:t>t</m:t>
        </m:r>
        <m:r>
          <m:t>a</m:t>
        </m:r>
        <m:r>
          <m:t>x</m:t>
        </m:r>
        <m:sSub>
          <m:e>
            <m:r>
              <m:t>F</m:t>
            </m:r>
          </m:e>
          <m:sub>
            <m:r>
              <m:t>i</m:t>
            </m:r>
          </m:sub>
        </m:sSub>
        <m:r>
          <m:rPr>
            <m:sty m:val="p"/>
          </m:rPr>
          <m:t>+</m:t>
        </m:r>
        <m:sSub>
          <m:e>
            <m:r>
              <m:t>β</m:t>
            </m:r>
          </m:e>
          <m:sub>
            <m:r>
              <m:t>13</m:t>
            </m:r>
          </m:sub>
        </m:sSub>
        <m:r>
          <m:rPr>
            <m:sty m:val="p"/>
          </m:rPr>
          <m:t>×</m:t>
        </m:r>
        <m:r>
          <m:t>t</m:t>
        </m:r>
        <m:r>
          <m:t>a</m:t>
        </m:r>
        <m:r>
          <m:t>x</m:t>
        </m:r>
        <m:sSub>
          <m:e>
            <m:r>
              <m:t>G</m:t>
            </m:r>
          </m:e>
          <m:sub>
            <m:r>
              <m:t>i</m:t>
            </m:r>
          </m:sub>
        </m:sSub>
      </m:oMath>
    </w:p>
    <w:p>
      <w:pPr>
        <w:pStyle w:val="BodyText"/>
      </w:pPr>
      <w:r>
        <w:t xml:space="preserve">Where:</w:t>
      </w:r>
    </w:p>
    <w:p>
      <w:pPr>
        <w:numPr>
          <w:ilvl w:val="0"/>
          <w:numId w:val="1004"/>
        </w:numPr>
        <w:pStyle w:val="Compact"/>
      </w:pPr>
      <m:oMath>
        <m:sSub>
          <m:e>
            <m:r>
              <m:t>β</m:t>
            </m:r>
          </m:e>
          <m:sub>
            <m:r>
              <m:t>0</m:t>
            </m:r>
          </m:sub>
        </m:sSub>
      </m:oMath>
      <w:r>
        <w:t xml:space="preserve"> </w:t>
      </w:r>
      <w:r>
        <w:t xml:space="preserve">is the intercept, representing a property with zero square meters, zero rooms, an EPC of B, and a tax band of A.</w:t>
      </w:r>
    </w:p>
    <w:p>
      <w:pPr>
        <w:numPr>
          <w:ilvl w:val="0"/>
          <w:numId w:val="1004"/>
        </w:numPr>
        <w:pStyle w:val="Compact"/>
      </w:pPr>
      <m:oMath>
        <m:sSub>
          <m:e>
            <m:r>
              <m:t>β</m:t>
            </m:r>
          </m:e>
          <m:sub>
            <m:r>
              <m:t>1</m:t>
            </m:r>
          </m:sub>
        </m:sSub>
      </m:oMath>
      <w:r>
        <w:t xml:space="preserve"> </w:t>
      </w:r>
      <w:r>
        <w:t xml:space="preserve">is the slope for each additional square meter.</w:t>
      </w:r>
    </w:p>
    <w:p>
      <w:pPr>
        <w:numPr>
          <w:ilvl w:val="0"/>
          <w:numId w:val="1004"/>
        </w:numPr>
        <w:pStyle w:val="Compact"/>
      </w:pPr>
      <m:oMath>
        <m:sSub>
          <m:e>
            <m:r>
              <m:t>β</m:t>
            </m:r>
          </m:e>
          <m:sub>
            <m:r>
              <m:t>2</m:t>
            </m:r>
          </m:sub>
        </m:sSub>
      </m:oMath>
      <w:r>
        <w:t xml:space="preserve"> </w:t>
      </w:r>
      <w:r>
        <w:t xml:space="preserve">is the slope for each additional room.</w:t>
      </w:r>
    </w:p>
    <w:p>
      <w:pPr>
        <w:numPr>
          <w:ilvl w:val="0"/>
          <w:numId w:val="1004"/>
        </w:numPr>
        <w:pStyle w:val="Compact"/>
      </w:pPr>
      <m:oMath>
        <m:sSub>
          <m:e>
            <m:r>
              <m:t>β</m:t>
            </m:r>
          </m:e>
          <m:sub>
            <m:r>
              <m:t>3</m:t>
            </m:r>
            <m:r>
              <m:rPr>
                <m:sty m:val="p"/>
              </m:rPr>
              <m:t>,</m:t>
            </m:r>
            <m:r>
              <m:rPr>
                <m:sty m:val="p"/>
              </m:rPr>
              <m:t>.</m:t>
            </m:r>
            <m:r>
              <m:rPr>
                <m:sty m:val="p"/>
              </m:rPr>
              <m:t>.</m:t>
            </m:r>
            <m:r>
              <m:rPr>
                <m:sty m:val="p"/>
              </m:rPr>
              <m:t>.</m:t>
            </m:r>
            <m:r>
              <m:rPr>
                <m:sty m:val="p"/>
              </m:rPr>
              <m:t>,</m:t>
            </m:r>
            <m:r>
              <m:t>7</m:t>
            </m:r>
          </m:sub>
        </m:sSub>
      </m:oMath>
      <w:r>
        <w:t xml:space="preserve"> </w:t>
      </w:r>
      <w:r>
        <w:t xml:space="preserve">are the effects of each EPC rating compared to B.</w:t>
      </w:r>
    </w:p>
    <w:p>
      <w:pPr>
        <w:numPr>
          <w:ilvl w:val="0"/>
          <w:numId w:val="1004"/>
        </w:numPr>
        <w:pStyle w:val="Compact"/>
      </w:pPr>
      <m:oMath>
        <m:sSub>
          <m:e>
            <m:r>
              <m:t>β</m:t>
            </m:r>
          </m:e>
          <m:sub>
            <m:r>
              <m:t>8</m:t>
            </m:r>
            <m:r>
              <m:rPr>
                <m:sty m:val="p"/>
              </m:rPr>
              <m:t>,</m:t>
            </m:r>
            <m:r>
              <m:rPr>
                <m:sty m:val="p"/>
              </m:rPr>
              <m:t>.</m:t>
            </m:r>
            <m:r>
              <m:rPr>
                <m:sty m:val="p"/>
              </m:rPr>
              <m:t>.</m:t>
            </m:r>
            <m:r>
              <m:rPr>
                <m:sty m:val="p"/>
              </m:rPr>
              <m:t>.</m:t>
            </m:r>
            <m:r>
              <m:rPr>
                <m:sty m:val="p"/>
              </m:rPr>
              <m:t>,</m:t>
            </m:r>
            <m:r>
              <m:t>13</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-622.33  -82.95   -4.81   53.88  910.43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329.24652   78.20799   4.210 4.69e-05 ***</w:t>
      </w:r>
      <w:r>
        <w:br/>
      </w:r>
      <w:r>
        <w:rPr>
          <w:rStyle w:val="VerbatimChar"/>
        </w:rPr>
        <w:t xml:space="preserve">## sqmt           0.09491    0.92824   0.102 0.918719    </w:t>
      </w:r>
      <w:r>
        <w:br/>
      </w:r>
      <w:r>
        <w:rPr>
          <w:rStyle w:val="VerbatimChar"/>
        </w:rPr>
        <w:t xml:space="preserve">## rooms        175.11885   28.70803   6.100 1.10e-08 ***</w:t>
      </w:r>
      <w:r>
        <w:br/>
      </w:r>
      <w:r>
        <w:rPr>
          <w:rStyle w:val="VerbatimChar"/>
        </w:rPr>
        <w:t xml:space="preserve">## epcc        -142.82581   55.11507  -2.591 0.010634 *  </w:t>
      </w:r>
      <w:r>
        <w:br/>
      </w:r>
      <w:r>
        <w:rPr>
          <w:rStyle w:val="VerbatimChar"/>
        </w:rPr>
        <w:t xml:space="preserve">## epcd        -223.23608   59.82399  -3.732 0.000282 ***</w:t>
      </w:r>
      <w:r>
        <w:br/>
      </w:r>
      <w:r>
        <w:rPr>
          <w:rStyle w:val="VerbatimChar"/>
        </w:rPr>
        <w:t xml:space="preserve">## epce        -153.16867   74.49666  -2.056 0.041749 *  </w:t>
      </w:r>
      <w:r>
        <w:br/>
      </w:r>
      <w:r>
        <w:rPr>
          <w:rStyle w:val="VerbatimChar"/>
        </w:rPr>
        <w:t xml:space="preserve">## epcf        -198.65246  190.22361  -1.044 0.298251    </w:t>
      </w:r>
      <w:r>
        <w:br/>
      </w:r>
      <w:r>
        <w:rPr>
          <w:rStyle w:val="VerbatimChar"/>
        </w:rPr>
        <w:t xml:space="preserve">## epcg        -132.09400  125.92256  -1.049 0.296090    </w:t>
      </w:r>
      <w:r>
        <w:br/>
      </w:r>
      <w:r>
        <w:rPr>
          <w:rStyle w:val="VerbatimChar"/>
        </w:rPr>
        <w:t xml:space="preserve">## taxb          60.57588   54.79286   1.106 0.270935    </w:t>
      </w:r>
      <w:r>
        <w:br/>
      </w:r>
      <w:r>
        <w:rPr>
          <w:rStyle w:val="VerbatimChar"/>
        </w:rPr>
        <w:t xml:space="preserve">## taxc          67.29495   60.48214   1.113 0.267885    </w:t>
      </w:r>
      <w:r>
        <w:br/>
      </w:r>
      <w:r>
        <w:rPr>
          <w:rStyle w:val="VerbatimChar"/>
        </w:rPr>
        <w:t xml:space="preserve">## taxd          33.30104   56.88932   0.585 0.559301    </w:t>
      </w:r>
      <w:r>
        <w:br/>
      </w:r>
      <w:r>
        <w:rPr>
          <w:rStyle w:val="VerbatimChar"/>
        </w:rPr>
        <w:t xml:space="preserve">## taxe         285.90432   66.69695   4.287 3.47e-05 ***</w:t>
      </w:r>
      <w:r>
        <w:br/>
      </w:r>
      <w:r>
        <w:rPr>
          <w:rStyle w:val="VerbatimChar"/>
        </w:rPr>
        <w:t xml:space="preserve">## taxf         228.10775   87.27079   2.614 0.009994 ** </w:t>
      </w:r>
      <w:r>
        <w:br/>
      </w:r>
      <w:r>
        <w:rPr>
          <w:rStyle w:val="VerbatimChar"/>
        </w:rPr>
        <w:t xml:space="preserve">## taxg         511.22725  131.94895   3.874 0.000168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182.4 on 132 degrees of freedom</w:t>
      </w:r>
      <w:r>
        <w:br/>
      </w:r>
      <w:r>
        <w:rPr>
          <w:rStyle w:val="VerbatimChar"/>
        </w:rPr>
        <w:t xml:space="preserve">## Multiple R-squared:  0.7909, Adjusted R-squared:  0.7703 </w:t>
      </w:r>
      <w:r>
        <w:br/>
      </w:r>
      <w:r>
        <w:rPr>
          <w:rStyle w:val="VerbatimChar"/>
        </w:rPr>
        <w:t xml:space="preserve">## F-statistic: 38.41 on 13 and 132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5"/>
    <w:bookmarkStart w:id="42"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88</w:t>
      </w:r>
    </w:p>
    <w:p>
      <w:pPr>
        <w:pStyle w:val="FirstParagraph"/>
      </w:pPr>
      <w:r>
        <w:drawing>
          <wp:inline>
            <wp:extent cx="4620126" cy="3696101"/>
            <wp:effectExtent b="0" l="0" r="0" t="0"/>
            <wp:docPr descr="" title="" id="27" name="Picture"/>
            <a:graphic>
              <a:graphicData uri="http://schemas.openxmlformats.org/drawingml/2006/picture">
                <pic:pic>
                  <pic:nvPicPr>
                    <pic:cNvPr descr="Workshop-7---LM-with-multiple-predictors--with-answers-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1" w:name="question-set-one"/>
    <w:p>
      <w:pPr>
        <w:pStyle w:val="Heading3"/>
      </w:pPr>
      <w:r>
        <w:t xml:space="preserve">Question Set One</w:t>
      </w:r>
    </w:p>
    <w:p>
      <w:pPr>
        <w:numPr>
          <w:ilvl w:val="0"/>
          <w:numId w:val="1005"/>
        </w:numPr>
        <w:pStyle w:val="Compact"/>
      </w:pPr>
      <w:r>
        <w:t xml:space="preserve">Do you see any assumptions that are likely broken in the Residuals vs Fitted and Scale-Location plots?</w:t>
      </w:r>
    </w:p>
    <w:p>
      <w:pPr>
        <w:pStyle w:val="SourceCode"/>
      </w:pPr>
      <w:r>
        <w:rPr>
          <w:rStyle w:val="CommentTok"/>
        </w:rPr>
        <w:t xml:space="preserve"># Yes, it looks like we have unequal variance of errors in both figures.</w:t>
      </w:r>
    </w:p>
    <w:p>
      <w:pPr>
        <w:numPr>
          <w:ilvl w:val="0"/>
          <w:numId w:val="1006"/>
        </w:numPr>
        <w:pStyle w:val="Compact"/>
      </w:pPr>
      <w:r>
        <w:t xml:space="preserve">If so, what is the consequence of violating this assumptions?</w:t>
      </w:r>
    </w:p>
    <w:p>
      <w:pPr>
        <w:pStyle w:val="SourceCode"/>
      </w:pPr>
      <w:r>
        <w:rPr>
          <w:rStyle w:val="CommentTok"/>
        </w:rPr>
        <w:t xml:space="preserve"># Our confidence intervals will be artificially inflated, making our predictions look more uncertain than they should be.</w:t>
      </w:r>
    </w:p>
    <w:p>
      <w:pPr>
        <w:numPr>
          <w:ilvl w:val="0"/>
          <w:numId w:val="1007"/>
        </w:numPr>
        <w:pStyle w:val="Compact"/>
      </w:pPr>
      <w:r>
        <w:t xml:space="preserve">Do you see any assumptions that are likely broken in the Q-Q Residuals plot?</w:t>
      </w:r>
    </w:p>
    <w:p>
      <w:pPr>
        <w:pStyle w:val="SourceCode"/>
      </w:pPr>
      <w:r>
        <w:rPr>
          <w:rStyle w:val="CommentTok"/>
        </w:rPr>
        <w:t xml:space="preserve"># Our residual errors are not perfectly Normally distributed, but they’re not that bad. We have three rental properties that are either more expensive or cheaper than we’d expect given the information provided to the model. If it were much more severe (e.g., dots all over the place), it could lead to inflated 95% confidence intervals.</w:t>
      </w:r>
    </w:p>
    <w:p>
      <w:pPr>
        <w:numPr>
          <w:ilvl w:val="0"/>
          <w:numId w:val="1008"/>
        </w:numPr>
        <w:pStyle w:val="Compact"/>
      </w:pPr>
      <w:r>
        <w:t xml:space="preserve">Are there any observations that are having a disproportionate affect on the model?</w:t>
      </w:r>
    </w:p>
    <w:p>
      <w:pPr>
        <w:pStyle w:val="SourceCode"/>
      </w:pPr>
      <w:r>
        <w:rPr>
          <w:rStyle w:val="CommentTok"/>
        </w:rPr>
        <w:t xml:space="preserve"># Yes, a few. We can see these in the Residuals vs. Leverage plot, particularly the rental properties on rows 112 and 88 of our dataset (note that 88 doesn’t appear on the plot but is highlighted by the text output).</w:t>
      </w:r>
    </w:p>
    <w:p>
      <w:pPr>
        <w:numPr>
          <w:ilvl w:val="0"/>
          <w:numId w:val="1009"/>
        </w:numPr>
        <w:pStyle w:val="Compact"/>
      </w:pPr>
      <w:r>
        <w:t xml:space="preserve">If there are any such observations, what should we do about them (if in doubt, ask a member of staff)?</w:t>
      </w:r>
    </w:p>
    <w:p>
      <w:pPr>
        <w:pStyle w:val="SourceCode"/>
      </w:pPr>
      <w:r>
        <w:rPr>
          <w:rStyle w:val="CommentTok"/>
        </w:rPr>
        <w:t xml:space="preserve"># We have three options, though one isn’t very practical for us today:</w:t>
      </w:r>
      <w:r>
        <w:br/>
      </w:r>
      <w:r>
        <w:br/>
      </w:r>
      <w:r>
        <w:rPr>
          <w:rStyle w:val="CommentTok"/>
        </w:rPr>
        <w:t xml:space="preserve"># 1. Collect more data: This is the ideal solution. Influential observations are usually more problematic in smaller datasets, so gathering more data could help smooth out their impact. Unfortunately, that’s not an option for us today.</w:t>
      </w:r>
      <w:r>
        <w:br/>
      </w:r>
      <w:r>
        <w:br/>
      </w:r>
      <w:r>
        <w:rPr>
          <w:rStyle w:val="CommentTok"/>
        </w:rPr>
        <w:t xml:space="preserve"># 2. Remove these observations and rerun the analysis: A lot of papers go with this approach. However, the problem comes when they don't make it clear that they've done this, or they remove the observations but don't show the what difference it made. This is not a good option. If you are going to remove the observations, then instead do option 3.</w:t>
      </w:r>
      <w:r>
        <w:br/>
      </w:r>
      <w:r>
        <w:br/>
      </w:r>
      <w:r>
        <w:rPr>
          <w:rStyle w:val="CommentTok"/>
        </w:rPr>
        <w:t xml:space="preserve"># 3. Rerun the model without these problematic observations and compare the parameter estimates of the two models. If removing them doesn’t drastically change the estimates, you might as well stick with the original model (telling your reader that you've checked both models and showing them both). If it does make a difference, things get more complicated. In that case, you should still report both models but focus on the one you feel is “better.” What “better” means here is up to you; there’s no definitively "right" answer (but not having high leverage might be a sensible measure).</w:t>
      </w:r>
      <w:r>
        <w:br/>
      </w:r>
      <w:r>
        <w:br/>
      </w:r>
      <w:r>
        <w:rPr>
          <w:rStyle w:val="CommentTok"/>
        </w:rPr>
        <w:t xml:space="preserve"># Here’s how you’d do option 3:</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112</w:t>
      </w:r>
      <w:r>
        <w:rPr>
          <w:rStyle w:val="NormalTok"/>
        </w:rPr>
        <w:t xml:space="preserve">, </w:t>
      </w:r>
      <w:r>
        <w:rPr>
          <w:rStyle w:val="DecValTok"/>
        </w:rPr>
        <w:t xml:space="preserve">88</w:t>
      </w:r>
      <w:r>
        <w:rPr>
          <w:rStyle w:val="NormalTok"/>
        </w:rPr>
        <w:t xml:space="preserve">),]</w:t>
      </w:r>
      <w:r>
        <w:br/>
      </w:r>
      <w:r>
        <w:rPr>
          <w:rStyle w:val="NormalTok"/>
        </w:rPr>
        <w:t xml:space="preserve">trimmed_rent_mod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abdn_trimmed)</w:t>
      </w:r>
      <w:r>
        <w:br/>
      </w:r>
      <w:r>
        <w:rPr>
          <w:rStyle w:val="FunctionTok"/>
        </w:rPr>
        <w:t xml:space="preserve">coef</w:t>
      </w:r>
      <w:r>
        <w:rPr>
          <w:rStyle w:val="NormalTok"/>
        </w:rPr>
        <w:t xml:space="preserve">(trimmed_rent_mod) </w:t>
      </w:r>
      <w:r>
        <w:rPr>
          <w:rStyle w:val="CommentTok"/>
        </w:rPr>
        <w:t xml:space="preserve"># coef() gives just the "coefficients" or parameter estimates</w:t>
      </w:r>
      <w:r>
        <w:br/>
      </w:r>
      <w:r>
        <w:rPr>
          <w:rStyle w:val="FunctionTok"/>
        </w:rPr>
        <w:t xml:space="preserve">coef</w:t>
      </w:r>
      <w:r>
        <w:rPr>
          <w:rStyle w:val="NormalTok"/>
        </w:rPr>
        <w:t xml:space="preserve">(rent_mod)</w:t>
      </w:r>
      <w:r>
        <w:br/>
      </w:r>
      <w:r>
        <w:rPr>
          <w:rStyle w:val="CommentTok"/>
        </w:rPr>
        <w:t xml:space="preserve"># By comparing the two models, you can see the effect these observations had. For example, removing them means that the effect of sqmt changes from about 10p per extra square meter to £2.34 per extra square meter.</w:t>
      </w:r>
    </w:p>
    <w:p>
      <w:pPr>
        <w:pStyle w:val="FirstParagraph"/>
      </w:pPr>
      <w:r>
        <w:t xml:space="preserve">Before moving ahead, if you identified any overly influential observations, remove them from your dataset, store this</w:t>
      </w:r>
      <w:r>
        <w:t xml:space="preserve"> </w:t>
      </w:r>
      <w:r>
        <w:t xml:space="preserve">“</w:t>
      </w:r>
      <w:r>
        <w:t xml:space="preserve">trimmed</w:t>
      </w:r>
      <w:r>
        <w:t xml:space="preserve">”</w:t>
      </w:r>
      <w:r>
        <w:t xml:space="preserve"> </w:t>
      </w:r>
      <w:r>
        <w:t xml:space="preserve">dataset, and rerun your model with this trimmed dataset. As a hint, if I believed the flats on rows 10 and 50 (10 and 50 are purely examples) of the dataset were causing issues in the model, I could remove them by doing:</w:t>
      </w:r>
    </w:p>
    <w:p>
      <w:pPr>
        <w:pStyle w:val="SourceCode"/>
      </w:pP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50</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10 and 50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Do a quick check of the diagnostic plots to see if this has resolved the issue.</w:t>
      </w:r>
    </w:p>
    <w:p>
      <w:pPr>
        <w:pStyle w:val="BodyText"/>
      </w:pPr>
      <w:r>
        <w:drawing>
          <wp:inline>
            <wp:extent cx="4620126" cy="3696101"/>
            <wp:effectExtent b="0" l="0" r="0" t="0"/>
            <wp:docPr descr="" title="" id="30" name="Picture"/>
            <a:graphic>
              <a:graphicData uri="http://schemas.openxmlformats.org/drawingml/2006/picture">
                <pic:pic>
                  <pic:nvPicPr>
                    <pic:cNvPr descr="Workshop-7---LM-with-multiple-predictors--with-answers-_files/figure-docx/unnamed-chunk-13-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3" name="Picture"/>
            <a:graphic>
              <a:graphicData uri="http://schemas.openxmlformats.org/drawingml/2006/picture">
                <pic:pic>
                  <pic:nvPicPr>
                    <pic:cNvPr descr="Workshop-7---LM-with-multiple-predictors--with-answers-_files/figure-docx/unnamed-chunk-13-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6" name="Picture"/>
            <a:graphic>
              <a:graphicData uri="http://schemas.openxmlformats.org/drawingml/2006/picture">
                <pic:pic>
                  <pic:nvPicPr>
                    <pic:cNvPr descr="Workshop-7---LM-with-multiple-predictors--with-answers-_files/figure-docx/unnamed-chunk-13-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9" name="Picture"/>
            <a:graphic>
              <a:graphicData uri="http://schemas.openxmlformats.org/drawingml/2006/picture">
                <pic:pic>
                  <pic:nvPicPr>
                    <pic:cNvPr descr="Workshop-7---LM-with-multiple-predictors--with-answers-_files/figure-docx/unnamed-chunk-13-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58"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-416.16  -74.58   -5.99   53.42  876.46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405.4371    67.1331   6.039 1.50e-08 ***</w:t>
      </w:r>
      <w:r>
        <w:br/>
      </w:r>
      <w:r>
        <w:rPr>
          <w:rStyle w:val="VerbatimChar"/>
        </w:rPr>
        <w:t xml:space="preserve">## sqmt           2.3428     0.8458   2.770 0.006421 ** </w:t>
      </w:r>
      <w:r>
        <w:br/>
      </w:r>
      <w:r>
        <w:rPr>
          <w:rStyle w:val="VerbatimChar"/>
        </w:rPr>
        <w:t xml:space="preserve">## rooms         96.1799    26.6606   3.608 0.000438 ***</w:t>
      </w:r>
      <w:r>
        <w:br/>
      </w:r>
      <w:r>
        <w:rPr>
          <w:rStyle w:val="VerbatimChar"/>
        </w:rPr>
        <w:t xml:space="preserve">## epcc        -138.5112    46.7317  -2.964 0.003609 ** </w:t>
      </w:r>
      <w:r>
        <w:br/>
      </w:r>
      <w:r>
        <w:rPr>
          <w:rStyle w:val="VerbatimChar"/>
        </w:rPr>
        <w:t xml:space="preserve">## epcd        -205.0530    50.7821  -4.038 9.13e-05 ***</w:t>
      </w:r>
      <w:r>
        <w:br/>
      </w:r>
      <w:r>
        <w:rPr>
          <w:rStyle w:val="VerbatimChar"/>
        </w:rPr>
        <w:t xml:space="preserve">## epce        -147.2898    63.1653  -2.332 0.021236 *  </w:t>
      </w:r>
      <w:r>
        <w:br/>
      </w:r>
      <w:r>
        <w:rPr>
          <w:rStyle w:val="VerbatimChar"/>
        </w:rPr>
        <w:t xml:space="preserve">## epcg        -166.7224   106.8668  -1.560 0.121150    </w:t>
      </w:r>
      <w:r>
        <w:br/>
      </w:r>
      <w:r>
        <w:rPr>
          <w:rStyle w:val="VerbatimChar"/>
        </w:rPr>
        <w:t xml:space="preserve">## taxb          58.7017    46.4554   1.264 0.208613    </w:t>
      </w:r>
      <w:r>
        <w:br/>
      </w:r>
      <w:r>
        <w:rPr>
          <w:rStyle w:val="VerbatimChar"/>
        </w:rPr>
        <w:t xml:space="preserve">## taxc          72.6919    51.2836   1.417 0.158726    </w:t>
      </w:r>
      <w:r>
        <w:br/>
      </w:r>
      <w:r>
        <w:rPr>
          <w:rStyle w:val="VerbatimChar"/>
        </w:rPr>
        <w:t xml:space="preserve">## taxd          56.1083    48.3345   1.161 0.247820    </w:t>
      </w:r>
      <w:r>
        <w:br/>
      </w:r>
      <w:r>
        <w:rPr>
          <w:rStyle w:val="VerbatimChar"/>
        </w:rPr>
        <w:t xml:space="preserve">## taxe         275.7660    56.5645   4.875 3.09e-06 ***</w:t>
      </w:r>
      <w:r>
        <w:br/>
      </w:r>
      <w:r>
        <w:rPr>
          <w:rStyle w:val="VerbatimChar"/>
        </w:rPr>
        <w:t xml:space="preserve">## taxf         270.0039    74.2153   3.638 0.000394 ***</w:t>
      </w:r>
      <w:r>
        <w:br/>
      </w:r>
      <w:r>
        <w:rPr>
          <w:rStyle w:val="VerbatimChar"/>
        </w:rPr>
        <w:t xml:space="preserve">## taxg         294.1042   115.8032   2.540 0.012263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154.6 on 131 degrees of freedom</w:t>
      </w:r>
      <w:r>
        <w:br/>
      </w:r>
      <w:r>
        <w:rPr>
          <w:rStyle w:val="VerbatimChar"/>
        </w:rPr>
        <w:t xml:space="preserve">## Multiple R-squared:  0.798,  Adjusted R-squared:  0.7795 </w:t>
      </w:r>
      <w:r>
        <w:br/>
      </w:r>
      <w:r>
        <w:rPr>
          <w:rStyle w:val="VerbatimChar"/>
        </w:rPr>
        <w:t xml:space="preserve">## F-statistic: 43.12 on 12 and 131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sqmt</w:t>
      </w:r>
      <w:r>
        <w:t xml:space="preserve">; the model seems to be predicting that adding an extra 1 square meter to a property only increases the rent by about £2.34.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£117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Then ask</w:t>
      </w:r>
      <w:r>
        <w:t xml:space="preserve"> </w:t>
      </w:r>
      <w:r>
        <w:rPr>
          <w:rStyle w:val="VerbatimChar"/>
        </w:rPr>
        <w:t xml:space="preserve">ggeffects</w:t>
      </w:r>
      <w:r>
        <w:t xml:space="preserve"> </w:t>
      </w:r>
      <w:r>
        <w:t xml:space="preserve">to predict rent for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`epc`</w:t>
      </w:r>
    </w:p>
    <w:p>
      <w:pPr>
        <w:pStyle w:val="SourceCode"/>
      </w:pPr>
      <w:r>
        <w:rPr>
          <w:rStyle w:val="VerbatimChar"/>
        </w:rPr>
        <w:t xml:space="preserve">## Warning: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in are of type character: `tax`</w:t>
      </w:r>
    </w:p>
    <w:p>
      <w:pPr>
        <w:pStyle w:val="FirstParagraph"/>
      </w:pPr>
      <w:r>
        <w:t xml:space="preserve">You’ll see a message saying that the explanatory variables are characters, with</w:t>
      </w:r>
      <w:r>
        <w:t xml:space="preserve"> </w:t>
      </w:r>
      <w:r>
        <w:rPr>
          <w:rStyle w:val="VerbatimChar"/>
        </w:rPr>
        <w:t xml:space="preserve">ggeffects</w:t>
      </w:r>
      <w:r>
        <w:t xml:space="preserve"> </w:t>
      </w:r>
      <w:r>
        <w:t xml:space="preserve">suggesting that we convert these to factors. If you want to do so you can do this by doing,</w:t>
      </w:r>
      <w:r>
        <w:t xml:space="preserve"> </w:t>
      </w:r>
      <w:r>
        <w:rPr>
          <w:rStyle w:val="VerbatimChar"/>
        </w:rPr>
        <w:t xml:space="preserve">factor(abdn$tax)</w:t>
      </w:r>
      <w:r>
        <w:t xml:space="preserve"> </w:t>
      </w:r>
      <w:r>
        <w:t xml:space="preserve">as well as any other categorical variables in your model.</w:t>
      </w:r>
    </w:p>
    <w:p>
      <w:pPr>
        <w:pStyle w:val="BodyText"/>
      </w:pPr>
      <w:r>
        <w:t xml:space="preserve">Now we just need to plot it:</w:t>
      </w:r>
    </w:p>
    <w:p>
      <w:pPr>
        <w:pStyle w:val="SourceCode"/>
      </w:pPr>
      <w:r>
        <w:rPr>
          <w:rStyle w:val="FunctionTok"/>
        </w:rPr>
        <w:t xml:space="preserve">plot</w:t>
      </w:r>
      <w:r>
        <w:rPr>
          <w:rStyle w:val="NormalTok"/>
        </w:rPr>
        <w:t xml:space="preserve">(preds)</w:t>
      </w:r>
    </w:p>
    <w:p>
      <w:pPr>
        <w:pStyle w:val="SourceCode"/>
      </w:pPr>
      <w:r>
        <w:rPr>
          <w:rStyle w:val="VerbatimChar"/>
        </w:rPr>
        <w:t xml:space="preserve">## $sqmt</w:t>
      </w:r>
    </w:p>
    <w:p>
      <w:pPr>
        <w:pStyle w:val="FirstParagraph"/>
      </w:pPr>
      <w:r>
        <w:drawing>
          <wp:inline>
            <wp:extent cx="4620126" cy="3696101"/>
            <wp:effectExtent b="0" l="0" r="0" t="0"/>
            <wp:docPr descr="" title="" id="44" name="Picture"/>
            <a:graphic>
              <a:graphicData uri="http://schemas.openxmlformats.org/drawingml/2006/picture">
                <pic:pic>
                  <pic:nvPicPr>
                    <pic:cNvPr descr="Workshop-7---LM-with-multiple-predictors--with-answers-_files/figure-docx/unnamed-chunk-17-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47" name="Picture"/>
            <a:graphic>
              <a:graphicData uri="http://schemas.openxmlformats.org/drawingml/2006/picture">
                <pic:pic>
                  <pic:nvPicPr>
                    <pic:cNvPr descr="Workshop-7---LM-with-multiple-predictors--with-answers-_files/figure-docx/unnamed-chunk-17-2.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0" name="Picture"/>
            <a:graphic>
              <a:graphicData uri="http://schemas.openxmlformats.org/drawingml/2006/picture">
                <pic:pic>
                  <pic:nvPicPr>
                    <pic:cNvPr descr="Workshop-7---LM-with-multiple-predictors--with-answers-_files/figure-docx/unnamed-chunk-17-3.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3" name="Picture"/>
            <a:graphic>
              <a:graphicData uri="http://schemas.openxmlformats.org/drawingml/2006/picture">
                <pic:pic>
                  <pic:nvPicPr>
                    <pic:cNvPr descr="Workshop-7---LM-with-multiple-predictors--with-answers-_files/figure-docx/unnamed-chunk-17-4.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To make these predictions manually we still do things the same way as before. The only extra complication is that we do this for each explanatory variable in turn. Additionally, we need to specify values for all explanatory variables, even those we aren't making predictions for:</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by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FunctionTok"/>
        </w:rPr>
        <w:t xml:space="preserve">median</w:t>
      </w:r>
      <w:r>
        <w:rPr>
          <w:rStyle w:val="NormalTok"/>
        </w:rPr>
        <w:t xml:space="preserve">(abdn</w:t>
      </w:r>
      <w:r>
        <w:rPr>
          <w:rStyle w:val="SpecialCharTok"/>
        </w:rPr>
        <w:t xml:space="preserve">$</w:t>
      </w:r>
      <w:r>
        <w:rPr>
          <w:rStyle w:val="NormalTok"/>
        </w:rPr>
        <w:t xml:space="preserve">rooms),</w:t>
      </w:r>
      <w:r>
        <w:br/>
      </w:r>
      <w:r>
        <w:rPr>
          <w:rStyle w:val="NormalTok"/>
        </w:rPr>
        <w:t xml:space="preserve">  </w:t>
      </w:r>
      <w:r>
        <w:rPr>
          <w:rStyle w:val="AttributeTok"/>
        </w:rPr>
        <w:t xml:space="preserve">tax =</w:t>
      </w:r>
      <w:r>
        <w:rPr>
          <w:rStyle w:val="NormalTok"/>
        </w:rPr>
        <w:t xml:space="preserve"> </w:t>
      </w:r>
      <w:r>
        <w:rPr>
          <w:rStyle w:val="StringTok"/>
        </w:rPr>
        <w:t xml:space="preserve">"d"</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"d"</w:t>
      </w:r>
      <w:r>
        <w:br/>
      </w:r>
      <w:r>
        <w:rPr>
          <w:rStyle w:val="NormalTok"/>
        </w:rPr>
        <w:t xml:space="preserve">)</w:t>
      </w:r>
      <w:r>
        <w:br/>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br/>
      </w:r>
      <w:r>
        <w:rPr>
          <w:rStyle w:val="CommentTok"/>
        </w:rPr>
        <w:t xml:space="preserve"># Plot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rental price"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57" w:name="question-set-five"/>
    <w:p>
      <w:pPr>
        <w:pStyle w:val="Heading3"/>
      </w:pPr>
      <w:r>
        <w:t xml:space="preserve">Question Set Five</w:t>
      </w:r>
    </w:p>
    <w:p>
      <w:pPr>
        <w:numPr>
          <w:ilvl w:val="0"/>
          <w:numId w:val="1010"/>
        </w:numPr>
        <w:pStyle w:val="Compact"/>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pStyle w:val="SourceCode"/>
      </w:pPr>
      <w:r>
        <w:rPr>
          <w:rStyle w:val="CommentTok"/>
        </w:rPr>
        <w:t xml:space="preserve"># No, we can't identify causal relationships with this model. This model is designed to predict rent prices and not to understand the cause-and-effect relationship between variables.</w:t>
      </w:r>
    </w:p>
    <w:p>
      <w:pPr>
        <w:numPr>
          <w:ilvl w:val="0"/>
          <w:numId w:val="1011"/>
        </w:numPr>
        <w:pStyle w:val="Compact"/>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sqmt</w:t>
      </w:r>
      <w:r>
        <w:t xml:space="preserve"> </w:t>
      </w:r>
      <w:r>
        <w:t xml:space="preserve">be smaller than we’d expect?</w:t>
      </w:r>
    </w:p>
    <w:p>
      <w:pPr>
        <w:pStyle w:val="SourceCode"/>
      </w:pPr>
      <w:r>
        <w:rPr>
          <w:rStyle w:val="CommentTok"/>
        </w:rPr>
        <w:t xml:space="preserve"># Probably because the size of the property *causes* the number of rooms you have. So if we provide the model with both explanatory variables sqmt and rooms, it only needs rooms to make an accurate prediction. Having both sqmt and rooms is redundant (for predictive modelling), because sqmt → rooms → price (or size causes rooms causes price). Basically, the model can "ignore" sqmt once we've told it about rooms.</w:t>
      </w:r>
    </w:p>
    <w:p>
      <w:pPr>
        <w:numPr>
          <w:ilvl w:val="0"/>
          <w:numId w:val="1012"/>
        </w:numPr>
        <w:pStyle w:val="Compact"/>
      </w:pPr>
      <w:r>
        <w:t xml:space="preserve">Go to the letting agency website,</w:t>
      </w:r>
      <w:r>
        <w:t xml:space="preserve"> </w:t>
      </w:r>
      <w:hyperlink r:id="rId55">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SourceCode"/>
      </w:pPr>
      <w:r>
        <w:rPr>
          <w:rStyle w:val="CommentTok"/>
        </w:rPr>
        <w:t xml:space="preserve">#E.g. I'll use this property: https://www.aspc.co.uk/search/property/427426/6-Joss-Court/Aberdeen/</w:t>
      </w:r>
      <w:r>
        <w:br/>
      </w:r>
      <w:r>
        <w:br/>
      </w:r>
      <w:r>
        <w:rPr>
          <w:rStyle w:val="CommentTok"/>
        </w:rPr>
        <w:t xml:space="preserve"># I need to create a dataframe to contain the relevant information:</w:t>
      </w:r>
      <w:r>
        <w:br/>
      </w:r>
      <w:r>
        <w:rPr>
          <w:rStyle w:val="NormalTok"/>
        </w:rPr>
        <w:t xml:space="preserve">joss_court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rooms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DecValTok"/>
        </w:rPr>
        <w:t xml:space="preserve">61</w:t>
      </w:r>
      <w:r>
        <w:rPr>
          <w:rStyle w:val="NormalTok"/>
        </w:rPr>
        <w:t xml:space="preserve">,</w:t>
      </w:r>
      <w:r>
        <w:br/>
      </w:r>
      <w:r>
        <w:rPr>
          <w:rStyle w:val="NormalTok"/>
        </w:rPr>
        <w:t xml:space="preserve">  </w:t>
      </w:r>
      <w:r>
        <w:rPr>
          <w:rStyle w:val="AttributeTok"/>
        </w:rPr>
        <w:t xml:space="preserve">epc =</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tax =</w:t>
      </w:r>
      <w:r>
        <w:rPr>
          <w:rStyle w:val="NormalTok"/>
        </w:rPr>
        <w:t xml:space="preserve"> </w:t>
      </w:r>
      <w:r>
        <w:rPr>
          <w:rStyle w:val="StringTok"/>
        </w:rPr>
        <w:t xml:space="preserve">"c"</w:t>
      </w:r>
      <w:r>
        <w:br/>
      </w:r>
      <w:r>
        <w:rPr>
          <w:rStyle w:val="NormalTok"/>
        </w:rPr>
        <w:t xml:space="preserve">)</w:t>
      </w:r>
      <w:r>
        <w:br/>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w:t>
      </w:r>
      <w:r>
        <w:br/>
      </w:r>
      <w:r>
        <w:br/>
      </w:r>
      <w:r>
        <w:rPr>
          <w:rStyle w:val="CommentTok"/>
        </w:rPr>
        <w:t xml:space="preserve"># The model predicts this property should be £785, and is actually listed at £800 - £25 off is not bad for predicting the rent of a flat the model has never seen before! (That £25 is also the residual error!)</w:t>
      </w:r>
      <w:r>
        <w:br/>
      </w:r>
      <w:r>
        <w:br/>
      </w:r>
      <w:r>
        <w:rPr>
          <w:rStyle w:val="CommentTok"/>
        </w:rPr>
        <w:t xml:space="preserve"># We could always include 95% CI to see if the true rent is within our intervals (using a shortcut to getting 95% CI):</w:t>
      </w:r>
      <w:r>
        <w:br/>
      </w:r>
      <w:r>
        <w:rPr>
          <w:rStyle w:val="FunctionTok"/>
        </w:rPr>
        <w:t xml:space="preserve">predict</w:t>
      </w:r>
      <w:r>
        <w:rPr>
          <w:rStyle w:val="NormalTok"/>
        </w:rPr>
        <w:t xml:space="preserve">(rent_mod, </w:t>
      </w:r>
      <w:r>
        <w:rPr>
          <w:rStyle w:val="AttributeTok"/>
        </w:rPr>
        <w:t xml:space="preserve">newdata =</w:t>
      </w:r>
      <w:r>
        <w:rPr>
          <w:rStyle w:val="NormalTok"/>
        </w:rPr>
        <w:t xml:space="preserve"> joss_court, </w:t>
      </w:r>
      <w:r>
        <w:rPr>
          <w:rStyle w:val="AttributeTok"/>
        </w:rPr>
        <w:t xml:space="preserve">interval =</w:t>
      </w:r>
      <w:r>
        <w:rPr>
          <w:rStyle w:val="NormalTok"/>
        </w:rPr>
        <w:t xml:space="preserve"> </w:t>
      </w:r>
      <w:r>
        <w:rPr>
          <w:rStyle w:val="StringTok"/>
        </w:rPr>
        <w:t xml:space="preserve">"confidence"</w:t>
      </w:r>
      <w:r>
        <w:rPr>
          <w:rStyle w:val="NormalTok"/>
        </w:rPr>
        <w:t xml:space="preserve">)</w:t>
      </w:r>
      <w:r>
        <w:br/>
      </w:r>
      <w:r>
        <w:rPr>
          <w:rStyle w:val="CommentTok"/>
        </w:rPr>
        <w:t xml:space="preserve"># And the true rent is comfortably within our intervals</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56">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57"/>
    <w:bookmarkEnd w:id="58"/>
    <w:bookmarkEnd w:id="59"/>
    <w:bookmarkStart w:id="74" w:name="causal-modelling"/>
    <w:p>
      <w:pPr>
        <w:pStyle w:val="Heading1"/>
      </w:pPr>
      <w:r>
        <w:t xml:space="preserve">Causal Modelling</w:t>
      </w:r>
    </w:p>
    <w:p>
      <w:pPr>
        <w:pStyle w:val="FirstParagraph"/>
      </w:pPr>
      <w:r>
        <w:t xml:space="preserve">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for the predictive model are not carried into our new analysis.</w:t>
      </w:r>
    </w:p>
    <w:bookmarkStart w:id="60"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done an EDA and thought about hidden assumptions, we can skip these steps but before we get to fitting the model, we have an extra step when we want a model to potentially understand causation.</w:t>
      </w:r>
    </w:p>
    <w:bookmarkEnd w:id="60"/>
    <w:bookmarkStart w:id="64" w:name="extra-creating-a-dag"/>
    <w:p>
      <w:pPr>
        <w:pStyle w:val="Heading2"/>
      </w:pPr>
      <w:r>
        <w:t xml:space="preserve">Extra: Creating a DAG</w:t>
      </w:r>
    </w:p>
    <w:p>
      <w:pPr>
        <w:pStyle w:val="FirstParagraph"/>
      </w:pPr>
      <w:r>
        <w:t xml:space="preserve">Because our question is causal, we can’t just use the approach we did above and throw everything into the model and read off every parameter estimate as being causal (something called the</w:t>
      </w:r>
      <w:r>
        <w:t xml:space="preserve"> </w:t>
      </w:r>
      <w:r>
        <w:t xml:space="preserve">“</w:t>
      </w:r>
      <w:r>
        <w:t xml:space="preserve">Type 2 Fallacy</w:t>
      </w:r>
      <w:r>
        <w:t xml:space="preserve">”</w:t>
      </w:r>
      <w:r>
        <w:t xml:space="preserve">). Instead, we need to think about confounding and how to responsibly deal with that in our model. One of the least technical ways of doing this (but not the only way) is to create a Directed Acylic Graph (or DAG). This can often be a pretty laborious process, especially if you create your DAG in PowerPoint, but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13"/>
        </w:numPr>
        <w:pStyle w:val="Compact"/>
      </w:pPr>
      <w:r>
        <w:t xml:space="preserve">Specify the Causal Relationships for the Response Variable:</w:t>
      </w:r>
    </w:p>
    <w:p>
      <w:pPr>
        <w:numPr>
          <w:ilvl w:val="0"/>
          <w:numId w:val="1014"/>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Sqmt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5"/>
        </w:numPr>
        <w:pStyle w:val="Compact"/>
      </w:pPr>
      <w:r>
        <w:t xml:space="preserve">Define the Relationships Between Variables:</w:t>
      </w:r>
    </w:p>
    <w:p>
      <w:pPr>
        <w:numPr>
          <w:ilvl w:val="0"/>
          <w:numId w:val="1016"/>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Sqmt</w:t>
      </w:r>
      <w:r>
        <w:t xml:space="preserve">, and so on for the other explanatory variables.</w:t>
      </w:r>
    </w:p>
    <w:p>
      <w:pPr>
        <w:numPr>
          <w:ilvl w:val="0"/>
          <w:numId w:val="1017"/>
        </w:numPr>
        <w:pStyle w:val="Compact"/>
      </w:pPr>
      <w:r>
        <w:t xml:space="preserve">Set Up the Response and Explanatory Variables:</w:t>
      </w:r>
    </w:p>
    <w:p>
      <w:pPr>
        <w:numPr>
          <w:ilvl w:val="0"/>
          <w:numId w:val="1018"/>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Sqmt</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p>
    <w:p>
      <w:pPr>
        <w:pStyle w:val="SourceCode"/>
      </w:pPr>
      <w:r>
        <w:rPr>
          <w:rStyle w:val="VerbatimChar"/>
        </w:rPr>
        <w:t xml:space="preserve">## Warning: package 'performance' was built under R version 4.3.3</w:t>
      </w:r>
    </w:p>
    <w:p>
      <w:pPr>
        <w:pStyle w:val="SourceCode"/>
      </w:pPr>
      <w:r>
        <w:rPr>
          <w:rStyle w:val="FunctionTok"/>
        </w:rPr>
        <w:t xml:space="preserve">library</w:t>
      </w:r>
      <w:r>
        <w:rPr>
          <w:rStyle w:val="NormalTok"/>
        </w:rPr>
        <w:t xml:space="preserve">(see)</w:t>
      </w:r>
    </w:p>
    <w:p>
      <w:pPr>
        <w:pStyle w:val="SourceCode"/>
      </w:pPr>
      <w:r>
        <w:rPr>
          <w:rStyle w:val="VerbatimChar"/>
        </w:rPr>
        <w:t xml:space="preserve">## Warning: package 'see' was built under R version 4.3.3</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Rent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"Sqmt"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"Rent"</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2" name="Picture"/>
            <a:graphic>
              <a:graphicData uri="http://schemas.openxmlformats.org/drawingml/2006/picture">
                <pic:pic>
                  <pic:nvPicPr>
                    <pic:cNvPr descr="Workshop-7---LM-with-multiple-predictors--with-answers-_files/figure-docx/unnamed-chunk-25-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we can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Rent</w:t>
      </w:r>
      <w:r>
        <w:br/>
      </w:r>
      <w:r>
        <w:rPr>
          <w:rStyle w:val="VerbatimChar"/>
        </w:rPr>
        <w:t xml:space="preserve">## - Exposure: Sqmt</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w:t>
      </w:r>
      <w:r>
        <w:br/>
      </w:r>
      <w:r>
        <w:rPr>
          <w:rStyle w:val="VerbatimChar"/>
        </w:rPr>
        <w:t xml:space="preserve">##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`Sqmt` on `Rent`.</w:t>
      </w:r>
    </w:p>
    <w:p>
      <w:pPr>
        <w:pStyle w:val="FirstParagraph"/>
      </w:pPr>
      <w:r>
        <w:t xml:space="preserve">This tells us that to estimate for the</w:t>
      </w:r>
      <w:r>
        <w:t xml:space="preserve"> </w:t>
      </w:r>
      <w:r>
        <w:rPr>
          <w:iCs/>
          <w:i/>
        </w:rPr>
        <w:t xml:space="preserve">direct</w:t>
      </w:r>
      <w:r>
        <w:t xml:space="preserve"> </w:t>
      </w:r>
      <w:r>
        <w:t xml:space="preserve">effect of Sqmt on Rent, we would also need to include EPC and Rooms, but we aren’t interested in just the direct effect, we want to understand what would happen to Rent if we increased a property by 10 square meters,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Rent ~ Sqmt</w:t>
      </w:r>
      <w:r>
        <w:t xml:space="preserve">.</w:t>
      </w:r>
    </w:p>
    <w:bookmarkEnd w:id="64"/>
    <w:bookmarkStart w:id="65"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sqmt, </w:t>
      </w:r>
      <w:r>
        <w:rPr>
          <w:rStyle w:val="AttributeTok"/>
        </w:rPr>
        <w:t xml:space="preserve">data =</w:t>
      </w:r>
      <w:r>
        <w:rPr>
          <w:rStyle w:val="NormalTok"/>
        </w:rPr>
        <w:t xml:space="preserve"> abdn)</w:t>
      </w:r>
    </w:p>
    <w:bookmarkEnd w:id="65"/>
    <w:bookmarkStart w:id="69"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67" name="Picture"/>
            <a:graphic>
              <a:graphicData uri="http://schemas.openxmlformats.org/drawingml/2006/picture">
                <pic:pic>
                  <pic:nvPicPr>
                    <pic:cNvPr descr="Workshop-7---LM-with-multiple-predictors--with-answers-_files/figure-docx/unnamed-chunk-28-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good enough to work with, with the exception of the Residuals vs Leverage plot.</w:t>
      </w:r>
    </w:p>
    <w:p>
      <w:pPr>
        <w:pStyle w:val="BodyText"/>
      </w:pPr>
      <w:r>
        <w:t xml:space="preserve">Choose how to deal with the Residuals vs Leverage plot and rerun your analysis if necessary.</w:t>
      </w:r>
    </w:p>
    <w:bookmarkEnd w:id="69"/>
    <w:bookmarkStart w:id="73"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sqmt,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-407.05  -68.75  -10.51   67.35  793.52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231.1144    31.7002   7.291 2.02e-11 ***</w:t>
      </w:r>
      <w:r>
        <w:br/>
      </w:r>
      <w:r>
        <w:rPr>
          <w:rStyle w:val="VerbatimChar"/>
        </w:rPr>
        <w:t xml:space="preserve">## sqmt          8.5205     0.4037  21.104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158 on 141 degrees of freedom</w:t>
      </w:r>
      <w:r>
        <w:br/>
      </w:r>
      <w:r>
        <w:rPr>
          <w:rStyle w:val="VerbatimChar"/>
        </w:rPr>
        <w:t xml:space="preserve">## Multiple R-squared:  0.7595, Adjusted R-squared:  0.7578 </w:t>
      </w:r>
      <w:r>
        <w:br/>
      </w:r>
      <w:r>
        <w:rPr>
          <w:rStyle w:val="VerbatimChar"/>
        </w:rPr>
        <w:t xml:space="preserve">## F-statistic: 445.4 on 1 and 141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sqmt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sqmt),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sqmt),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sqmt,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with-answers-_files/figure-docx/unnamed-chunk-31-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£8.50. So long as we assume that our DAG is accurate (a potentially big assumption), this £8.50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price by £2.30. At the time, we noted that £2.30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3"/>
    <w:bookmarkEnd w:id="74"/>
    <w:bookmarkStart w:id="75"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p>
      <w:pPr>
        <w:pStyle w:val="SourceCode"/>
      </w:pP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Rent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Sqmt,</w:t>
      </w:r>
      <w:r>
        <w:br/>
      </w:r>
      <w:r>
        <w:rPr>
          <w:rStyle w:val="NormalTok"/>
        </w:rPr>
        <w:t xml:space="preserve">  EPC </w:t>
      </w:r>
      <w:r>
        <w:rPr>
          <w:rStyle w:val="SpecialCharTok"/>
        </w:rPr>
        <w:t xml:space="preserve">~</w:t>
      </w:r>
      <w:r>
        <w:rPr>
          <w:rStyle w:val="NormalTok"/>
        </w:rPr>
        <w:t xml:space="preserve"> Sqmt,</w:t>
      </w:r>
      <w:r>
        <w:br/>
      </w:r>
      <w:r>
        <w:rPr>
          <w:rStyle w:val="NormalTok"/>
        </w:rPr>
        <w:t xml:space="preserve">  Tax </w:t>
      </w:r>
      <w:r>
        <w:rPr>
          <w:rStyle w:val="SpecialCharTok"/>
        </w:rPr>
        <w:t xml:space="preserve">~</w:t>
      </w:r>
      <w:r>
        <w:rPr>
          <w:rStyle w:val="NormalTok"/>
        </w:rPr>
        <w:t xml:space="preserve"> Sqmt,</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"Rent"</w:t>
      </w:r>
      <w:r>
        <w:br/>
      </w:r>
      <w:r>
        <w:rPr>
          <w:rStyle w:val="NormalTok"/>
        </w:rPr>
        <w:t xml:space="preserve">)</w:t>
      </w:r>
      <w:r>
        <w:br/>
      </w:r>
      <w:r>
        <w:rPr>
          <w:rStyle w:val="NormalTok"/>
        </w:rPr>
        <w:t xml:space="preserve">rent_dag</w:t>
      </w:r>
      <w:r>
        <w:br/>
      </w:r>
      <w:r>
        <w:rPr>
          <w:rStyle w:val="CommentTok"/>
        </w:rPr>
        <w:t xml:space="preserve"># To estimate the causal effect of EPC, we need to include sqmt in the model:</w:t>
      </w:r>
      <w:r>
        <w:br/>
      </w:r>
      <w:r>
        <w:rPr>
          <w:rStyle w:val="NormalTok"/>
        </w:rPr>
        <w:t xml:space="preserve">epc_mod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epc </w:t>
      </w:r>
      <w:r>
        <w:rPr>
          <w:rStyle w:val="SpecialCharTok"/>
        </w:rPr>
        <w:t xml:space="preserve">+</w:t>
      </w:r>
      <w:r>
        <w:rPr>
          <w:rStyle w:val="NormalTok"/>
        </w:rPr>
        <w:t xml:space="preserve"> sqmt, </w:t>
      </w:r>
      <w:r>
        <w:rPr>
          <w:rStyle w:val="AttributeTok"/>
        </w:rPr>
        <w:t xml:space="preserve">data =</w:t>
      </w:r>
      <w:r>
        <w:rPr>
          <w:rStyle w:val="NormalTok"/>
        </w:rPr>
        <w:t xml:space="preserve"> abdn)</w:t>
      </w:r>
      <w:r>
        <w:br/>
      </w:r>
      <w:r>
        <w:rPr>
          <w:rStyle w:val="CommentTok"/>
        </w:rPr>
        <w:t xml:space="preserve"># Check diagnostics:</w:t>
      </w:r>
      <w:r>
        <w:br/>
      </w:r>
      <w:r>
        <w:rPr>
          <w:rStyle w:val="FunctionTok"/>
        </w:rPr>
        <w:t xml:space="preserve">plot</w:t>
      </w:r>
      <w:r>
        <w:rPr>
          <w:rStyle w:val="NormalTok"/>
        </w:rPr>
        <w:t xml:space="preserve">(epc_mod) </w:t>
      </w:r>
      <w:r>
        <w:rPr>
          <w:rStyle w:val="CommentTok"/>
        </w:rPr>
        <w:t xml:space="preserve"># No issues with this model</w:t>
      </w:r>
      <w:r>
        <w:br/>
      </w:r>
      <w:r>
        <w:rPr>
          <w:rStyle w:val="FunctionTok"/>
        </w:rPr>
        <w:t xml:space="preserve">summary</w:t>
      </w:r>
      <w:r>
        <w:rPr>
          <w:rStyle w:val="NormalTok"/>
        </w:rPr>
        <w:t xml:space="preserve">(epc_mod)</w:t>
      </w:r>
      <w:r>
        <w:br/>
      </w:r>
      <w:r>
        <w:rPr>
          <w:rStyle w:val="FunctionTok"/>
        </w:rPr>
        <w:t xml:space="preserve">plot</w:t>
      </w:r>
      <w:r>
        <w:rPr>
          <w:rStyle w:val="NormalTok"/>
        </w:rPr>
        <w:t xml:space="preserve">(</w:t>
      </w:r>
      <w:r>
        <w:rPr>
          <w:rStyle w:val="FunctionTok"/>
        </w:rPr>
        <w:t xml:space="preserve">ggpredict</w:t>
      </w:r>
      <w:r>
        <w:rPr>
          <w:rStyle w:val="NormalTok"/>
        </w:rPr>
        <w:t xml:space="preserve">(epc_mod, </w:t>
      </w:r>
      <w:r>
        <w:rPr>
          <w:rStyle w:val="AttributeTok"/>
        </w:rPr>
        <w:t xml:space="preserve">terms =</w:t>
      </w:r>
      <w:r>
        <w:rPr>
          <w:rStyle w:val="NormalTok"/>
        </w:rPr>
        <w:t xml:space="preserve"> </w:t>
      </w:r>
      <w:r>
        <w:rPr>
          <w:rStyle w:val="StringTok"/>
        </w:rPr>
        <w:t xml:space="preserve">"epc"</w:t>
      </w:r>
      <w:r>
        <w:rPr>
          <w:rStyle w:val="NormalTok"/>
        </w:rPr>
        <w:t xml:space="preserve">))</w:t>
      </w:r>
      <w:r>
        <w:br/>
      </w:r>
      <w:r>
        <w:rPr>
          <w:rStyle w:val="CommentTok"/>
        </w:rPr>
        <w:t xml:space="preserve"># The causal effects seem to be all over the place. This either suggests that the DAG may be more complex than I've assumed, or we need more data to estimate this relationship properly.</w:t>
      </w:r>
      <w:r>
        <w:br/>
      </w:r>
      <w:r>
        <w:br/>
      </w:r>
      <w:r>
        <w:rPr>
          <w:rStyle w:val="CommentTok"/>
        </w:rPr>
        <w:t xml:space="preserve"># As an example, a more fleshed out version of the DAG would look like:</w:t>
      </w:r>
      <w:r>
        <w:br/>
      </w:r>
      <w:r>
        <w:rPr>
          <w:rStyle w:val="NormalTok"/>
        </w:rPr>
        <w:t xml:space="preserve">better_dag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Rent </w:t>
      </w:r>
      <w:r>
        <w:rPr>
          <w:rStyle w:val="SpecialCharTok"/>
        </w:rPr>
        <w:t xml:space="preserve">~</w:t>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Tax </w:t>
      </w:r>
      <w:r>
        <w:rPr>
          <w:rStyle w:val="SpecialCharTok"/>
        </w:rPr>
        <w:t xml:space="preserve">+</w:t>
      </w:r>
      <w:r>
        <w:rPr>
          <w:rStyle w:val="NormalTok"/>
        </w:rPr>
        <w:t xml:space="preserve"> EPC </w:t>
      </w:r>
      <w:r>
        <w:rPr>
          <w:rStyle w:val="SpecialCharTok"/>
        </w:rPr>
        <w:t xml:space="preserve">+</w:t>
      </w:r>
      <w:r>
        <w:rPr>
          <w:rStyle w:val="NormalTok"/>
        </w:rPr>
        <w:t xml:space="preserve"> PropertyType,</w:t>
      </w:r>
      <w:r>
        <w:br/>
      </w:r>
      <w:r>
        <w:rPr>
          <w:rStyle w:val="NormalTok"/>
        </w:rPr>
        <w:t xml:space="preserve">  Rooms </w:t>
      </w:r>
      <w:r>
        <w:rPr>
          <w:rStyle w:val="SpecialCharTok"/>
        </w:rPr>
        <w:t xml:space="preserve">~</w:t>
      </w:r>
      <w:r>
        <w:rPr>
          <w:rStyle w:val="NormalTok"/>
        </w:rPr>
        <w:t xml:space="preserve"> Sqmt </w:t>
      </w:r>
      <w:r>
        <w:rPr>
          <w:rStyle w:val="SpecialCharTok"/>
        </w:rPr>
        <w:t xml:space="preserve">+</w:t>
      </w:r>
      <w:r>
        <w:rPr>
          <w:rStyle w:val="NormalTok"/>
        </w:rPr>
        <w:t xml:space="preserve"> PropertyAge,</w:t>
      </w:r>
      <w:r>
        <w:br/>
      </w:r>
      <w:r>
        <w:rPr>
          <w:rStyle w:val="NormalTok"/>
        </w:rPr>
        <w:t xml:space="preserve">  EPC </w:t>
      </w:r>
      <w:r>
        <w:rPr>
          <w:rStyle w:val="SpecialCharTok"/>
        </w:rPr>
        <w:t xml:space="preserve">~</w:t>
      </w:r>
      <w:r>
        <w:rPr>
          <w:rStyle w:val="NormalTok"/>
        </w:rPr>
        <w:t xml:space="preserve"> Sqmt </w:t>
      </w:r>
      <w:r>
        <w:rPr>
          <w:rStyle w:val="SpecialCharTok"/>
        </w:rPr>
        <w:t xml:space="preserve">+</w:t>
      </w:r>
      <w:r>
        <w:rPr>
          <w:rStyle w:val="NormalTok"/>
        </w:rPr>
        <w:t xml:space="preserve"> PropertyAge,</w:t>
      </w:r>
      <w:r>
        <w:br/>
      </w:r>
      <w:r>
        <w:rPr>
          <w:rStyle w:val="NormalTok"/>
        </w:rPr>
        <w:t xml:space="preserve">  Tax </w:t>
      </w:r>
      <w:r>
        <w:rPr>
          <w:rStyle w:val="SpecialCharTok"/>
        </w:rPr>
        <w:t xml:space="preserve">~</w:t>
      </w:r>
      <w:r>
        <w:rPr>
          <w:rStyle w:val="NormalTok"/>
        </w:rPr>
        <w:t xml:space="preserve"> HistoricPrice,</w:t>
      </w:r>
      <w:r>
        <w:br/>
      </w:r>
      <w:r>
        <w:rPr>
          <w:rStyle w:val="NormalTok"/>
        </w:rPr>
        <w:t xml:space="preserve">  HistoricPrice </w:t>
      </w:r>
      <w:r>
        <w:rPr>
          <w:rStyle w:val="SpecialCharTok"/>
        </w:rPr>
        <w:t xml:space="preserve">~</w:t>
      </w:r>
      <w:r>
        <w:rPr>
          <w:rStyle w:val="NormalTok"/>
        </w:rPr>
        <w:t xml:space="preserve"> PropertyAge </w:t>
      </w:r>
      <w:r>
        <w:rPr>
          <w:rStyle w:val="SpecialCharTok"/>
        </w:rPr>
        <w:t xml:space="preserve">+</w:t>
      </w:r>
      <w:r>
        <w:rPr>
          <w:rStyle w:val="NormalTok"/>
        </w:rPr>
        <w:t xml:space="preserve"> PropertyType </w:t>
      </w:r>
      <w:r>
        <w:rPr>
          <w:rStyle w:val="SpecialCharTok"/>
        </w:rPr>
        <w:t xml:space="preserve">+</w:t>
      </w:r>
      <w:r>
        <w:rPr>
          <w:rStyle w:val="NormalTok"/>
        </w:rPr>
        <w:t xml:space="preserve"> Rooms </w:t>
      </w:r>
      <w:r>
        <w:rPr>
          <w:rStyle w:val="SpecialCharTok"/>
        </w:rPr>
        <w:t xml:space="preserve">+</w:t>
      </w:r>
      <w:r>
        <w:rPr>
          <w:rStyle w:val="NormalTok"/>
        </w:rPr>
        <w:t xml:space="preserve"> Sqmt,</w:t>
      </w:r>
      <w:r>
        <w:br/>
      </w:r>
      <w:r>
        <w:rPr>
          <w:rStyle w:val="NormalTok"/>
        </w:rPr>
        <w:t xml:space="preserve">  Sqmt </w:t>
      </w:r>
      <w:r>
        <w:rPr>
          <w:rStyle w:val="SpecialCharTok"/>
        </w:rPr>
        <w:t xml:space="preserve">~</w:t>
      </w:r>
      <w:r>
        <w:rPr>
          <w:rStyle w:val="NormalTok"/>
        </w:rPr>
        <w:t xml:space="preserve"> PropertyAge </w:t>
      </w:r>
      <w:r>
        <w:rPr>
          <w:rStyle w:val="SpecialCharTok"/>
        </w:rPr>
        <w:t xml:space="preserve">+</w:t>
      </w:r>
      <w:r>
        <w:rPr>
          <w:rStyle w:val="NormalTok"/>
        </w:rPr>
        <w:t xml:space="preserve"> PropertyType,</w:t>
      </w:r>
      <w:r>
        <w:br/>
      </w:r>
      <w:r>
        <w:rPr>
          <w:rStyle w:val="NormalTok"/>
        </w:rPr>
        <w:t xml:space="preserve">  </w:t>
      </w:r>
      <w:r>
        <w:rPr>
          <w:rStyle w:val="AttributeTok"/>
        </w:rPr>
        <w:t xml:space="preserve">exposure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"Rent"</w:t>
      </w:r>
      <w:r>
        <w:br/>
      </w:r>
      <w:r>
        <w:rPr>
          <w:rStyle w:val="NormalTok"/>
        </w:rPr>
        <w:t xml:space="preserve">)</w:t>
      </w:r>
      <w:r>
        <w:br/>
      </w:r>
      <w:r>
        <w:rPr>
          <w:rStyle w:val="CommentTok"/>
        </w:rPr>
        <w:t xml:space="preserve"># (But keep in mind, this doesn't include things like how nicely it's decorated, it's general maintainence, how greedy the landlord is, etc, etc)</w:t>
      </w:r>
      <w:r>
        <w:br/>
      </w:r>
      <w:r>
        <w:rPr>
          <w:rStyle w:val="FunctionTok"/>
        </w:rPr>
        <w:t xml:space="preserve">plot</w:t>
      </w:r>
      <w:r>
        <w:rPr>
          <w:rStyle w:val="NormalTok"/>
        </w:rPr>
        <w:t xml:space="preserve">(better_dag)</w:t>
      </w:r>
      <w:r>
        <w:br/>
      </w:r>
      <w:r>
        <w:rPr>
          <w:rStyle w:val="NormalTok"/>
        </w:rPr>
        <w:t xml:space="preserve">better_dag</w:t>
      </w:r>
      <w:r>
        <w:br/>
      </w:r>
      <w:r>
        <w:rPr>
          <w:rStyle w:val="CommentTok"/>
        </w:rPr>
        <w:t xml:space="preserve"># Which tells us that we'd one of the following models:</w:t>
      </w:r>
      <w:r>
        <w:br/>
      </w:r>
      <w:r>
        <w:rPr>
          <w:rStyle w:val="CommentTok"/>
        </w:rPr>
        <w:t xml:space="preserve"># Rent ~ EPC + PropertyType + Rooms + Sqmt + Tax</w:t>
      </w:r>
      <w:r>
        <w:br/>
      </w:r>
      <w:r>
        <w:rPr>
          <w:rStyle w:val="CommentTok"/>
        </w:rPr>
        <w:t xml:space="preserve"># Rent ~ EPC + HistoricPrice + PropertyType + Rooms + Sqmt</w:t>
      </w:r>
      <w:r>
        <w:br/>
      </w:r>
      <w:r>
        <w:rPr>
          <w:rStyle w:val="CommentTok"/>
        </w:rPr>
        <w:t xml:space="preserve"># Rent ~ EPC + PropertyAge + Sqmt</w:t>
      </w:r>
      <w:r>
        <w:br/>
      </w:r>
      <w:r>
        <w:rPr>
          <w:rStyle w:val="CommentTok"/>
        </w:rPr>
        <w:t xml:space="preserve"># The easiest of which would be the first, given PropertyType is the easiest variable to collect (property age is difficult, and historic price is probably impossible to get)</w:t>
      </w:r>
      <w:r>
        <w:br/>
      </w:r>
      <w:r>
        <w:rPr>
          <w:rStyle w:val="CommentTok"/>
        </w:rPr>
        <w:t xml:space="preserve"># The means that unless we get PropertyType, we can't currently understand the causal effect of EPC with the data as is</w:t>
      </w:r>
      <w:r>
        <w:br/>
      </w:r>
      <w:r>
        <w:rPr>
          <w:rStyle w:val="CommentTok"/>
        </w:rPr>
        <w:t xml:space="preserve"># This is a nice example of where doing the DAG *before* data collection helps to prevent headaches later on by identifying which variables to collect!</w:t>
      </w:r>
    </w:p>
    <w:bookmarkEnd w:id="75"/>
    <w:bookmarkStart w:id="7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7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26" Target="media/rId26.png" /><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56" Target="https://deonroos.shinyapps.io/BI3010_Rent/" TargetMode="External" /><Relationship Type="http://schemas.openxmlformats.org/officeDocument/2006/relationships/hyperlink" Id="rId55"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2024-10-03T19:55:49Z</dcterms:created>
  <dcterms:modified xsi:type="dcterms:W3CDTF">2024-10-03T19:55:49Z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2024-10-03</vt:lpwstr>
  </property>
  <property fmtid="{D5CDD505-2E9C-101B-9397-08002B2CF9AE}" pid="3" name="output">
    <vt:lpwstr/>
  </property>
</Properties>
</file>