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data contains both rental prices for both houses and flats, with no distinction made between them. Unless you decide to go through all</w:t>
      </w:r>
      <w:r>
        <w:t xml:space="preserve"> </w:t>
      </w:r>
      <w:r>
        <w:rPr>
          <w:rStyle w:val="VerbatimChar"/>
        </w:rPr>
        <w:t xml:space="preserve">nrow(abdn)</w:t>
      </w:r>
      <w:r>
        <w:t xml:space="preserve"> </w:t>
      </w:r>
      <w:r>
        <w:t xml:space="preserve">properties and classify them as house or flat, I’d suggest you leave this distinction out of the data. But if we do so, what do you think this lack of distinction will do in our predictive model?</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sqmt</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beds</w:t>
      </w:r>
      <w:r>
        <w:t xml:space="preserve"> </w:t>
      </w:r>
      <w:r>
        <w:t xml:space="preserve">and</w:t>
      </w:r>
      <w:r>
        <w:t xml:space="preserve"> </w:t>
      </w:r>
      <w:r>
        <w:rPr>
          <w:rStyle w:val="VerbatimChar"/>
        </w:rPr>
        <w:t xml:space="preserve">living</w:t>
      </w:r>
      <w:r>
        <w:t xml:space="preserve"> </w:t>
      </w:r>
      <w:r>
        <w:t xml:space="preserve">together (i.e., bedrooms and living rooms).</w:t>
      </w:r>
    </w:p>
    <w:p>
      <w:pPr>
        <w:pStyle w:val="BodyText"/>
      </w:pPr>
      <w:r>
        <w:t xml:space="preserve">Another 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underlying</w:t>
      </w:r>
      <w:r>
        <w:t xml:space="preserve"> </w:t>
      </w:r>
      <w:r>
        <w:t xml:space="preserve">“</w:t>
      </w:r>
      <w:r>
        <w:t xml:space="preserve">values</w:t>
      </w:r>
      <w:r>
        <w:t xml:space="preserve">”</w:t>
      </w:r>
      <w:r>
        <w:t xml:space="preserve"> </w:t>
      </w:r>
      <w:r>
        <w:t xml:space="preserve">are continuous (e.g. the property was worth £100,000 in 1991) but these have been discretised, or converted into groups (e.g. instead of £100,000 it’s recorded as</w:t>
      </w:r>
      <w:r>
        <w:t xml:space="preserve"> </w:t>
      </w:r>
      <w:r>
        <w:rPr>
          <w:rStyle w:val="VerbatimChar"/>
        </w:rPr>
        <w:t xml:space="preserve">tax</w:t>
      </w:r>
      <w:r>
        <w:t xml:space="preserve"> </w:t>
      </w:r>
      <w:r>
        <w:t xml:space="preserve">equal to</w:t>
      </w:r>
      <w:r>
        <w:t xml:space="preserve"> </w:t>
      </w:r>
      <w:r>
        <w:rPr>
          <w:rStyle w:val="VerbatimChar"/>
        </w:rPr>
        <w:t xml:space="preserve">a</w:t>
      </w:r>
      <w:r>
        <w:t xml:space="preserve">).</w:t>
      </w:r>
    </w:p>
    <w:p>
      <w:pPr>
        <w:pStyle w:val="BodyText"/>
      </w:pPr>
      <w:r>
        <w:t xml:space="preserve">Whenever this discretisation is done, when it comes to the actual model, it can make our life pretty horrible, which you can see when we write out the full notation. In our case, here’s what our model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q</m:t>
        </m:r>
        <m:r>
          <m:t>m</m:t>
        </m:r>
        <m:sSub>
          <m:e>
            <m:r>
              <m:t>t</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sSub>
          <m:e>
            <m:r>
              <m:t>β</m:t>
            </m:r>
          </m:e>
          <m:sub>
            <m:r>
              <m:t>3</m:t>
            </m:r>
          </m:sub>
        </m:sSub>
        <m:r>
          <m:rPr>
            <m:sty m:val="p"/>
          </m:rPr>
          <m:t>×</m:t>
        </m:r>
        <m:r>
          <m:t>e</m:t>
        </m:r>
        <m:r>
          <m:t>p</m:t>
        </m:r>
        <m:r>
          <m:t>c</m:t>
        </m:r>
        <m:sSub>
          <m:e>
            <m:r>
              <m:t>C</m:t>
            </m:r>
          </m:e>
          <m:sub>
            <m:r>
              <m:t>i</m:t>
            </m:r>
          </m:sub>
        </m:sSub>
        <m:r>
          <m:rPr>
            <m:sty m:val="p"/>
          </m:rPr>
          <m:t>+</m:t>
        </m:r>
      </m:oMath>
      <w:r>
        <w:t xml:space="preserve"> </w:t>
      </w:r>
      <m:oMath>
        <m:sSub>
          <m:e>
            <m:r>
              <m:t>β</m:t>
            </m:r>
          </m:e>
          <m:sub>
            <m:r>
              <m:t>4</m:t>
            </m:r>
          </m:sub>
        </m:sSub>
        <m:r>
          <m:rPr>
            <m:sty m:val="p"/>
          </m:rPr>
          <m:t>×</m:t>
        </m:r>
        <m:r>
          <m:t>e</m:t>
        </m:r>
        <m:r>
          <m:t>p</m:t>
        </m:r>
        <m:r>
          <m:t>c</m:t>
        </m:r>
        <m:sSub>
          <m:e>
            <m:r>
              <m:t>D</m:t>
            </m:r>
          </m:e>
          <m:sub>
            <m:r>
              <m:t>i</m:t>
            </m:r>
          </m:sub>
        </m:sSub>
        <m:r>
          <m:rPr>
            <m:sty m:val="p"/>
          </m:rPr>
          <m:t>+</m:t>
        </m:r>
        <m:sSub>
          <m:e>
            <m:r>
              <m:t>β</m:t>
            </m:r>
          </m:e>
          <m:sub>
            <m:r>
              <m:t>5</m:t>
            </m:r>
          </m:sub>
        </m:sSub>
        <m:r>
          <m:rPr>
            <m:sty m:val="p"/>
          </m:rPr>
          <m:t>×</m:t>
        </m:r>
        <m:r>
          <m:t>e</m:t>
        </m:r>
        <m:r>
          <m:t>p</m:t>
        </m:r>
        <m:r>
          <m:t>c</m:t>
        </m:r>
        <m:sSub>
          <m:e>
            <m:r>
              <m:t>E</m:t>
            </m:r>
          </m:e>
          <m:sub>
            <m:r>
              <m:t>i</m:t>
            </m:r>
          </m:sub>
        </m:sSub>
        <m:r>
          <m:rPr>
            <m:sty m:val="p"/>
          </m:rPr>
          <m:t>+</m:t>
        </m:r>
        <m:sSub>
          <m:e>
            <m:r>
              <m:t>β</m:t>
            </m:r>
          </m:e>
          <m:sub>
            <m:r>
              <m:t>6</m:t>
            </m:r>
          </m:sub>
        </m:sSub>
        <m:r>
          <m:rPr>
            <m:sty m:val="p"/>
          </m:rPr>
          <m:t>×</m:t>
        </m:r>
        <m:r>
          <m:t>e</m:t>
        </m:r>
        <m:r>
          <m:t>p</m:t>
        </m:r>
        <m:r>
          <m:t>c</m:t>
        </m:r>
        <m:sSub>
          <m:e>
            <m:r>
              <m:t>F</m:t>
            </m:r>
          </m:e>
          <m:sub>
            <m:r>
              <m:t>i</m:t>
            </m:r>
          </m:sub>
        </m:sSub>
        <m:r>
          <m:rPr>
            <m:sty m:val="p"/>
          </m:rPr>
          <m:t>+</m:t>
        </m:r>
        <m:sSub>
          <m:e>
            <m:r>
              <m:t>β</m:t>
            </m:r>
          </m:e>
          <m:sub>
            <m:r>
              <m:t>7</m:t>
            </m:r>
          </m:sub>
        </m:sSub>
        <m:r>
          <m:rPr>
            <m:sty m:val="p"/>
          </m:rPr>
          <m:t>×</m:t>
        </m:r>
        <m:r>
          <m:t>e</m:t>
        </m:r>
        <m:r>
          <m:t>p</m:t>
        </m:r>
        <m:r>
          <m:t>c</m:t>
        </m:r>
        <m:sSub>
          <m:e>
            <m:r>
              <m:t>G</m:t>
            </m:r>
          </m:e>
          <m:sub>
            <m:r>
              <m:t>i</m:t>
            </m:r>
          </m:sub>
        </m:sSub>
        <m:r>
          <m:rPr>
            <m:sty m:val="p"/>
          </m:rPr>
          <m:t>+</m:t>
        </m:r>
      </m:oMath>
      <w:r>
        <w:t xml:space="preserve"> </w:t>
      </w:r>
      <m:oMath>
        <m:sSub>
          <m:e>
            <m:r>
              <m:t>β</m:t>
            </m:r>
          </m:e>
          <m:sub>
            <m:r>
              <m:t>8</m:t>
            </m:r>
          </m:sub>
        </m:sSub>
        <m:r>
          <m:rPr>
            <m:sty m:val="p"/>
          </m:rPr>
          <m:t>×</m:t>
        </m:r>
        <m:r>
          <m:t>t</m:t>
        </m:r>
        <m:r>
          <m:t>a</m:t>
        </m:r>
        <m:r>
          <m:t>x</m:t>
        </m:r>
        <m:sSub>
          <m:e>
            <m:r>
              <m:t>B</m:t>
            </m:r>
          </m:e>
          <m:sub>
            <m:r>
              <m:t>i</m:t>
            </m:r>
          </m:sub>
        </m:sSub>
        <m:r>
          <m:rPr>
            <m:sty m:val="p"/>
          </m:rPr>
          <m:t>+</m:t>
        </m:r>
        <m:sSub>
          <m:e>
            <m:r>
              <m:t>β</m:t>
            </m:r>
          </m:e>
          <m:sub>
            <m:r>
              <m:t>9</m:t>
            </m:r>
          </m:sub>
        </m:sSub>
        <m:r>
          <m:rPr>
            <m:sty m:val="p"/>
          </m:rPr>
          <m:t>×</m:t>
        </m:r>
        <m:r>
          <m:t>t</m:t>
        </m:r>
        <m:r>
          <m:t>a</m:t>
        </m:r>
        <m:r>
          <m:t>x</m:t>
        </m:r>
        <m:sSub>
          <m:e>
            <m:r>
              <m:t>C</m:t>
            </m:r>
          </m:e>
          <m:sub>
            <m:r>
              <m:t>i</m:t>
            </m:r>
          </m:sub>
        </m:sSub>
        <m:r>
          <m:rPr>
            <m:sty m:val="p"/>
          </m:rPr>
          <m:t>+</m:t>
        </m:r>
        <m:sSub>
          <m:e>
            <m:r>
              <m:t>β</m:t>
            </m:r>
          </m:e>
          <m:sub>
            <m:r>
              <m:t>10</m:t>
            </m:r>
          </m:sub>
        </m:sSub>
        <m:r>
          <m:rPr>
            <m:sty m:val="p"/>
          </m:rPr>
          <m:t>×</m:t>
        </m:r>
        <m:r>
          <m:t>t</m:t>
        </m:r>
        <m:r>
          <m:t>a</m:t>
        </m:r>
        <m:r>
          <m:t>x</m:t>
        </m:r>
        <m:sSub>
          <m:e>
            <m:r>
              <m:t>D</m:t>
            </m:r>
          </m:e>
          <m:sub>
            <m:r>
              <m:t>i</m:t>
            </m:r>
          </m:sub>
        </m:sSub>
        <m:r>
          <m:rPr>
            <m:sty m:val="p"/>
          </m:rPr>
          <m:t>+</m:t>
        </m:r>
      </m:oMath>
      <w:r>
        <w:t xml:space="preserve"> </w:t>
      </w:r>
      <m:oMath>
        <m:sSub>
          <m:e>
            <m:r>
              <m:t>β</m:t>
            </m:r>
          </m:e>
          <m:sub>
            <m:r>
              <m:t>11</m:t>
            </m:r>
          </m:sub>
        </m:sSub>
        <m:r>
          <m:rPr>
            <m:sty m:val="p"/>
          </m:rPr>
          <m:t>×</m:t>
        </m:r>
        <m:r>
          <m:t>t</m:t>
        </m:r>
        <m:r>
          <m:t>a</m:t>
        </m:r>
        <m:r>
          <m:t>x</m:t>
        </m:r>
        <m:sSub>
          <m:e>
            <m:r>
              <m:t>E</m:t>
            </m:r>
          </m:e>
          <m:sub>
            <m:r>
              <m:t>i</m:t>
            </m:r>
          </m:sub>
        </m:sSub>
        <m:r>
          <m:rPr>
            <m:sty m:val="p"/>
          </m:rPr>
          <m:t>+</m:t>
        </m:r>
        <m:sSub>
          <m:e>
            <m:r>
              <m:t>β</m:t>
            </m:r>
          </m:e>
          <m:sub>
            <m:r>
              <m:t>12</m:t>
            </m:r>
          </m:sub>
        </m:sSub>
        <m:r>
          <m:rPr>
            <m:sty m:val="p"/>
          </m:rPr>
          <m:t>×</m:t>
        </m:r>
        <m:r>
          <m:t>t</m:t>
        </m:r>
        <m:r>
          <m:t>a</m:t>
        </m:r>
        <m:r>
          <m:t>x</m:t>
        </m:r>
        <m:sSub>
          <m:e>
            <m:r>
              <m:t>F</m:t>
            </m:r>
          </m:e>
          <m:sub>
            <m:r>
              <m:t>i</m:t>
            </m:r>
          </m:sub>
        </m:sSub>
        <m:r>
          <m:rPr>
            <m:sty m:val="p"/>
          </m:rPr>
          <m:t>+</m:t>
        </m:r>
        <m:sSub>
          <m:e>
            <m:r>
              <m:t>β</m:t>
            </m:r>
          </m:e>
          <m:sub>
            <m:r>
              <m:t>13</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B, and a tax band of A.</w:t>
      </w:r>
    </w:p>
    <w:p>
      <w:pPr>
        <w:numPr>
          <w:ilvl w:val="0"/>
          <w:numId w:val="1004"/>
        </w:numPr>
        <w:pStyle w:val="Compact"/>
      </w:pPr>
      <m:oMath>
        <m:sSub>
          <m:e>
            <m:r>
              <m:t>β</m:t>
            </m:r>
          </m:e>
          <m:sub>
            <m:r>
              <m:t>1</m:t>
            </m:r>
          </m:sub>
        </m:sSub>
      </m:oMath>
      <w:r>
        <w:t xml:space="preserve"> </w:t>
      </w:r>
      <w:r>
        <w:t xml:space="preserve">is the slope for each additional square meter.</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7</m:t>
            </m:r>
          </m:sub>
        </m:sSub>
      </m:oMath>
      <w:r>
        <w:t xml:space="preserve"> </w:t>
      </w:r>
      <w:r>
        <w:t xml:space="preserve">are the effects of each EPC rating compared to B.</w:t>
      </w:r>
    </w:p>
    <w:p>
      <w:pPr>
        <w:numPr>
          <w:ilvl w:val="0"/>
          <w:numId w:val="1004"/>
        </w:numPr>
        <w:pStyle w:val="Compact"/>
      </w:pPr>
      <m:oMath>
        <m:sSub>
          <m:e>
            <m:r>
              <m:t>β</m:t>
            </m:r>
          </m:e>
          <m:sub>
            <m:r>
              <m:t>8</m:t>
            </m:r>
            <m:r>
              <m:rPr>
                <m:sty m:val="p"/>
              </m:rPr>
              <m:t>,</m:t>
            </m:r>
            <m:r>
              <m:rPr>
                <m:sty m:val="p"/>
              </m:rPr>
              <m:t>.</m:t>
            </m:r>
            <m:r>
              <m:rPr>
                <m:sty m:val="p"/>
              </m:rPr>
              <m:t>.</m:t>
            </m:r>
            <m:r>
              <m:rPr>
                <m:sty m:val="p"/>
              </m:rPr>
              <m:t>.</m:t>
            </m:r>
            <m:r>
              <m:rPr>
                <m:sty m:val="p"/>
              </m:rPr>
              <m:t>,</m:t>
            </m:r>
            <m:r>
              <m:t>13</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-622.33  -82.95   -4.81   53.88  910.43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329.24652   78.20799   4.210 4.69e-05 ***</w:t>
      </w:r>
      <w:r>
        <w:br/>
      </w:r>
      <w:r>
        <w:rPr>
          <w:rStyle w:val="VerbatimChar"/>
        </w:rPr>
        <w:t xml:space="preserve">## sqmt           0.09491    0.92824   0.102 0.918719    </w:t>
      </w:r>
      <w:r>
        <w:br/>
      </w:r>
      <w:r>
        <w:rPr>
          <w:rStyle w:val="VerbatimChar"/>
        </w:rPr>
        <w:t xml:space="preserve">## rooms        175.11885   28.70803   6.100 1.10e-08 ***</w:t>
      </w:r>
      <w:r>
        <w:br/>
      </w:r>
      <w:r>
        <w:rPr>
          <w:rStyle w:val="VerbatimChar"/>
        </w:rPr>
        <w:t xml:space="preserve">## epcc        -142.82581   55.11507  -2.591 0.010634 *  </w:t>
      </w:r>
      <w:r>
        <w:br/>
      </w:r>
      <w:r>
        <w:rPr>
          <w:rStyle w:val="VerbatimChar"/>
        </w:rPr>
        <w:t xml:space="preserve">## epcd        -223.23608   59.82399  -3.732 0.000282 ***</w:t>
      </w:r>
      <w:r>
        <w:br/>
      </w:r>
      <w:r>
        <w:rPr>
          <w:rStyle w:val="VerbatimChar"/>
        </w:rPr>
        <w:t xml:space="preserve">## epce        -153.16867   74.49666  -2.056 0.041749 *  </w:t>
      </w:r>
      <w:r>
        <w:br/>
      </w:r>
      <w:r>
        <w:rPr>
          <w:rStyle w:val="VerbatimChar"/>
        </w:rPr>
        <w:t xml:space="preserve">## epcf        -198.65246  190.22361  -1.044 0.298251    </w:t>
      </w:r>
      <w:r>
        <w:br/>
      </w:r>
      <w:r>
        <w:rPr>
          <w:rStyle w:val="VerbatimChar"/>
        </w:rPr>
        <w:t xml:space="preserve">## epcg        -132.09400  125.92256  -1.049 0.296090    </w:t>
      </w:r>
      <w:r>
        <w:br/>
      </w:r>
      <w:r>
        <w:rPr>
          <w:rStyle w:val="VerbatimChar"/>
        </w:rPr>
        <w:t xml:space="preserve">## taxb          60.57588   54.79286   1.106 0.270935    </w:t>
      </w:r>
      <w:r>
        <w:br/>
      </w:r>
      <w:r>
        <w:rPr>
          <w:rStyle w:val="VerbatimChar"/>
        </w:rPr>
        <w:t xml:space="preserve">## taxc          67.29495   60.48214   1.113 0.267885    </w:t>
      </w:r>
      <w:r>
        <w:br/>
      </w:r>
      <w:r>
        <w:rPr>
          <w:rStyle w:val="VerbatimChar"/>
        </w:rPr>
        <w:t xml:space="preserve">## taxd          33.30104   56.88932   0.585 0.559301    </w:t>
      </w:r>
      <w:r>
        <w:br/>
      </w:r>
      <w:r>
        <w:rPr>
          <w:rStyle w:val="VerbatimChar"/>
        </w:rPr>
        <w:t xml:space="preserve">## taxe         285.90432   66.69695   4.287 3.47e-05 ***</w:t>
      </w:r>
      <w:r>
        <w:br/>
      </w:r>
      <w:r>
        <w:rPr>
          <w:rStyle w:val="VerbatimChar"/>
        </w:rPr>
        <w:t xml:space="preserve">## taxf         228.10775   87.27079   2.614 0.009994 ** </w:t>
      </w:r>
      <w:r>
        <w:br/>
      </w:r>
      <w:r>
        <w:rPr>
          <w:rStyle w:val="VerbatimChar"/>
        </w:rPr>
        <w:t xml:space="preserve">## taxg         511.22725  131.94895   3.874 0.000168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182.4 on 132 degrees of freedom</w:t>
      </w:r>
      <w:r>
        <w:br/>
      </w:r>
      <w:r>
        <w:rPr>
          <w:rStyle w:val="VerbatimChar"/>
        </w:rPr>
        <w:t xml:space="preserve">## Multiple R-squared:  0.7909, Adjusted R-squared:  0.7703 </w:t>
      </w:r>
      <w:r>
        <w:br/>
      </w:r>
      <w:r>
        <w:rPr>
          <w:rStyle w:val="VerbatimChar"/>
        </w:rPr>
        <w:t xml:space="preserve">## F-statistic: 38.41 on 13 and 132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88</w:t>
      </w:r>
    </w:p>
    <w:p>
      <w:pPr>
        <w:pStyle w:val="FirstParagraph"/>
      </w:pPr>
      <w:r>
        <w:drawing>
          <wp:inline>
            <wp:extent cx="4620126" cy="3696101"/>
            <wp:effectExtent b="0" l="0" r="0" t="0"/>
            <wp:docPr descr="" title="" id="27" name="Picture"/>
            <a:graphic>
              <a:graphicData uri="http://schemas.openxmlformats.org/drawingml/2006/picture">
                <pic:pic>
                  <pic:nvPicPr>
                    <pic:cNvPr descr="Workshop-7---LM-with-multiple-predictors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Pr>
      <w:r>
        <w:t xml:space="preserve">Do you see any assumptions that are likely broken in the Residuals vs Fitted and Scale-Location plots?</w:t>
      </w:r>
    </w:p>
    <w:p>
      <w:pPr>
        <w:numPr>
          <w:ilvl w:val="0"/>
          <w:numId w:val="1005"/>
        </w:numPr>
      </w:pPr>
      <w:r>
        <w:t xml:space="preserve">If so, what is the consequence of violating this assumptions?</w:t>
      </w:r>
    </w:p>
    <w:p>
      <w:pPr>
        <w:numPr>
          <w:ilvl w:val="0"/>
          <w:numId w:val="1005"/>
        </w:numPr>
      </w:pPr>
      <w:r>
        <w:t xml:space="preserve">Do you see any assumptions that are likely broken in the Q-Q Residuals plot?</w:t>
      </w:r>
    </w:p>
    <w:p>
      <w:pPr>
        <w:numPr>
          <w:ilvl w:val="0"/>
          <w:numId w:val="1005"/>
        </w:numPr>
      </w:pPr>
      <w:r>
        <w:t xml:space="preserve">Are there any observations that are having a disproportionate affect on the model?</w:t>
      </w:r>
    </w:p>
    <w:p>
      <w:pPr>
        <w:numPr>
          <w:ilvl w:val="0"/>
          <w:numId w:val="1005"/>
        </w:numPr>
      </w:pPr>
      <w:r>
        <w:t xml:space="preserve">If there are any such observations, what should we do about them (if in doubt, ask a member of staff)?</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BodyText"/>
      </w:pPr>
      <w:r>
        <w:drawing>
          <wp:inline>
            <wp:extent cx="4620126" cy="3696101"/>
            <wp:effectExtent b="0" l="0" r="0" t="0"/>
            <wp:docPr descr="" title="" id="30" name="Picture"/>
            <a:graphic>
              <a:graphicData uri="http://schemas.openxmlformats.org/drawingml/2006/picture">
                <pic:pic>
                  <pic:nvPicPr>
                    <pic:cNvPr descr="Workshop-7---LM-with-multiple-predictors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orkshop-7---LM-with-multiple-predictors_files/figure-docx/unnamed-chunk-1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7---LM-with-multiple-predictors_files/figure-docx/unnamed-chunk-14-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7---LM-with-multiple-predictors_files/figure-docx/unnamed-chunk-14-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-416.16  -74.58   -5.99   53.42  876.46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405.4371    67.1331   6.039 1.50e-08 ***</w:t>
      </w:r>
      <w:r>
        <w:br/>
      </w:r>
      <w:r>
        <w:rPr>
          <w:rStyle w:val="VerbatimChar"/>
        </w:rPr>
        <w:t xml:space="preserve">## sqmt           2.3428     0.8458   2.770 0.006421 ** </w:t>
      </w:r>
      <w:r>
        <w:br/>
      </w:r>
      <w:r>
        <w:rPr>
          <w:rStyle w:val="VerbatimChar"/>
        </w:rPr>
        <w:t xml:space="preserve">## rooms         96.1799    26.6606   3.608 0.000438 ***</w:t>
      </w:r>
      <w:r>
        <w:br/>
      </w:r>
      <w:r>
        <w:rPr>
          <w:rStyle w:val="VerbatimChar"/>
        </w:rPr>
        <w:t xml:space="preserve">## epcc        -138.5112    46.7317  -2.964 0.003609 ** </w:t>
      </w:r>
      <w:r>
        <w:br/>
      </w:r>
      <w:r>
        <w:rPr>
          <w:rStyle w:val="VerbatimChar"/>
        </w:rPr>
        <w:t xml:space="preserve">## epcd        -205.0530    50.7821  -4.038 9.13e-05 ***</w:t>
      </w:r>
      <w:r>
        <w:br/>
      </w:r>
      <w:r>
        <w:rPr>
          <w:rStyle w:val="VerbatimChar"/>
        </w:rPr>
        <w:t xml:space="preserve">## epce        -147.2898    63.1653  -2.332 0.021236 *  </w:t>
      </w:r>
      <w:r>
        <w:br/>
      </w:r>
      <w:r>
        <w:rPr>
          <w:rStyle w:val="VerbatimChar"/>
        </w:rPr>
        <w:t xml:space="preserve">## epcg        -166.7224   106.8668  -1.560 0.121150    </w:t>
      </w:r>
      <w:r>
        <w:br/>
      </w:r>
      <w:r>
        <w:rPr>
          <w:rStyle w:val="VerbatimChar"/>
        </w:rPr>
        <w:t xml:space="preserve">## taxb          58.7017    46.4554   1.264 0.208613    </w:t>
      </w:r>
      <w:r>
        <w:br/>
      </w:r>
      <w:r>
        <w:rPr>
          <w:rStyle w:val="VerbatimChar"/>
        </w:rPr>
        <w:t xml:space="preserve">## taxc          72.6919    51.2836   1.417 0.158726    </w:t>
      </w:r>
      <w:r>
        <w:br/>
      </w:r>
      <w:r>
        <w:rPr>
          <w:rStyle w:val="VerbatimChar"/>
        </w:rPr>
        <w:t xml:space="preserve">## taxd          56.1083    48.3345   1.161 0.247820    </w:t>
      </w:r>
      <w:r>
        <w:br/>
      </w:r>
      <w:r>
        <w:rPr>
          <w:rStyle w:val="VerbatimChar"/>
        </w:rPr>
        <w:t xml:space="preserve">## taxe         275.7660    56.5645   4.875 3.09e-06 ***</w:t>
      </w:r>
      <w:r>
        <w:br/>
      </w:r>
      <w:r>
        <w:rPr>
          <w:rStyle w:val="VerbatimChar"/>
        </w:rPr>
        <w:t xml:space="preserve">## taxf         270.0039    74.2153   3.638 0.000394 ***</w:t>
      </w:r>
      <w:r>
        <w:br/>
      </w:r>
      <w:r>
        <w:rPr>
          <w:rStyle w:val="VerbatimChar"/>
        </w:rPr>
        <w:t xml:space="preserve">## taxg         294.1042   115.8032   2.540 0.012263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154.6 on 131 degrees of freedom</w:t>
      </w:r>
      <w:r>
        <w:br/>
      </w:r>
      <w:r>
        <w:rPr>
          <w:rStyle w:val="VerbatimChar"/>
        </w:rPr>
        <w:t xml:space="preserve">## Multiple R-squared:  0.798,  Adjusted R-squared:  0.7795 </w:t>
      </w:r>
      <w:r>
        <w:br/>
      </w:r>
      <w:r>
        <w:rPr>
          <w:rStyle w:val="VerbatimChar"/>
        </w:rPr>
        <w:t xml:space="preserve">## F-statistic: 43.12 on 12 and 131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sqmt</w:t>
      </w:r>
      <w:r>
        <w:t xml:space="preserve">; the model seems to be predicting that adding an extra 1 square meter to a property only increases the rent by about £2.34.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£117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`epc`</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$sqmt</w:t>
      </w:r>
    </w:p>
    <w:p>
      <w:pPr>
        <w:pStyle w:val="FirstParagraph"/>
      </w:pPr>
      <w:r>
        <w:drawing>
          <wp:inline>
            <wp:extent cx="4620126" cy="3696101"/>
            <wp:effectExtent b="0" l="0" r="0" t="0"/>
            <wp:docPr descr="" title="" id="44" name="Picture"/>
            <a:graphic>
              <a:graphicData uri="http://schemas.openxmlformats.org/drawingml/2006/picture">
                <pic:pic>
                  <pic:nvPicPr>
                    <pic:cNvPr descr="Workshop-7---LM-with-multiple-predictors_files/figure-docx/unnamed-chunk-18-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47" name="Picture"/>
            <a:graphic>
              <a:graphicData uri="http://schemas.openxmlformats.org/drawingml/2006/picture">
                <pic:pic>
                  <pic:nvPicPr>
                    <pic:cNvPr descr="Workshop-7---LM-with-multiple-predictors_files/figure-docx/unnamed-chunk-18-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0" name="Picture"/>
            <a:graphic>
              <a:graphicData uri="http://schemas.openxmlformats.org/drawingml/2006/picture">
                <pic:pic>
                  <pic:nvPicPr>
                    <pic:cNvPr descr="Workshop-7---LM-with-multiple-predictors_files/figure-docx/unnamed-chunk-18-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3" name="Picture"/>
            <a:graphic>
              <a:graphicData uri="http://schemas.openxmlformats.org/drawingml/2006/picture">
                <pic:pic>
                  <pic:nvPicPr>
                    <pic:cNvPr descr="Workshop-7---LM-with-multiple-predictors_files/figure-docx/unnamed-chunk-18-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w:t>
      </w:r>
      <w:r>
        <w:t xml:space="preserve"> </w:t>
      </w:r>
      <w:r>
        <w:rPr>
          <w:rStyle w:val="VerbatimChar"/>
        </w:rPr>
        <w:t xml:space="preserve">ggeffects</w:t>
      </w:r>
      <w:r>
        <w:t xml:space="preserve">, feel free to convert your categorical variables to</w:t>
      </w:r>
      <w:r>
        <w:t xml:space="preserve"> </w:t>
      </w:r>
      <w:r>
        <w:rPr>
          <w:rStyle w:val="VerbatimChar"/>
        </w:rPr>
        <w:t xml:space="preserve">factors</w:t>
      </w:r>
      <w:r>
        <w:t xml:space="preserve"> </w:t>
      </w:r>
      <w:r>
        <w:t xml:space="preserve">and rerun your analysis.</w:t>
      </w:r>
    </w:p>
    <w:bookmarkStart w:id="57" w:name="question-set-five"/>
    <w:p>
      <w:pPr>
        <w:pStyle w:val="Heading3"/>
      </w:pPr>
      <w:r>
        <w:t xml:space="preserve">Question Set Five</w:t>
      </w:r>
    </w:p>
    <w:p>
      <w:pPr>
        <w:numPr>
          <w:ilvl w:val="0"/>
          <w:numId w:val="1006"/>
        </w:numPr>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numPr>
          <w:ilvl w:val="0"/>
          <w:numId w:val="1006"/>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sqmt</w:t>
      </w:r>
      <w:r>
        <w:t xml:space="preserve"> </w:t>
      </w:r>
      <w:r>
        <w:t xml:space="preserve">be smaller than we’d expect?</w:t>
      </w:r>
    </w:p>
    <w:p>
      <w:pPr>
        <w:numPr>
          <w:ilvl w:val="0"/>
          <w:numId w:val="1006"/>
        </w:numPr>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Type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07"/>
        </w:numPr>
        <w:pStyle w:val="Compact"/>
      </w:pPr>
      <w:r>
        <w:t xml:space="preserve">Specify the Causal Relationships for the Response Variable:</w:t>
      </w:r>
    </w:p>
    <w:p>
      <w:pPr>
        <w:numPr>
          <w:ilvl w:val="0"/>
          <w:numId w:val="1008"/>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Sqmt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09"/>
        </w:numPr>
        <w:pStyle w:val="Compact"/>
      </w:pPr>
      <w:r>
        <w:t xml:space="preserve">Define the Relationships Between Variables:</w:t>
      </w:r>
    </w:p>
    <w:p>
      <w:pPr>
        <w:numPr>
          <w:ilvl w:val="0"/>
          <w:numId w:val="1010"/>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Sqmt</w:t>
      </w:r>
      <w:r>
        <w:t xml:space="preserve">, and so on for the other explanatory variables.</w:t>
      </w:r>
    </w:p>
    <w:p>
      <w:pPr>
        <w:numPr>
          <w:ilvl w:val="0"/>
          <w:numId w:val="1011"/>
        </w:numPr>
        <w:pStyle w:val="Compact"/>
      </w:pPr>
      <w:r>
        <w:t xml:space="preserve">Set Up the Response and Explanatory Variables:</w:t>
      </w:r>
    </w:p>
    <w:p>
      <w:pPr>
        <w:numPr>
          <w:ilvl w:val="0"/>
          <w:numId w:val="1012"/>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Sqmt</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library</w:t>
      </w:r>
      <w:r>
        <w:rPr>
          <w:rStyle w:val="NormalTok"/>
        </w:rPr>
        <w:t xml:space="preserve">(see)</w:t>
      </w:r>
    </w:p>
    <w:p>
      <w:pPr>
        <w:pStyle w:val="SourceCode"/>
      </w:pPr>
      <w:r>
        <w:rPr>
          <w:rStyle w:val="VerbatimChar"/>
        </w:rPr>
        <w:t xml:space="preserve">## Warning: package 'see' was built under R version 4.3.3</w:t>
      </w:r>
    </w:p>
    <w:p>
      <w:pPr>
        <w:pStyle w:val="SourceCode"/>
      </w:pP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"sqmt"</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orkshop-7---LM-with-multiple-predictors_files/figure-docx/unnamed-chunk-26-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sqmt</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sqmt</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sqmt</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sqmt</w:t>
      </w:r>
      <w:r>
        <w:t xml:space="preserve"> </w:t>
      </w:r>
      <w:r>
        <w:t xml:space="preserve">drives a lot of causal relationships in our DAG:</w:t>
      </w:r>
      <w:r>
        <w:t xml:space="preserve"> </w:t>
      </w:r>
      <w:r>
        <w:rPr>
          <w:rStyle w:val="VerbatimChar"/>
        </w:rPr>
        <w:t xml:space="preserve">sqmt</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sqmt</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sqmt</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sqmt</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sqmt</w:t>
      </w:r>
      <w:r>
        <w:t xml:space="preserve">. If we’ve increased the square meters of a property, and that results in an extra room, isn’t that part of how</w:t>
      </w:r>
      <w:r>
        <w:t xml:space="preserve"> </w:t>
      </w:r>
      <w:r>
        <w:rPr>
          <w:rStyle w:val="VerbatimChar"/>
        </w:rPr>
        <w:t xml:space="preserve">sqmt</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sqmt</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sqmt on price we would run the model price ~ sqmt.</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sqmt</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w:t>
      </w:r>
      <w:r>
        <w:br/>
      </w:r>
      <w:r>
        <w:rPr>
          <w:rStyle w:val="VerbatimChar"/>
        </w:rPr>
        <w:t xml:space="preserve">##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`sqmt`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sqmt</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sqmt</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orkshop-7---LM-with-multiple-predictors_files/figure-docx/unnamed-chunk-31-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-407.05  -68.75  -10.51   67.35  793.52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231.1144    31.7002   7.291 2.02e-11 ***</w:t>
      </w:r>
      <w:r>
        <w:br/>
      </w:r>
      <w:r>
        <w:rPr>
          <w:rStyle w:val="VerbatimChar"/>
        </w:rPr>
        <w:t xml:space="preserve">## sqmt          8.5205     0.4037  21.104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158 on 141 degrees of freedom</w:t>
      </w:r>
      <w:r>
        <w:br/>
      </w:r>
      <w:r>
        <w:rPr>
          <w:rStyle w:val="VerbatimChar"/>
        </w:rPr>
        <w:t xml:space="preserve">## Multiple R-squared:  0.7595, Adjusted R-squared:  0.7578 </w:t>
      </w:r>
      <w:r>
        <w:br/>
      </w:r>
      <w:r>
        <w:rPr>
          <w:rStyle w:val="VerbatimChar"/>
        </w:rPr>
        <w:t xml:space="preserve">## F-statistic: 445.4 on 1 and 141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sqmt),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sqmt),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_files/figure-docx/unnamed-chunk-3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£8.50. So long as we assume that our DAG is accurate (a potentially big assumption), this £8.50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£2.30. At the time, we noted that £2.30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2024-10-03T20:01:55Z</dcterms:created>
  <dcterms:modified xsi:type="dcterms:W3CDTF">2024-10-03T20:01:55Z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2024-10-03</vt:lpwstr>
  </property>
  <property fmtid="{D5CDD505-2E9C-101B-9397-08002B2CF9AE}" pid="3" name="output">
    <vt:lpwstr/>
  </property>
</Properties>
</file>