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GLMs</w:t>
      </w:r>
      <w:r>
        <w:t xml:space="preserve"> </w:t>
      </w:r>
      <w:r>
        <w:t xml:space="preserve">-</w:t>
      </w:r>
      <w:r>
        <w:t xml:space="preserve"> </w:t>
      </w:r>
      <w:r>
        <w:t xml:space="preserve">Study</w:t>
      </w:r>
      <w:r>
        <w:t xml:space="preserve"> </w:t>
      </w:r>
      <w:r>
        <w:t xml:space="preserve">Notes</w:t>
      </w:r>
    </w:p>
    <w:p>
      <w:pPr>
        <w:pStyle w:val="Author"/>
      </w:pPr>
      <w:r>
        <w:t xml:space="preserve">Michelle</w:t>
      </w:r>
      <w:r>
        <w:t xml:space="preserve"> </w:t>
      </w:r>
      <w:r>
        <w:t xml:space="preserve">Pinard</w:t>
      </w:r>
      <w:r>
        <w:t xml:space="preserve"> </w:t>
      </w:r>
      <w:r>
        <w:t xml:space="preserve">&amp;</w:t>
      </w:r>
      <w:r>
        <w:t xml:space="preserve"> </w:t>
      </w:r>
      <w:r>
        <w:t xml:space="preserve">Deon</w:t>
      </w:r>
      <w:r>
        <w:t xml:space="preserve"> </w:t>
      </w:r>
      <w:r>
        <w:t xml:space="preserve">Roos</w:t>
      </w:r>
    </w:p>
    <w:p>
      <w:pPr>
        <w:pStyle w:val="Date"/>
      </w:pPr>
      <w:r>
        <w:t xml:space="preserve">Last</w:t>
      </w:r>
      <w:r>
        <w:t xml:space="preserve"> </w:t>
      </w:r>
      <w:r>
        <w:t xml:space="preserve">updated:</w:t>
      </w:r>
      <w:r>
        <w:t xml:space="preserve"> </w:t>
      </w:r>
      <w:r>
        <w:t xml:space="preserve">2025-09-04</w:t>
      </w:r>
    </w:p>
    <w:bookmarkStart w:id="20" w:name="purpose"/>
    <w:p>
      <w:pPr>
        <w:pStyle w:val="Heading1"/>
      </w:pPr>
      <w:r>
        <w:t xml:space="preserve">Purpose</w:t>
      </w:r>
    </w:p>
    <w:p>
      <w:pPr>
        <w:pStyle w:val="FirstParagraph"/>
      </w:pPr>
      <w:r>
        <w:t xml:space="preserve">GLMs extend linear models to responses that are not well described by</w:t>
      </w:r>
      <w:r>
        <w:t xml:space="preserve"> </w:t>
      </w:r>
      <m:oMath>
        <m:r>
          <m:t>N</m:t>
        </m:r>
        <m:r>
          <m:t>o</m:t>
        </m:r>
        <m:r>
          <m:t>r</m:t>
        </m:r>
        <m:r>
          <m:t>m</m:t>
        </m:r>
        <m:r>
          <m:t>a</m:t>
        </m:r>
        <m:r>
          <m:t>l</m:t>
        </m:r>
      </m:oMath>
      <w:r>
        <w:t xml:space="preserve"> </w:t>
      </w:r>
      <w:r>
        <w:t xml:space="preserve">distributions. For counts, we can use a Poisson generalised linear model (GLM) with a log link.</w:t>
      </w:r>
    </w:p>
    <w:bookmarkEnd w:id="20"/>
    <w:bookmarkStart w:id="21" w:name="model-essentials-for-counts"/>
    <w:p>
      <w:pPr>
        <w:pStyle w:val="Heading1"/>
      </w:pPr>
      <w:r>
        <w:t xml:space="preserve">Model essentials for counts</w:t>
      </w:r>
    </w:p>
    <w:p>
      <w:pPr>
        <w:pStyle w:val="FirstParagraph"/>
      </w:pPr>
      <w:r>
        <w:t xml:space="preserve">Counts are nonnegative integers. The Poisson GLM assumes</w:t>
      </w:r>
      <w:r>
        <w:t xml:space="preserve"> </w:t>
      </w:r>
      <m:oMath>
        <m:sSub>
          <m:e>
            <m:r>
              <m:t>y</m:t>
            </m:r>
          </m:e>
          <m:sub>
            <m:r>
              <m:t>i</m:t>
            </m:r>
          </m:sub>
        </m:sSub>
      </m:oMath>
      <w:r>
        <w:t xml:space="preserve"> </w:t>
      </w:r>
      <w:r>
        <w:t xml:space="preserve">follows a</w:t>
      </w:r>
      <w:r>
        <w:t xml:space="preserve"> </w:t>
      </w:r>
      <m:oMath>
        <m:r>
          <m:t>P</m:t>
        </m:r>
        <m:r>
          <m:t>o</m:t>
        </m:r>
        <m:r>
          <m:t>i</m:t>
        </m:r>
        <m:r>
          <m:t>s</m:t>
        </m:r>
        <m:r>
          <m:t>s</m:t>
        </m:r>
        <m:r>
          <m:t>o</m:t>
        </m:r>
        <m:r>
          <m:t>n</m:t>
        </m:r>
      </m:oMath>
      <w:r>
        <w:t xml:space="preserve"> </w:t>
      </w:r>
      <w:r>
        <w:t xml:space="preserve">distribution with rate</w:t>
      </w:r>
      <w:r>
        <w:t xml:space="preserve"> </w:t>
      </w:r>
      <m:oMath>
        <m:sSub>
          <m:e>
            <m:r>
              <m:t>λ</m:t>
            </m:r>
          </m:e>
          <m:sub>
            <m:r>
              <m:t>i</m:t>
            </m:r>
          </m:sub>
        </m:sSub>
      </m:oMath>
      <w:r>
        <w:t xml:space="preserve">, and uses a log link for the linear predictor. The link transforms the linear predictor, not the observed counts (</w:t>
      </w:r>
      <m:oMath>
        <m:r>
          <m:t>y</m:t>
        </m:r>
      </m:oMath>
      <w:r>
        <w:t xml:space="preserve">); predictions are made on the link scale and then back-transformed with the exponential for plotting and interpretation.</w:t>
      </w:r>
    </w:p>
    <w:p>
      <w:pPr>
        <w:pStyle w:val="BodyText"/>
      </w:pPr>
      <w:r>
        <w:t xml:space="preserve">A</w:t>
      </w:r>
      <w:r>
        <w:t xml:space="preserve"> </w:t>
      </w:r>
      <m:oMath>
        <m:r>
          <m:t>P</m:t>
        </m:r>
        <m:r>
          <m:t>o</m:t>
        </m:r>
        <m:r>
          <m:t>i</m:t>
        </m:r>
        <m:r>
          <m:t>s</m:t>
        </m:r>
        <m:r>
          <m:t>s</m:t>
        </m:r>
        <m:r>
          <m:t>o</m:t>
        </m:r>
        <m:r>
          <m:t>n</m:t>
        </m:r>
      </m:oMath>
      <w:r>
        <w:t xml:space="preserve"> </w:t>
      </w:r>
      <w:r>
        <w:t xml:space="preserve">GLM will generally have a form similar to:</w:t>
      </w:r>
    </w:p>
    <w:p>
      <w:pPr>
        <w:pStyle w:val="BodyText"/>
      </w:pPr>
      <m:oMath>
        <m:sSub>
          <m:e>
            <m:r>
              <m:t>y</m:t>
            </m:r>
          </m:e>
          <m:sub>
            <m:r>
              <m:t>i</m:t>
            </m:r>
          </m:sub>
        </m:sSub>
        <m:r>
          <m:rPr>
            <m:sty m:val="p"/>
          </m:rPr>
          <m:t>∼</m:t>
        </m:r>
        <m:r>
          <m:t>P</m:t>
        </m:r>
        <m:r>
          <m:t>o</m:t>
        </m:r>
        <m:r>
          <m:t>i</m:t>
        </m:r>
        <m:r>
          <m:t>s</m:t>
        </m:r>
        <m:r>
          <m:t>s</m:t>
        </m:r>
        <m:r>
          <m:t>o</m:t>
        </m:r>
        <m:r>
          <m:t>n</m:t>
        </m:r>
        <m:d>
          <m:dPr>
            <m:begChr m:val="("/>
            <m:endChr m:val=")"/>
            <m:sepChr m:val=""/>
            <m:grow/>
          </m:dPr>
          <m:e>
            <m:sSub>
              <m:e>
                <m:r>
                  <m:t>λ</m:t>
                </m:r>
              </m:e>
              <m:sub>
                <m:r>
                  <m:t>i</m:t>
                </m:r>
              </m:sub>
            </m:sSub>
          </m:e>
        </m:d>
      </m:oMath>
    </w:p>
    <w:p>
      <w:pPr>
        <w:pStyle w:val="BodyText"/>
      </w:pPr>
      <m:oMath>
        <m:r>
          <m:t>l</m:t>
        </m:r>
        <m:r>
          <m:t>o</m:t>
        </m:r>
        <m:r>
          <m:t>g</m:t>
        </m:r>
        <m:d>
          <m:dPr>
            <m:begChr m:val="("/>
            <m:endChr m:val=")"/>
            <m:sepChr m:val=""/>
            <m:grow/>
          </m:dPr>
          <m:e>
            <m:sSub>
              <m:e>
                <m:r>
                  <m:t>λ</m:t>
                </m:r>
              </m:e>
              <m:sub>
                <m:r>
                  <m:t>i</m:t>
                </m:r>
              </m:sub>
            </m:sSub>
          </m:e>
        </m:d>
        <m:r>
          <m:rPr>
            <m:sty m:val="p"/>
          </m:rPr>
          <m:t>=</m:t>
        </m:r>
        <m:sSub>
          <m:e>
            <m:r>
              <m:t>β</m:t>
            </m:r>
          </m:e>
          <m:sub>
            <m:r>
              <m:t>0</m:t>
            </m:r>
          </m:sub>
        </m:sSub>
        <m:r>
          <m:rPr>
            <m:sty m:val="p"/>
          </m:rPr>
          <m:t>+</m:t>
        </m:r>
        <m:sSub>
          <m:e>
            <m:r>
              <m:t>β</m:t>
            </m:r>
          </m:e>
          <m:sub>
            <m:r>
              <m:t>1</m:t>
            </m:r>
          </m:sub>
        </m:sSub>
        <m:r>
          <m:rPr>
            <m:sty m:val="p"/>
          </m:rPr>
          <m:t>×</m:t>
        </m:r>
        <m:sSub>
          <m:e>
            <m:r>
              <m:t>x</m:t>
            </m:r>
          </m:e>
          <m:sub>
            <m:r>
              <m:t>i</m:t>
            </m:r>
          </m:sub>
        </m:sSub>
      </m:oMath>
    </w:p>
    <w:p>
      <w:pPr>
        <w:pStyle w:val="BodyText"/>
      </w:pPr>
      <w:r>
        <w:t xml:space="preserve">though</w:t>
      </w:r>
      <w:r>
        <w:t xml:space="preserve"> </w:t>
      </w:r>
      <m:oMath>
        <m:r>
          <m:t>l</m:t>
        </m:r>
        <m:r>
          <m:t>o</m:t>
        </m:r>
        <m:r>
          <m:t>g</m:t>
        </m:r>
        <m:d>
          <m:dPr>
            <m:begChr m:val="("/>
            <m:endChr m:val=")"/>
            <m:sepChr m:val=""/>
            <m:grow/>
          </m:dPr>
          <m:e>
            <m:sSub>
              <m:e>
                <m:r>
                  <m:t>λ</m:t>
                </m:r>
              </m:e>
              <m:sub>
                <m:r>
                  <m:t>i</m:t>
                </m:r>
              </m:sub>
            </m:sSub>
          </m:e>
        </m:d>
        <m:r>
          <m:rPr>
            <m:sty m:val="p"/>
          </m:rPr>
          <m:t>=</m:t>
        </m:r>
        <m:r>
          <m:rPr>
            <m:sty m:val="p"/>
          </m:rPr>
          <m:t>⋯</m:t>
        </m:r>
      </m:oMath>
      <w:r>
        <w:t xml:space="preserve"> </w:t>
      </w:r>
      <w:r>
        <w:t xml:space="preserve">can be adapted just as with linear models (e.g. including categories and/or continuous explanatory variables).</w:t>
      </w:r>
    </w:p>
    <w:bookmarkEnd w:id="21"/>
    <w:bookmarkStart w:id="22" w:name="diagnosing-poisson-glms"/>
    <w:p>
      <w:pPr>
        <w:pStyle w:val="Heading1"/>
      </w:pPr>
      <w:r>
        <w:t xml:space="preserve">Diagnosing Poisson GLMs</w:t>
      </w:r>
    </w:p>
    <w:p>
      <w:pPr>
        <w:pStyle w:val="FirstParagraph"/>
      </w:pPr>
      <w:r>
        <w:t xml:space="preserve">Use the standard 2×2 diagnostic plots after fitting.</w:t>
      </w:r>
    </w:p>
    <w:p>
      <w:pPr>
        <w:numPr>
          <w:ilvl w:val="0"/>
          <w:numId w:val="1001"/>
        </w:numPr>
      </w:pPr>
      <w:r>
        <w:t xml:space="preserve">Residuals vs Fitted and Scale Location plots can be use to check for non-linearity, equal variance of errors</w:t>
      </w:r>
      <w:r>
        <w:t xml:space="preserve"> </w:t>
      </w:r>
      <w:r>
        <w:rPr>
          <w:iCs/>
          <w:i/>
        </w:rPr>
        <w:t xml:space="preserve">and dispersion</w:t>
      </w:r>
      <w:r>
        <w:t xml:space="preserve">. Dispersion is relevant to some, but not all, GLMs.</w:t>
      </w:r>
    </w:p>
    <w:p>
      <w:pPr>
        <w:numPr>
          <w:ilvl w:val="0"/>
          <w:numId w:val="1001"/>
        </w:numPr>
      </w:pPr>
      <w:r>
        <w:t xml:space="preserve">The Q-Q has very limited use, so can be largely ignored.</w:t>
      </w:r>
    </w:p>
    <w:p>
      <w:pPr>
        <w:numPr>
          <w:ilvl w:val="0"/>
          <w:numId w:val="1001"/>
        </w:numPr>
      </w:pPr>
      <w:r>
        <w:t xml:space="preserve">Dispersion can sometimes be resolved by including variables that were originally omitted from the model.</w:t>
      </w:r>
    </w:p>
    <w:bookmarkEnd w:id="22"/>
    <w:bookmarkStart w:id="23" w:name="interpreting-and-presenting-results"/>
    <w:p>
      <w:pPr>
        <w:pStyle w:val="Heading1"/>
      </w:pPr>
      <w:r>
        <w:t xml:space="preserve">Interpreting and presenting results</w:t>
      </w:r>
    </w:p>
    <w:p>
      <w:pPr>
        <w:pStyle w:val="FirstParagraph"/>
      </w:pPr>
      <w:r>
        <w:t xml:space="preserve">On the link scale, the intercept and slopes can be read directly from summary output. For communication, predictions are shown on the response scale by exponentiating fitted values. In the seabird lecture example, adding species as a fixed effect alongside distance produces a clearer summary and improved diagnostics; full predictions are then shown to answer the original question.</w:t>
      </w:r>
    </w:p>
    <w:bookmarkEnd w:id="23"/>
    <w:bookmarkStart w:id="24" w:name="key-takeaways"/>
    <w:p>
      <w:pPr>
        <w:pStyle w:val="Heading1"/>
      </w:pPr>
      <w:r>
        <w:t xml:space="preserve">Key takeaways</w:t>
      </w:r>
    </w:p>
    <w:p>
      <w:pPr>
        <w:pStyle w:val="FirstParagraph"/>
      </w:pPr>
      <w:r>
        <w:t xml:space="preserve">Pick a distribution that matches the response, use the appropriate link, diagnose after every refit, and present fitted relationships in the scale that answers the question (here, expected counts for</w:t>
      </w:r>
      <w:r>
        <w:t xml:space="preserve"> </w:t>
      </w:r>
      <m:oMath>
        <m:r>
          <m:t>P</m:t>
        </m:r>
        <m:r>
          <m:t>o</m:t>
        </m:r>
        <m:r>
          <m:t>i</m:t>
        </m:r>
        <m:r>
          <m:t>s</m:t>
        </m:r>
        <m:r>
          <m:t>s</m:t>
        </m:r>
        <m:r>
          <m:t>o</m:t>
        </m:r>
        <m:r>
          <m:t>n</m:t>
        </m:r>
      </m:oMath>
      <w:r>
        <w:t xml:space="preserve">).</w:t>
      </w:r>
    </w:p>
    <w:bookmarkEnd w:id="24"/>
    <w:bookmarkStart w:id="25" w:name="useful-code"/>
    <w:p>
      <w:pPr>
        <w:pStyle w:val="Heading1"/>
      </w:pPr>
      <w:r>
        <w:t xml:space="preserve">Useful code</w:t>
      </w:r>
    </w:p>
    <w:p>
      <w:pPr>
        <w:pStyle w:val="SourceCode"/>
      </w:pPr>
      <w:r>
        <w:rPr>
          <w:rStyle w:val="CommentTok"/>
        </w:rPr>
        <w:t xml:space="preserve"># Fit a Poisson GLM</w:t>
      </w:r>
      <w:r>
        <w:br/>
      </w:r>
      <w:r>
        <w:rPr>
          <w:rStyle w:val="NormalTok"/>
        </w:rPr>
        <w:t xml:space="preserve">species_mod  </w:t>
      </w:r>
      <w:r>
        <w:rPr>
          <w:rStyle w:val="OtherTok"/>
        </w:rPr>
        <w:t xml:space="preserve">&lt;-</w:t>
      </w:r>
      <w:r>
        <w:rPr>
          <w:rStyle w:val="NormalTok"/>
        </w:rPr>
        <w:t xml:space="preserve"> </w:t>
      </w:r>
      <w:r>
        <w:rPr>
          <w:rStyle w:val="FunctionTok"/>
        </w:rPr>
        <w:t xml:space="preserve">glm</w:t>
      </w:r>
      <w:r>
        <w:rPr>
          <w:rStyle w:val="NormalTok"/>
        </w:rPr>
        <w:t xml:space="preserve">(Species </w:t>
      </w:r>
      <w:r>
        <w:rPr>
          <w:rStyle w:val="SpecialCharTok"/>
        </w:rPr>
        <w:t xml:space="preserve">~</w:t>
      </w:r>
      <w:r>
        <w:rPr>
          <w:rStyle w:val="NormalTok"/>
        </w:rPr>
        <w:t xml:space="preserve"> Biomass,</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data =</w:t>
      </w:r>
      <w:r>
        <w:rPr>
          <w:rStyle w:val="NormalTok"/>
        </w:rPr>
        <w:t xml:space="preserve"> species)</w:t>
      </w:r>
      <w:r>
        <w:br/>
      </w:r>
      <w:r>
        <w:br/>
      </w:r>
      <w:r>
        <w:rPr>
          <w:rStyle w:val="CommentTok"/>
        </w:rPr>
        <w:t xml:space="preserve"># Backtransform out of log link function by exponentiating predictions</w:t>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Biomass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(species</w:t>
      </w:r>
      <w:r>
        <w:rPr>
          <w:rStyle w:val="SpecialCharTok"/>
        </w:rPr>
        <w:t xml:space="preserve">$</w:t>
      </w:r>
      <w:r>
        <w:rPr>
          <w:rStyle w:val="NormalTok"/>
        </w:rPr>
        <w:t xml:space="preserve">Biomass),</w:t>
      </w:r>
      <w:r>
        <w:br/>
      </w:r>
      <w:r>
        <w:rPr>
          <w:rStyle w:val="NormalTok"/>
        </w:rPr>
        <w:t xml:space="preserve">                                 </w:t>
      </w:r>
      <w:r>
        <w:rPr>
          <w:rStyle w:val="FunctionTok"/>
        </w:rPr>
        <w:t xml:space="preserve">max</w:t>
      </w:r>
      <w:r>
        <w:rPr>
          <w:rStyle w:val="NormalTok"/>
        </w:rPr>
        <w:t xml:space="preserve">(species</w:t>
      </w:r>
      <w:r>
        <w:rPr>
          <w:rStyle w:val="SpecialCharTok"/>
        </w:rPr>
        <w:t xml:space="preserve">$</w:t>
      </w:r>
      <w:r>
        <w:rPr>
          <w:rStyle w:val="NormalTok"/>
        </w:rPr>
        <w:t xml:space="preserve">Biomass),</w:t>
      </w:r>
      <w:r>
        <w:br/>
      </w:r>
      <w:r>
        <w:rPr>
          <w:rStyle w:val="NormalTok"/>
        </w:rPr>
        <w:t xml:space="preserve">                                 </w:t>
      </w:r>
      <w:r>
        <w:rPr>
          <w:rStyle w:val="AttributeTok"/>
        </w:rPr>
        <w:t xml:space="preserve">length.out =</w:t>
      </w:r>
      <w:r>
        <w:rPr>
          <w:rStyle w:val="NormalTok"/>
        </w:rPr>
        <w:t xml:space="preserve"> </w:t>
      </w:r>
      <w:r>
        <w:rPr>
          <w:rStyle w:val="DecValTok"/>
        </w:rPr>
        <w:t xml:space="preserve">20</w:t>
      </w:r>
      <w:r>
        <w:rPr>
          <w:rStyle w:val="NormalTok"/>
        </w:rPr>
        <w:t xml:space="preserve">))</w:t>
      </w:r>
      <w:r>
        <w:br/>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(species_mod,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w:t>
      </w:r>
      <w:r>
        <w:rPr>
          <w:rStyle w:val="FunctionTok"/>
        </w:rPr>
        <w:t xml:space="preserve">exp</w:t>
      </w:r>
      <w:r>
        <w:rPr>
          <w:rStyle w:val="NormalTok"/>
        </w:rPr>
        <w:t xml:space="preserve">(preds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GLMs - Study Notes</dc:title>
  <dc:creator>Michelle Pinard &amp; Deon Roos</dc:creator>
  <cp:keywords/>
  <dcterms:created xsi:type="dcterms:W3CDTF">2025-09-04T15:38:35Z</dcterms:created>
  <dcterms:modified xsi:type="dcterms:W3CDTF">2025-09-04T15:38:35Z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2025-09-04</vt:lpwstr>
  </property>
  <property fmtid="{D5CDD505-2E9C-101B-9397-08002B2CF9AE}" pid="3" name="output">
    <vt:lpwstr/>
  </property>
  <property fmtid="{D5CDD505-2E9C-101B-9397-08002B2CF9AE}" pid="4" name="reference_docx">
    <vt:lpwstr>../sbstemplate.docx</vt:lpwstr>
  </property>
</Properties>
</file>