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Linear</w:t>
      </w:r>
      <w:r>
        <w:t xml:space="preserve"> </w:t>
      </w:r>
      <w:r>
        <w:t xml:space="preserve">models</w:t>
      </w:r>
      <w:r>
        <w:t xml:space="preserve"> </w:t>
      </w:r>
      <w:r>
        <w:t xml:space="preserve">with</w:t>
      </w:r>
      <w:r>
        <w:t xml:space="preserve"> </w:t>
      </w:r>
      <w:r>
        <w:t xml:space="preserve">single</w:t>
      </w:r>
      <w:r>
        <w:t xml:space="preserve"> </w:t>
      </w:r>
      <w:r>
        <w:t xml:space="preserve">cagegorical</w:t>
      </w:r>
      <w:r>
        <w:t xml:space="preserve"> </w:t>
      </w:r>
      <w:r>
        <w:t xml:space="preserve">predictor</w:t>
      </w:r>
      <w:r>
        <w:t xml:space="preserve"> </w:t>
      </w:r>
      <w:r>
        <w:t xml:space="preserve">-</w:t>
      </w:r>
      <w:r>
        <w:t xml:space="preserve"> </w:t>
      </w:r>
      <w:r>
        <w:t xml:space="preserve">Study</w:t>
      </w:r>
      <w:r>
        <w:t xml:space="preserve"> </w:t>
      </w:r>
      <w:r>
        <w:t xml:space="preserve">Notes</w:t>
      </w:r>
    </w:p>
    <w:p>
      <w:pPr>
        <w:pStyle w:val="Author"/>
      </w:pPr>
      <w:r>
        <w:t xml:space="preserve">Michelle</w:t>
      </w:r>
      <w:r>
        <w:t xml:space="preserve"> </w:t>
      </w:r>
      <w:r>
        <w:t xml:space="preserve">Pinard</w:t>
      </w:r>
      <w:r>
        <w:t xml:space="preserve"> </w:t>
      </w:r>
      <w:r>
        <w:t xml:space="preserve">&amp;</w:t>
      </w:r>
      <w:r>
        <w:t xml:space="preserve"> </w:t>
      </w:r>
      <w:r>
        <w:t xml:space="preserve">Deon</w:t>
      </w:r>
      <w:r>
        <w:t xml:space="preserve"> </w:t>
      </w:r>
      <w:r>
        <w:t xml:space="preserve">Roos</w:t>
      </w:r>
    </w:p>
    <w:p>
      <w:pPr>
        <w:pStyle w:val="Date"/>
      </w:pPr>
      <w:r>
        <w:t xml:space="preserve">Last</w:t>
      </w:r>
      <w:r>
        <w:t xml:space="preserve"> </w:t>
      </w:r>
      <w:r>
        <w:t xml:space="preserve">updated:</w:t>
      </w:r>
      <w:r>
        <w:t xml:space="preserve"> </w:t>
      </w:r>
      <w:r>
        <w:t xml:space="preserve">2025-09-04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When the explanatory variable defines groups, we model differences in group means rather than a straight-line trend. The model answers whether average outcomes differ between groups and by how much.</w:t>
      </w:r>
    </w:p>
    <w:bookmarkEnd w:id="20"/>
    <w:bookmarkStart w:id="21" w:name="how-to-read-the-model"/>
    <w:p>
      <w:pPr>
        <w:pStyle w:val="Heading1"/>
      </w:pPr>
      <w:r>
        <w:t xml:space="preserve">How to read the model</w:t>
      </w:r>
    </w:p>
    <w:p>
      <w:pPr>
        <w:pStyle w:val="FirstParagraph"/>
      </w:pPr>
      <w:r>
        <w:t xml:space="preserve">Linear models with a categorical predictor estimate a reference-group mean (the intercept) and one contrast per additional group. Each contrast is the mean difference relative to the reference. Report both the estimate and its uncertainty.</w:t>
      </w:r>
    </w:p>
    <w:bookmarkEnd w:id="21"/>
    <w:bookmarkStart w:id="22" w:name="how-a-categorical-predictor-is-encoded"/>
    <w:p>
      <w:pPr>
        <w:pStyle w:val="Heading1"/>
      </w:pPr>
      <w:r>
        <w:t xml:space="preserve">How a categorical predictor is encoded</w:t>
      </w:r>
    </w:p>
    <w:p>
      <w:pPr>
        <w:pStyle w:val="FirstParagraph"/>
      </w:pPr>
      <w:r>
        <w:t xml:space="preserve">For the model</w:t>
      </w:r>
      <w:r>
        <w:t xml:space="preserve"> </w:t>
      </w:r>
      <w:r>
        <w:rPr>
          <w:rStyle w:val="VerbatimChar"/>
        </w:rPr>
        <w:t xml:space="preserve">lm(y ~ group, data = df)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df$group</w:t>
      </w:r>
      <w:r>
        <w:t xml:space="preserve"> </w:t>
      </w:r>
      <w:r>
        <w:t xml:space="preserve">has the levels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will be taken as the reference group, and become the intercept, since it appears first alphanumerically. For group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</w:t>
      </w:r>
      <w:r>
        <w:t xml:space="preserve">, two</w:t>
      </w:r>
      <w:r>
        <w:t xml:space="preserve"> </w:t>
      </w:r>
      <w:r>
        <w:t xml:space="preserve">“</w:t>
      </w:r>
      <w:r>
        <w:t xml:space="preserve">temporary columns</w:t>
      </w:r>
      <w:r>
        <w:t xml:space="preserve">”</w:t>
      </w:r>
      <w:r>
        <w:t xml:space="preserve"> </w:t>
      </w:r>
      <w:r>
        <w:t xml:space="preserve">are added to the dataset, whereby a value of 1 is given if it belongs to that specific group. We do not need a</w:t>
      </w:r>
      <w:r>
        <w:t xml:space="preserve"> </w:t>
      </w:r>
      <w:r>
        <w:t xml:space="preserve">“</w:t>
      </w:r>
      <w:r>
        <w:t xml:space="preserve">temporary column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because it is the intercept (i.e. if we know an observation is not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</w:t>
      </w:r>
      <w:r>
        <w:t xml:space="preserve">, then it must be</w:t>
      </w:r>
      <w:r>
        <w:t xml:space="preserve"> </w:t>
      </w:r>
      <w:r>
        <w:rPr>
          <w:rStyle w:val="VerbatimChar"/>
        </w:rPr>
        <w:t xml:space="preserve">A</w:t>
      </w:r>
      <w:r>
        <w:t xml:space="preserve">).</w:t>
      </w:r>
    </w:p>
    <w:p>
      <w:pPr>
        <w:pStyle w:val="BodyText"/>
      </w:pPr>
      <w:r>
        <w:t xml:space="preserve">Here’s what it looks like for a simple example: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This allows us to use the following model:</w:t>
      </w:r>
    </w:p>
    <w:p>
      <w:pPr>
        <w:pStyle w:val="BodyText"/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t>N</m:t>
        </m:r>
        <m:r>
          <m:t>o</m:t>
        </m:r>
        <m:r>
          <m:t>r</m:t>
        </m:r>
        <m:r>
          <m:t>m</m:t>
        </m:r>
        <m:r>
          <m:t>a</m:t>
        </m:r>
        <m:r>
          <m:t>l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σ</m:t>
            </m:r>
          </m:e>
        </m:d>
      </m:oMath>
    </w:p>
    <w:p>
      <w:pPr>
        <w:pStyle w:val="BodyText"/>
      </w:pP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sSub>
          <m:e>
            <m:r>
              <m:t>C</m:t>
            </m:r>
          </m:e>
          <m:sub>
            <m:r>
              <m:t>i</m:t>
            </m:r>
          </m:sub>
        </m:sSub>
      </m:oMath>
    </w:p>
    <w:p>
      <w:pPr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intercept, or average for group</w:t>
      </w:r>
      <w:r>
        <w:t xml:space="preserve"> </w:t>
      </w:r>
      <w:r>
        <w:rPr>
          <w:rStyle w:val="VerbatimChar"/>
        </w:rPr>
        <w:t xml:space="preserve">A</w:t>
      </w:r>
    </w:p>
    <w:p>
      <w:pPr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difference between group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 group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and is multiplied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which is now either 1 or 0 (</w:t>
      </w:r>
      <w:r>
        <w:t xml:space="preserve">“</w:t>
      </w:r>
      <w:r>
        <w:t xml:space="preserve">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off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difference between group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 group</w:t>
      </w:r>
      <w:r>
        <w:t xml:space="preserve"> </w:t>
      </w:r>
      <w:r>
        <w:rPr>
          <w:rStyle w:val="VerbatimChar"/>
        </w:rPr>
        <w:t xml:space="preserve">C</w:t>
      </w:r>
      <w:r>
        <w:t xml:space="preserve">, and is multiplied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which is either 1 or 0 (</w:t>
      </w:r>
      <w:r>
        <w:t xml:space="preserve">“</w:t>
      </w:r>
      <w:r>
        <w:t xml:space="preserve">on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off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Doing so allows us to include a category into the model.</w:t>
      </w:r>
    </w:p>
    <w:bookmarkEnd w:id="22"/>
    <w:bookmarkStart w:id="23" w:name="uncertainty-to-report"/>
    <w:p>
      <w:pPr>
        <w:pStyle w:val="Heading1"/>
      </w:pPr>
      <w:r>
        <w:t xml:space="preserve">Uncertainty to report</w:t>
      </w:r>
    </w:p>
    <w:p>
      <w:pPr>
        <w:pStyle w:val="FirstParagraph"/>
      </w:pPr>
      <w:r>
        <w:t xml:space="preserve">95% confidence intervals (CI) are a means to convey uncertainty around estimates. Before fitting, the CI</w:t>
      </w:r>
      <w:r>
        <w:t xml:space="preserve"> </w:t>
      </w:r>
      <w:r>
        <w:rPr>
          <w:iCs/>
          <w:i/>
        </w:rPr>
        <w:t xml:space="preserve">procedure</w:t>
      </w:r>
      <w:r>
        <w:t xml:space="preserve"> </w:t>
      </w:r>
      <w:r>
        <w:t xml:space="preserve">has a 95% chance to</w:t>
      </w:r>
      <w:r>
        <w:t xml:space="preserve"> </w:t>
      </w:r>
      <w:r>
        <w:t xml:space="preserve">“</w:t>
      </w:r>
      <w:r>
        <w:t xml:space="preserve">hit the target</w:t>
      </w:r>
      <w:r>
        <w:t xml:space="preserve">”</w:t>
      </w:r>
      <w:r>
        <w:t xml:space="preserve"> </w:t>
      </w:r>
      <w:r>
        <w:t xml:space="preserve">(i.e. hit the true value) but after fitting, the interval either covers the true value or not.</w:t>
      </w:r>
    </w:p>
    <w:p>
      <w:pPr>
        <w:pStyle w:val="BodyText"/>
      </w:pPr>
      <w:r>
        <w:t xml:space="preserve">When interpreting, consider the point estimate and its CI together. Avoid treating</w:t>
      </w:r>
      <w:r>
        <w:t xml:space="preserve"> </w:t>
      </w:r>
      <w:r>
        <w:t xml:space="preserve">“</w:t>
      </w:r>
      <w:r>
        <w:t xml:space="preserve">significance</w:t>
      </w:r>
      <w:r>
        <w:t xml:space="preserve">”</w:t>
      </w:r>
      <w:r>
        <w:t xml:space="preserve"> </w:t>
      </w:r>
      <w:r>
        <w:t xml:space="preserve">as the only decision rule.</w:t>
      </w:r>
    </w:p>
    <w:p>
      <w:pPr>
        <w:pStyle w:val="BodyText"/>
      </w:pPr>
      <w:r>
        <w:t xml:space="preserve">CI can be calculated using estimated standard errors for each parameter multiplied by 1.96 (a critical value) and either subtracted or added to the parameter estimate.</w:t>
      </w:r>
    </w:p>
    <w:bookmarkEnd w:id="23"/>
    <w:bookmarkStart w:id="24" w:name="workflow-carried-across"/>
    <w:p>
      <w:pPr>
        <w:pStyle w:val="Heading1"/>
      </w:pPr>
      <w:r>
        <w:t xml:space="preserve">Workflow carried across</w:t>
      </w:r>
    </w:p>
    <w:p>
      <w:pPr>
        <w:pStyle w:val="FirstParagraph"/>
      </w:pPr>
      <w:r>
        <w:t xml:space="preserve">Keep the usual sequence: formulate a question, do quick EDA, note hidden assumptions, fit the model, diagnose (not done in these Study Notes but the next), summarise, then interpret with the stated caveats.</w:t>
      </w:r>
    </w:p>
    <w:p>
      <w:pPr>
        <w:pStyle w:val="BodyText"/>
      </w:pPr>
      <w:r>
        <w:t xml:space="preserve">Hidden assumptions include validity and representativeness, which are not checked by residual plots and must be discussed explicitly.</w:t>
      </w:r>
    </w:p>
    <w:bookmarkEnd w:id="24"/>
    <w:bookmarkStart w:id="25" w:name="using-categories-wisely"/>
    <w:p>
      <w:pPr>
        <w:pStyle w:val="Heading1"/>
      </w:pPr>
      <w:r>
        <w:t xml:space="preserve">Using categories wisely</w:t>
      </w:r>
    </w:p>
    <w:p>
      <w:pPr>
        <w:pStyle w:val="FirstParagraph"/>
      </w:pPr>
      <w:r>
        <w:t xml:space="preserve">Categorising a continuous variable multiplies the number of parameters needed to fit the model and can massively reduce efficiency. Sometimes categories are practical or appropriate but most of the time a continuous measurement is more informative.</w:t>
      </w:r>
    </w:p>
    <w:bookmarkEnd w:id="25"/>
    <w:bookmarkStart w:id="26" w:name="useful-code-examples"/>
    <w:p>
      <w:pPr>
        <w:pStyle w:val="Heading1"/>
      </w:pPr>
      <w:r>
        <w:t xml:space="preserve">Useful code examples</w:t>
      </w:r>
    </w:p>
    <w:p>
      <w:pPr>
        <w:pStyle w:val="SourceCode"/>
      </w:pPr>
      <w:r>
        <w:rPr>
          <w:rStyle w:val="CommentTok"/>
        </w:rPr>
        <w:t xml:space="preserve"># Fitting the model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d)</w:t>
      </w:r>
      <w:r>
        <w:br/>
      </w:r>
      <w:r>
        <w:rPr>
          <w:rStyle w:val="CommentTok"/>
        </w:rPr>
        <w:t xml:space="preserve"># Get summary of model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(m)</w:t>
      </w:r>
      <w:r>
        <w:br/>
      </w:r>
      <w:r>
        <w:br/>
      </w:r>
      <w:r>
        <w:rPr>
          <w:rStyle w:val="CommentTok"/>
        </w:rPr>
        <w:t xml:space="preserve"># Generate predictions to show relationship</w:t>
      </w:r>
      <w:r>
        <w:br/>
      </w:r>
      <w:r>
        <w:rPr>
          <w:rStyle w:val="NormalTok"/>
        </w:rPr>
        <w:t xml:space="preserve">fake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group))</w:t>
      </w:r>
      <w:r>
        <w:br/>
      </w:r>
      <w:r>
        <w:rPr>
          <w:rStyle w:val="NormalTok"/>
        </w:rPr>
        <w:t xml:space="preserve">pr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fake, </w:t>
      </w:r>
      <w:r>
        <w:rPr>
          <w:rStyle w:val="AttributeTok"/>
        </w:rPr>
        <w:t xml:space="preserve">se.fit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95% CI</w:t>
      </w:r>
      <w:r>
        <w:br/>
      </w:r>
      <w:r>
        <w:rPr>
          <w:rStyle w:val="NormalTok"/>
        </w:rPr>
        <w:t xml:space="preserve">fake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</w:t>
      </w:r>
      <w:r>
        <w:br/>
      </w:r>
      <w:r>
        <w:rPr>
          <w:rStyle w:val="NormalTok"/>
        </w:rPr>
        <w:t xml:space="preserve">fake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</w:t>
      </w:r>
      <w:r>
        <w:br/>
      </w:r>
      <w:r>
        <w:rPr>
          <w:rStyle w:val="NormalTok"/>
        </w:rPr>
        <w:t xml:space="preserve">fake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se.fit</w:t>
      </w:r>
      <w:r>
        <w:br/>
      </w:r>
      <w:r>
        <w:br/>
      </w:r>
      <w:r>
        <w:rPr>
          <w:rStyle w:val="CommentTok"/>
        </w:rPr>
        <w:t xml:space="preserve"># Plot relationship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(fake,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(group, fit))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Alterantively, use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(ggeffects)</w:t>
      </w:r>
      <w:r>
        <w:br/>
      </w:r>
      <w:r>
        <w:rPr>
          <w:rStyle w:val="NormalTok"/>
        </w:rPr>
        <w:t xml:space="preserve">preds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ggpredict</w:t>
      </w:r>
      <w:r>
        <w:rPr>
          <w:rStyle w:val="NormalTok"/>
        </w:rPr>
        <w:t xml:space="preserve">(m)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(preds)</w:t>
      </w:r>
      <w:r>
        <w:br/>
      </w:r>
      <w:r>
        <w:br/>
      </w:r>
      <w:r>
        <w:rPr>
          <w:rStyle w:val="CommentTok"/>
        </w:rPr>
        <w:t xml:space="preserve"># To change a character to a factor</w:t>
      </w:r>
      <w:r>
        <w:br/>
      </w: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group)</w:t>
      </w:r>
      <w:r>
        <w:br/>
      </w:r>
      <w:r>
        <w:br/>
      </w:r>
      <w:r>
        <w:rPr>
          <w:rStyle w:val="CommentTok"/>
        </w:rPr>
        <w:t xml:space="preserve"># To set the reference level of a category:</w:t>
      </w:r>
      <w:r>
        <w:br/>
      </w: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NormalTok"/>
        </w:rPr>
        <w:t xml:space="preserve">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relevel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group, </w:t>
      </w:r>
      <w:r>
        <w:rPr>
          <w:rStyle w:val="AttributeTok"/>
        </w:rPr>
        <w:t xml:space="preserve">ref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</w:p>
    <w:bookmarkEnd w:id="26"/>
    <w:sectPr w:rsidR="008F069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F92504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ED2E973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585292DC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68661439" w:numId="1">
    <w:abstractNumId w:val="0"/>
  </w:num>
  <w:num w16cid:durableId="1603609467" w:numId="2">
    <w:abstractNumId w:val="1"/>
  </w:num>
  <w:num w16cid:durableId="1542522429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1E0B5F"/>
    <w:rPr>
      <w:rFonts w:ascii="Bahnschrift Light" w:hAnsi="Bahnschrift Light"/>
      <w:sz w:val="22"/>
    </w:rPr>
  </w:style>
  <w:style w:styleId="Heading1" w:type="paragraph">
    <w:name w:val="heading 1"/>
    <w:basedOn w:val="Normal"/>
    <w:next w:val="BodyText"/>
    <w:uiPriority w:val="9"/>
    <w:qFormat/>
    <w:rsid w:val="00F34E30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1" w:themeTint="D9" w:val="262626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1" w:themeTint="D9" w:val="26262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2"/>
    </w:pPr>
    <w:rPr>
      <w:rFonts w:cstheme="majorBidi" w:eastAsiaTheme="majorEastAsia"/>
      <w:bCs/>
      <w:color w:themeColor="text1" w:themeTint="D9" w:val="2626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1E0B5F"/>
    <w:pPr>
      <w:spacing w:after="180" w:before="180"/>
    </w:pPr>
    <w:rPr>
      <w:color w:themeColor="text1" w:themeTint="D9" w:val="262626"/>
    </w:rPr>
  </w:style>
  <w:style w:customStyle="1" w:styleId="FirstParagraph" w:type="paragraph">
    <w:name w:val="First Paragraph"/>
    <w:basedOn w:val="BodyText"/>
    <w:next w:val="BodyText"/>
    <w:qFormat/>
    <w:rsid w:val="001E0B5F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F34E30"/>
    <w:pPr>
      <w:keepNext/>
      <w:keepLines/>
      <w:spacing w:after="240" w:before="480"/>
      <w:jc w:val="center"/>
    </w:pPr>
    <w:rPr>
      <w:rFonts w:cstheme="majorBidi" w:eastAsiaTheme="majorEastAsia"/>
      <w:bCs/>
      <w:color w:themeColor="text1" w:themeTint="D9" w:val="262626"/>
      <w:sz w:val="48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styleId="Date" w:type="paragraph">
    <w:name w:val="Date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2C0470"/>
    <w:pPr>
      <w:spacing w:after="100" w:before="100"/>
      <w:ind w:left="480" w:right="480"/>
    </w:pPr>
    <w:rPr>
      <w:rFonts w:ascii="Aptos" w:hAnsi="Aptos"/>
      <w:color w:themeColor="background2" w:themeShade="1A" w:val="1D1B11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796E50"/>
    <w:rPr>
      <w:rFonts w:ascii="Consolas" w:hAnsi="Consolas"/>
      <w:sz w:val="22"/>
      <w:shd w:color="auto" w:fill="F8F8F8" w:val="clear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1E0B5F"/>
    <w:pPr>
      <w:spacing w:before="240" w:line="259" w:lineRule="auto"/>
      <w:outlineLvl w:val="9"/>
    </w:pPr>
    <w:rPr>
      <w:rFonts w:ascii="Century Gothic" w:hAnsi="Century Gothic"/>
      <w:bCs w:val="0"/>
      <w:color w:themeColor="accent6" w:val="F79646"/>
    </w:rPr>
  </w:style>
  <w:style w:customStyle="1" w:styleId="SourceCode" w:type="paragraph">
    <w:name w:val="Source Code"/>
    <w:basedOn w:val="Normal"/>
    <w:link w:val="VerbatimChar"/>
    <w:rsid w:val="00796E50"/>
    <w:pPr>
      <w:shd w:color="auto" w:fill="F8F8F8" w:val="clear"/>
      <w:wordWrap w:val="0"/>
      <w:textboxTightWrap w:val="allLines"/>
    </w:pPr>
    <w:rPr>
      <w:rFonts w:ascii="Consolas" w:hAnsi="Consolas"/>
    </w:r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sid w:val="00F34E30"/>
    <w:rPr>
      <w:rFonts w:ascii="Consolas" w:hAnsi="Consolas"/>
      <w:color w:themeColor="accent2" w:themeShade="BF" w:val="943634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sid w:val="00F34E30"/>
    <w:rPr>
      <w:rFonts w:ascii="Consolas" w:hAnsi="Consolas"/>
      <w:i/>
      <w:color w:themeColor="accent4" w:themeTint="99" w:val="B2A1C7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sid w:val="00F34E30"/>
    <w:rPr>
      <w:rFonts w:ascii="Consolas" w:hAnsi="Consolas"/>
      <w:b/>
      <w:color w:themeColor="accent6" w:val="F79646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sid w:val="00F34E30"/>
    <w:rPr>
      <w:rFonts w:ascii="Consolas" w:hAnsi="Consolas"/>
      <w:color w:themeColor="text1" w:themeTint="F2" w:val="0D0D0D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rsid w:val="00F34E30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F34E30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F34E3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Word_Template</vt:lpstr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Linear models with single cagegorical predictor - Study Notes</dc:title>
  <dc:creator>Michelle Pinard &amp; Deon Roos</dc:creator>
  <cp:keywords/>
  <dcterms:created xsi:type="dcterms:W3CDTF">2025-09-04T17:17:37Z</dcterms:created>
  <dcterms:modified xsi:type="dcterms:W3CDTF">2025-09-04T17:17:37Z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Last updated: 2025-09-04</vt:lpwstr>
  </property>
  <property fmtid="{D5CDD505-2E9C-101B-9397-08002B2CF9AE}" pid="3" name="output">
    <vt:lpwstr/>
  </property>
</Properties>
</file>