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7.png" ContentType="image/png"/>
  <Override PartName="/word/media/rId50.png" ContentType="image/png"/>
  <Override PartName="/word/media/rId53.png" ContentType="image/png"/>
  <Override PartName="/word/media/rId56.png" ContentType="image/png"/>
  <Override PartName="/word/media/rId65.png" ContentType="image/png"/>
  <Override PartName="/word/media/rId70.png" ContentType="image/png"/>
  <Override PartName="/word/media/rId7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63"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 To do so we will limit ourselves to using the floor area (m</w:t>
      </w:r>
      <m:oMath>
        <m:sSup>
          <m:e>
            <m:r>
              <m:t>​</m:t>
            </m:r>
          </m:e>
          <m:sup>
            <m:r>
              <m:t>2</m:t>
            </m:r>
          </m:sup>
        </m:sSup>
      </m:oMath>
      <w:r>
        <w:t xml:space="preserve">), total number of rooms, the energy efficiency and the council tax band as explanatory variables in the model.</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model will ignore that rental prices are included for both houses and flats, with no distinction made between them. We could always add this in (given we have the data) but let’s pretend we didn’t have this information. What do you think this lack of distinction will do in our predictive model?</w:t>
      </w:r>
    </w:p>
    <w:p>
      <w:pPr>
        <w:pStyle w:val="SourceCode"/>
      </w:pPr>
      <w:r>
        <w:rPr>
          <w:rStyle w:val="CommentTok"/>
        </w:rPr>
        <w:t xml:space="preserve"># A property being either an entire house or just a flat will almost certainly have a big impact on how much the landlord asks for in rent. By not including this in the model, we're leaving an "important" variable out of the model, so our predictions are likely going to be less accurate. Maybe by a lot, maybe by a little, but definitely by "some" amount.</w:t>
      </w:r>
      <w:r>
        <w:br/>
      </w:r>
      <w:r>
        <w:br/>
      </w:r>
      <w:r>
        <w:rPr>
          <w:rStyle w:val="CommentTok"/>
        </w:rPr>
        <w:t xml:space="preserve"># The other issue is that this will likely create some unequal variance of errors, with predictions being worse (i.e. less accurate, i.e. more residual error) at higher predicted rent Prices (as most houses cost more to rent, the model will likely struggle to understand *why* they are so expensive [or cheap], leading to more error).</w:t>
      </w:r>
    </w:p>
    <w:bookmarkEnd w:id="24"/>
    <w:bookmarkStart w:id="29"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URL as an explanatory variable in the model). Here are all of the variables we have access to:</w:t>
      </w:r>
    </w:p>
    <w:p>
      <w:pPr>
        <w:numPr>
          <w:ilvl w:val="0"/>
          <w:numId w:val="1003"/>
        </w:numPr>
      </w:pPr>
      <w:r>
        <w:rPr>
          <w:rStyle w:val="VerbatimChar"/>
          <w:bCs/>
          <w:b/>
        </w:rPr>
        <w:t xml:space="preserve">Price</w:t>
      </w:r>
      <w:r>
        <w:t xml:space="preserve"> </w:t>
      </w:r>
      <w:r>
        <w:t xml:space="preserve">- the rent of the listed property (£)</w:t>
      </w:r>
    </w:p>
    <w:p>
      <w:pPr>
        <w:numPr>
          <w:ilvl w:val="0"/>
          <w:numId w:val="1003"/>
        </w:numPr>
      </w:pPr>
      <w:r>
        <w:rPr>
          <w:rStyle w:val="VerbatimChar"/>
          <w:bCs/>
          <w:b/>
        </w:rPr>
        <w:t xml:space="preserve">Bedrooms</w:t>
      </w:r>
      <w:r>
        <w:t xml:space="preserve"> </w:t>
      </w:r>
      <w:r>
        <w:t xml:space="preserve">- the number of bedrooms in the property</w:t>
      </w:r>
    </w:p>
    <w:p>
      <w:pPr>
        <w:numPr>
          <w:ilvl w:val="0"/>
          <w:numId w:val="1003"/>
        </w:numPr>
      </w:pPr>
      <w:r>
        <w:rPr>
          <w:rStyle w:val="VerbatimChar"/>
          <w:bCs/>
          <w:b/>
        </w:rPr>
        <w:t xml:space="preserve">PublicRooms</w:t>
      </w:r>
      <w:r>
        <w:t xml:space="preserve"> </w:t>
      </w:r>
      <w:r>
        <w:t xml:space="preserve">- the number of living rooms in the property</w:t>
      </w:r>
    </w:p>
    <w:p>
      <w:pPr>
        <w:numPr>
          <w:ilvl w:val="0"/>
          <w:numId w:val="1003"/>
        </w:numPr>
      </w:pPr>
      <w:r>
        <w:rPr>
          <w:rStyle w:val="VerbatimChar"/>
          <w:bCs/>
          <w:b/>
        </w:rPr>
        <w:t xml:space="preserve">Rooms</w:t>
      </w:r>
      <w:r>
        <w:t xml:space="preserve"> </w:t>
      </w:r>
      <w:r>
        <w:t xml:space="preserve">- the total number of bedrooms plus living rooms in the property</w:t>
      </w:r>
    </w:p>
    <w:p>
      <w:pPr>
        <w:numPr>
          <w:ilvl w:val="0"/>
          <w:numId w:val="1003"/>
        </w:numPr>
      </w:pPr>
      <w:r>
        <w:rPr>
          <w:rStyle w:val="VerbatimChar"/>
          <w:bCs/>
          <w:b/>
        </w:rPr>
        <w:t xml:space="preserve">Bathrooms</w:t>
      </w:r>
      <w:r>
        <w:t xml:space="preserve"> </w:t>
      </w:r>
      <w:r>
        <w:t xml:space="preserve">- the number of bathrooms</w:t>
      </w:r>
    </w:p>
    <w:p>
      <w:pPr>
        <w:numPr>
          <w:ilvl w:val="0"/>
          <w:numId w:val="1003"/>
        </w:numPr>
      </w:pPr>
      <w:r>
        <w:rPr>
          <w:rStyle w:val="VerbatimChar"/>
          <w:bCs/>
          <w:b/>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bCs/>
          <w:b/>
        </w:rPr>
        <w:t xml:space="preserve">EPC</w:t>
      </w:r>
      <w:r>
        <w:t xml:space="preserve"> </w:t>
      </w:r>
      <w:r>
        <w:t xml:space="preserve">- the Energy Performance Certificate (A is highly energy efficient, G is terrible)</w:t>
      </w:r>
    </w:p>
    <w:p>
      <w:pPr>
        <w:numPr>
          <w:ilvl w:val="0"/>
          <w:numId w:val="1003"/>
        </w:numPr>
      </w:pPr>
      <w:r>
        <w:rPr>
          <w:rStyle w:val="VerbatimChar"/>
          <w:bCs/>
          <w:b/>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bCs/>
          <w:b/>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bCs/>
          <w:b/>
        </w:rPr>
        <w:t xml:space="preserve">PropertyURL</w:t>
      </w:r>
      <w:r>
        <w:t xml:space="preserve"> </w:t>
      </w:r>
      <w:r>
        <w:t xml:space="preserve">- web link for the property listing</w:t>
      </w:r>
    </w:p>
    <w:p>
      <w:pPr>
        <w:numPr>
          <w:ilvl w:val="0"/>
          <w:numId w:val="1003"/>
        </w:numPr>
      </w:pPr>
      <w:r>
        <w:rPr>
          <w:rStyle w:val="VerbatimChar"/>
          <w:bCs/>
          <w:b/>
        </w:rPr>
        <w:t xml:space="preserve">Address</w:t>
      </w:r>
      <w:r>
        <w:t xml:space="preserve"> </w:t>
      </w:r>
      <w:r>
        <w:t xml:space="preserve">- the property name or address</w:t>
      </w:r>
    </w:p>
    <w:p>
      <w:pPr>
        <w:numPr>
          <w:ilvl w:val="0"/>
          <w:numId w:val="1003"/>
        </w:numPr>
      </w:pPr>
      <w:r>
        <w:rPr>
          <w:rStyle w:val="VerbatimChar"/>
          <w:bCs/>
          <w:b/>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bCs/>
          <w:b/>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bCs/>
          <w:b/>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bCs/>
          <w:b/>
        </w:rPr>
        <w:t xml:space="preserve">HouseType</w:t>
      </w:r>
      <w:r>
        <w:t xml:space="preserve"> </w:t>
      </w:r>
      <w:r>
        <w:t xml:space="preserve">- whether the property is</w:t>
      </w:r>
      <w:r>
        <w:t xml:space="preserve"> </w:t>
      </w:r>
      <w:r>
        <w:t xml:space="preserve">“</w:t>
      </w:r>
      <w:hyperlink r:id="rId25">
        <w:r>
          <w:rPr>
            <w:rStyle w:val="Hyperlink"/>
          </w:rPr>
          <w:t xml:space="preserve">detached</w:t>
        </w:r>
      </w:hyperlink>
      <w:r>
        <w:t xml:space="preserve">”</w:t>
      </w:r>
      <w:r>
        <w:t xml:space="preserve">,</w:t>
      </w:r>
      <w:r>
        <w:t xml:space="preserve"> </w:t>
      </w:r>
      <w:r>
        <w:t xml:space="preserve">“</w:t>
      </w:r>
      <w:hyperlink r:id="rId26">
        <w:r>
          <w:rPr>
            <w:rStyle w:val="Hyperlink"/>
          </w:rPr>
          <w:t xml:space="preserve">semi-detached</w:t>
        </w:r>
      </w:hyperlink>
      <w:r>
        <w:t xml:space="preserve">”</w:t>
      </w:r>
      <w:r>
        <w:t xml:space="preserve">,</w:t>
      </w:r>
      <w:r>
        <w:t xml:space="preserve"> </w:t>
      </w:r>
      <w:r>
        <w:t xml:space="preserve">“</w:t>
      </w:r>
      <w:hyperlink r:id="rId27">
        <w:r>
          <w:rPr>
            <w:rStyle w:val="Hyperlink"/>
          </w:rPr>
          <w:t xml:space="preserve">terrace</w:t>
        </w:r>
      </w:hyperlink>
      <w:r>
        <w:t xml:space="preserve">”</w:t>
      </w:r>
      <w:r>
        <w:t xml:space="preserve">, or</w:t>
      </w:r>
      <w:r>
        <w:t xml:space="preserve"> </w:t>
      </w:r>
      <w:r>
        <w:t xml:space="preserve">“</w:t>
      </w:r>
      <w:hyperlink r:id="rId28">
        <w:r>
          <w:rPr>
            <w:rStyle w:val="Hyperlink"/>
          </w:rPr>
          <w:t xml:space="preserve">flat</w:t>
        </w:r>
      </w:hyperlink>
      <w:r>
        <w:t xml:space="preserve">”</w:t>
      </w:r>
      <w:r>
        <w:t xml:space="preserve"> </w:t>
      </w:r>
      <w:r>
        <w:t xml:space="preserve">(note that</w:t>
      </w:r>
      <w:r>
        <w:t xml:space="preserve"> </w:t>
      </w:r>
      <w:r>
        <w:t xml:space="preserve">“</w:t>
      </w:r>
      <w:r>
        <w:t xml:space="preserve">flats</w:t>
      </w:r>
      <w:r>
        <w:t xml:space="preserve">”</w:t>
      </w:r>
      <w:r>
        <w:t xml:space="preserve"> </w:t>
      </w:r>
      <w:r>
        <w:t xml:space="preserve">is what British people call</w:t>
      </w:r>
      <w:r>
        <w:t xml:space="preserve"> </w:t>
      </w:r>
      <w:r>
        <w:t xml:space="preserve">“</w:t>
      </w:r>
      <w:r>
        <w:t xml:space="preserve">apartments</w:t>
      </w:r>
      <w:r>
        <w:t xml:space="preserve">”</w:t>
      </w:r>
      <w:r>
        <w:t xml:space="preserve">)</w:t>
      </w:r>
    </w:p>
    <w:p>
      <w:pPr>
        <w:numPr>
          <w:ilvl w:val="0"/>
          <w:numId w:val="1003"/>
        </w:numPr>
      </w:pPr>
      <w:r>
        <w:rPr>
          <w:rStyle w:val="VerbatimChar"/>
          <w:bCs/>
          <w:b/>
        </w:rPr>
        <w:t xml:space="preserve">Furnished</w:t>
      </w:r>
      <w:r>
        <w:t xml:space="preserve"> </w:t>
      </w:r>
      <w:r>
        <w:t xml:space="preserve">- whether the property is fully furnished, part furnished, or unfurnished</w:t>
      </w:r>
    </w:p>
    <w:p>
      <w:pPr>
        <w:pStyle w:val="FirstParagraph"/>
      </w:pPr>
      <w:r>
        <w:t xml:space="preserve">But let’s keep it simple today. As noted above, we’ll only include the following explanatory variables in the model:</w:t>
      </w:r>
    </w:p>
    <w:p>
      <w:pPr>
        <w:numPr>
          <w:ilvl w:val="0"/>
          <w:numId w:val="1004"/>
        </w:numPr>
        <w:pStyle w:val="Compact"/>
      </w:pPr>
      <w:r>
        <w:rPr>
          <w:rStyle w:val="VerbatimChar"/>
        </w:rPr>
        <w:t xml:space="preserve">FloorArea</w:t>
      </w:r>
    </w:p>
    <w:p>
      <w:pPr>
        <w:numPr>
          <w:ilvl w:val="0"/>
          <w:numId w:val="1004"/>
        </w:numPr>
        <w:pStyle w:val="Compact"/>
      </w:pPr>
      <w:r>
        <w:rPr>
          <w:rStyle w:val="VerbatimChar"/>
        </w:rPr>
        <w:t xml:space="preserve">Rooms</w:t>
      </w:r>
    </w:p>
    <w:p>
      <w:pPr>
        <w:numPr>
          <w:ilvl w:val="0"/>
          <w:numId w:val="1004"/>
        </w:numPr>
        <w:pStyle w:val="Compact"/>
      </w:pPr>
      <w:r>
        <w:rPr>
          <w:rStyle w:val="VerbatimChar"/>
        </w:rPr>
        <w:t xml:space="preserve">EPC</w:t>
      </w:r>
    </w:p>
    <w:p>
      <w:pPr>
        <w:numPr>
          <w:ilvl w:val="0"/>
          <w:numId w:val="1004"/>
        </w:numPr>
        <w:pStyle w:val="Compact"/>
      </w:pPr>
      <w:r>
        <w:rPr>
          <w:rStyle w:val="VerbatimChar"/>
        </w:rPr>
        <w:t xml:space="preserve">Tax</w:t>
      </w:r>
    </w:p>
    <w:p>
      <w:pPr>
        <w:pStyle w:val="FirstParagraph"/>
      </w:pPr>
      <w:r>
        <w:t xml:space="preserve">Something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actual underlying</w:t>
      </w:r>
      <w:r>
        <w:t xml:space="preserve"> </w:t>
      </w:r>
      <w:r>
        <w:t xml:space="preserve">“</w:t>
      </w:r>
      <w:r>
        <w:t xml:space="preserve">values</w:t>
      </w:r>
      <w:r>
        <w:t xml:space="preserve">”</w:t>
      </w:r>
      <w:r>
        <w:t xml:space="preserve"> </w:t>
      </w:r>
      <w:r>
        <w:t xml:space="preserve">are continuous (tax band is a measure of the property value in 1991, and EPC is a measure of how energy efficient a property is) but these have been discretised, or converted into groups (e.g. a property valued at £100,000 in 1991 is in the</w:t>
      </w:r>
      <w:r>
        <w:t xml:space="preserve"> </w:t>
      </w:r>
      <w:r>
        <w:rPr>
          <w:rStyle w:val="VerbatimChar"/>
        </w:rPr>
        <w:t xml:space="preserve">A</w:t>
      </w:r>
      <w:r>
        <w:t xml:space="preserve"> </w:t>
      </w:r>
      <w:r>
        <w:t xml:space="preserve">tax band).</w:t>
      </w:r>
    </w:p>
    <w:p>
      <w:pPr>
        <w:pStyle w:val="BlockText"/>
      </w:pPr>
      <w:r>
        <w:t xml:space="preserve">For some reason, the value of a property in 1991 is how the council tax is decided. I don’t get why 1991 is special (I doubt it actually is) but that’s what they do. It’s dumb. C’est la vie.</w:t>
      </w:r>
    </w:p>
    <w:p>
      <w:pPr>
        <w:pStyle w:val="FirstParagraph"/>
      </w:pPr>
      <w:r>
        <w:t xml:space="preserve">Whenever this discretisation is done, when it comes to the actual model, it can make our life pretty horrible, which you can see when we write out the full notation of our model. In our case, here’s what it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F</m:t>
        </m:r>
        <m:r>
          <m:t>l</m:t>
        </m:r>
        <m:r>
          <m:t>o</m:t>
        </m:r>
        <m:r>
          <m:t>o</m:t>
        </m:r>
        <m:r>
          <m:t>r</m:t>
        </m:r>
        <m:r>
          <m:t>A</m:t>
        </m:r>
        <m:r>
          <m:t>r</m:t>
        </m:r>
        <m:r>
          <m:t>e</m:t>
        </m:r>
        <m:sSub>
          <m:e>
            <m:r>
              <m:t>a</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oMath>
    </w:p>
    <w:p>
      <w:pPr>
        <w:pStyle w:val="BodyText"/>
      </w:pPr>
      <m:oMath>
        <m:sSub>
          <m:e>
            <m:r>
              <m:t>β</m:t>
            </m:r>
          </m:e>
          <m:sub>
            <m:r>
              <m:t>3</m:t>
            </m:r>
          </m:sub>
        </m:sSub>
        <m:r>
          <m:rPr>
            <m:sty m:val="p"/>
          </m:rPr>
          <m:t>×</m:t>
        </m:r>
        <m:r>
          <m:t>E</m:t>
        </m:r>
        <m:r>
          <m:t>P</m:t>
        </m:r>
        <m:r>
          <m:t>C</m:t>
        </m:r>
        <m:sSub>
          <m:e>
            <m:r>
              <m:t>B</m:t>
            </m:r>
          </m:e>
          <m:sub>
            <m:r>
              <m:t>i</m:t>
            </m:r>
          </m:sub>
        </m:sSub>
        <m:r>
          <m:rPr>
            <m:sty m:val="p"/>
          </m:rPr>
          <m:t>+</m:t>
        </m:r>
        <m:sSub>
          <m:e>
            <m:r>
              <m:t>β</m:t>
            </m:r>
          </m:e>
          <m:sub>
            <m:r>
              <m:t>4</m:t>
            </m:r>
          </m:sub>
        </m:sSub>
        <m:r>
          <m:rPr>
            <m:sty m:val="p"/>
          </m:rPr>
          <m:t>×</m:t>
        </m:r>
        <m:r>
          <m:t>E</m:t>
        </m:r>
        <m:r>
          <m:t>P</m:t>
        </m:r>
        <m:r>
          <m:t>C</m:t>
        </m:r>
        <m:sSub>
          <m:e>
            <m:r>
              <m:t>C</m:t>
            </m:r>
          </m:e>
          <m:sub>
            <m:r>
              <m:t>i</m:t>
            </m:r>
          </m:sub>
        </m:sSub>
        <m:r>
          <m:rPr>
            <m:sty m:val="p"/>
          </m:rPr>
          <m:t>+</m:t>
        </m:r>
        <m:sSub>
          <m:e>
            <m:r>
              <m:t>β</m:t>
            </m:r>
          </m:e>
          <m:sub>
            <m:r>
              <m:t>5</m:t>
            </m:r>
          </m:sub>
        </m:sSub>
        <m:r>
          <m:rPr>
            <m:sty m:val="p"/>
          </m:rPr>
          <m:t>×</m:t>
        </m:r>
        <m:r>
          <m:t>E</m:t>
        </m:r>
        <m:r>
          <m:t>P</m:t>
        </m:r>
        <m:r>
          <m:t>C</m:t>
        </m:r>
        <m:sSub>
          <m:e>
            <m:r>
              <m:t>D</m:t>
            </m:r>
          </m:e>
          <m:sub>
            <m:r>
              <m:t>i</m:t>
            </m:r>
          </m:sub>
        </m:sSub>
        <m:r>
          <m:rPr>
            <m:sty m:val="p"/>
          </m:rPr>
          <m:t>+</m:t>
        </m:r>
      </m:oMath>
    </w:p>
    <w:p>
      <w:pPr>
        <w:pStyle w:val="BodyText"/>
      </w:pPr>
      <m:oMath>
        <m:sSub>
          <m:e>
            <m:r>
              <m:t>β</m:t>
            </m:r>
          </m:e>
          <m:sub>
            <m:r>
              <m:t>6</m:t>
            </m:r>
          </m:sub>
        </m:sSub>
        <m:r>
          <m:rPr>
            <m:sty m:val="p"/>
          </m:rPr>
          <m:t>×</m:t>
        </m:r>
        <m:r>
          <m:t>E</m:t>
        </m:r>
        <m:r>
          <m:t>P</m:t>
        </m:r>
        <m:r>
          <m:t>C</m:t>
        </m:r>
        <m:sSub>
          <m:e>
            <m:r>
              <m:t>E</m:t>
            </m:r>
          </m:e>
          <m:sub>
            <m:r>
              <m:t>i</m:t>
            </m:r>
          </m:sub>
        </m:sSub>
        <m:r>
          <m:rPr>
            <m:sty m:val="p"/>
          </m:rPr>
          <m:t>+</m:t>
        </m:r>
        <m:sSub>
          <m:e>
            <m:r>
              <m:t>β</m:t>
            </m:r>
          </m:e>
          <m:sub>
            <m:r>
              <m:t>7</m:t>
            </m:r>
          </m:sub>
        </m:sSub>
        <m:r>
          <m:rPr>
            <m:sty m:val="p"/>
          </m:rPr>
          <m:t>×</m:t>
        </m:r>
        <m:r>
          <m:t>E</m:t>
        </m:r>
        <m:r>
          <m:t>P</m:t>
        </m:r>
        <m:r>
          <m:t>C</m:t>
        </m:r>
        <m:sSub>
          <m:e>
            <m:r>
              <m:t>F</m:t>
            </m:r>
          </m:e>
          <m:sub>
            <m:r>
              <m:t>i</m:t>
            </m:r>
          </m:sub>
        </m:sSub>
        <m:r>
          <m:rPr>
            <m:sty m:val="p"/>
          </m:rPr>
          <m:t>+</m:t>
        </m:r>
        <m:sSub>
          <m:e>
            <m:r>
              <m:t>β</m:t>
            </m:r>
          </m:e>
          <m:sub>
            <m:r>
              <m:t>8</m:t>
            </m:r>
          </m:sub>
        </m:sSub>
        <m:r>
          <m:rPr>
            <m:sty m:val="p"/>
          </m:rPr>
          <m:t>×</m:t>
        </m:r>
        <m:r>
          <m:t>E</m:t>
        </m:r>
        <m:r>
          <m:t>P</m:t>
        </m:r>
        <m:r>
          <m:t>C</m:t>
        </m:r>
        <m:sSub>
          <m:e>
            <m:r>
              <m:t>G</m:t>
            </m:r>
          </m:e>
          <m:sub>
            <m:r>
              <m:t>i</m:t>
            </m:r>
          </m:sub>
        </m:sSub>
        <m:r>
          <m:rPr>
            <m:sty m:val="p"/>
          </m:rPr>
          <m:t>+</m:t>
        </m:r>
      </m:oMath>
    </w:p>
    <w:p>
      <w:pPr>
        <w:pStyle w:val="BodyText"/>
      </w:pPr>
      <m:oMath>
        <m:sSub>
          <m:e>
            <m:r>
              <m:t>β</m:t>
            </m:r>
          </m:e>
          <m:sub>
            <m:r>
              <m:t>9</m:t>
            </m:r>
          </m:sub>
        </m:sSub>
        <m:r>
          <m:rPr>
            <m:sty m:val="p"/>
          </m:rPr>
          <m:t>×</m:t>
        </m:r>
        <m:r>
          <m:t>T</m:t>
        </m:r>
        <m:r>
          <m:t>a</m:t>
        </m:r>
        <m:r>
          <m:t>x</m:t>
        </m:r>
        <m:sSub>
          <m:e>
            <m:r>
              <m:t>B</m:t>
            </m:r>
          </m:e>
          <m:sub>
            <m:r>
              <m:t>i</m:t>
            </m:r>
          </m:sub>
        </m:sSub>
        <m:r>
          <m:rPr>
            <m:sty m:val="p"/>
          </m:rPr>
          <m:t>+</m:t>
        </m:r>
        <m:sSub>
          <m:e>
            <m:r>
              <m:t>β</m:t>
            </m:r>
          </m:e>
          <m:sub>
            <m:r>
              <m:t>10</m:t>
            </m:r>
          </m:sub>
        </m:sSub>
        <m:r>
          <m:rPr>
            <m:sty m:val="p"/>
          </m:rPr>
          <m:t>×</m:t>
        </m:r>
        <m:r>
          <m:t>T</m:t>
        </m:r>
        <m:r>
          <m:t>a</m:t>
        </m:r>
        <m:r>
          <m:t>x</m:t>
        </m:r>
        <m:sSub>
          <m:e>
            <m:r>
              <m:t>C</m:t>
            </m:r>
          </m:e>
          <m:sub>
            <m:r>
              <m:t>i</m:t>
            </m:r>
          </m:sub>
        </m:sSub>
        <m:r>
          <m:rPr>
            <m:sty m:val="p"/>
          </m:rPr>
          <m:t>+</m:t>
        </m:r>
        <m:sSub>
          <m:e>
            <m:r>
              <m:t>β</m:t>
            </m:r>
          </m:e>
          <m:sub>
            <m:r>
              <m:t>11</m:t>
            </m:r>
          </m:sub>
        </m:sSub>
        <m:r>
          <m:rPr>
            <m:sty m:val="p"/>
          </m:rPr>
          <m:t>×</m:t>
        </m:r>
        <m:r>
          <m:t>T</m:t>
        </m:r>
        <m:r>
          <m:t>a</m:t>
        </m:r>
        <m:r>
          <m:t>x</m:t>
        </m:r>
        <m:sSub>
          <m:e>
            <m:r>
              <m:t>D</m:t>
            </m:r>
          </m:e>
          <m:sub>
            <m:r>
              <m:t>i</m:t>
            </m:r>
          </m:sub>
        </m:sSub>
        <m:r>
          <m:rPr>
            <m:sty m:val="p"/>
          </m:rPr>
          <m:t>+</m:t>
        </m:r>
      </m:oMath>
    </w:p>
    <w:p>
      <w:pPr>
        <w:pStyle w:val="BodyText"/>
      </w:pPr>
      <m:oMath>
        <m:sSub>
          <m:e>
            <m:r>
              <m:t>β</m:t>
            </m:r>
          </m:e>
          <m:sub>
            <m:r>
              <m:t>12</m:t>
            </m:r>
          </m:sub>
        </m:sSub>
        <m:r>
          <m:rPr>
            <m:sty m:val="p"/>
          </m:rPr>
          <m:t>×</m:t>
        </m:r>
        <m:r>
          <m:t>T</m:t>
        </m:r>
        <m:r>
          <m:t>a</m:t>
        </m:r>
        <m:r>
          <m:t>x</m:t>
        </m:r>
        <m:sSub>
          <m:e>
            <m:r>
              <m:t>E</m:t>
            </m:r>
          </m:e>
          <m:sub>
            <m:r>
              <m:t>i</m:t>
            </m:r>
          </m:sub>
        </m:sSub>
        <m:r>
          <m:rPr>
            <m:sty m:val="p"/>
          </m:rPr>
          <m:t>+</m:t>
        </m:r>
        <m:sSub>
          <m:e>
            <m:r>
              <m:t>β</m:t>
            </m:r>
          </m:e>
          <m:sub>
            <m:r>
              <m:t>13</m:t>
            </m:r>
          </m:sub>
        </m:sSub>
        <m:r>
          <m:rPr>
            <m:sty m:val="p"/>
          </m:rPr>
          <m:t>×</m:t>
        </m:r>
        <m:r>
          <m:t>T</m:t>
        </m:r>
        <m:r>
          <m:t>a</m:t>
        </m:r>
        <m:r>
          <m:t>x</m:t>
        </m:r>
        <m:sSub>
          <m:e>
            <m:r>
              <m:t>F</m:t>
            </m:r>
          </m:e>
          <m:sub>
            <m:r>
              <m:t>i</m:t>
            </m:r>
          </m:sub>
        </m:sSub>
        <m:r>
          <m:rPr>
            <m:sty m:val="p"/>
          </m:rPr>
          <m:t>+</m:t>
        </m:r>
        <m:sSub>
          <m:e>
            <m:r>
              <m:t>β</m:t>
            </m:r>
          </m:e>
          <m:sub>
            <m:r>
              <m:t>14</m:t>
            </m:r>
          </m:sub>
        </m:sSub>
        <m:r>
          <m:rPr>
            <m:sty m:val="p"/>
          </m:rPr>
          <m:t>×</m:t>
        </m:r>
        <m:r>
          <m:t>T</m:t>
        </m:r>
        <m:r>
          <m:t>a</m:t>
        </m:r>
        <m:r>
          <m:t>x</m:t>
        </m:r>
        <m:sSub>
          <m:e>
            <m:r>
              <m:t>G</m:t>
            </m:r>
          </m:e>
          <m:sub>
            <m:r>
              <m:t>i</m:t>
            </m:r>
          </m:sub>
        </m:sSub>
      </m:oMath>
    </w:p>
    <w:p>
      <w:pPr>
        <w:pStyle w:val="BodyText"/>
      </w:pPr>
      <w:r>
        <w:t xml:space="preserve">Where:</w:t>
      </w:r>
    </w:p>
    <w:p>
      <w:pPr>
        <w:numPr>
          <w:ilvl w:val="0"/>
          <w:numId w:val="1005"/>
        </w:numPr>
        <w:pStyle w:val="Compact"/>
      </w:pPr>
      <m:oMath>
        <m:sSub>
          <m:e>
            <m:r>
              <m:t>β</m:t>
            </m:r>
          </m:e>
          <m:sub>
            <m:r>
              <m:t>0</m:t>
            </m:r>
          </m:sub>
        </m:sSub>
      </m:oMath>
      <w:r>
        <w:t xml:space="preserve"> </w:t>
      </w:r>
      <w:r>
        <w:t xml:space="preserve">is the intercept, representing a property with zero square meters, zero rooms, an EPC of A, and a Tax band of A.</w:t>
      </w:r>
    </w:p>
    <w:p>
      <w:pPr>
        <w:numPr>
          <w:ilvl w:val="0"/>
          <w:numId w:val="1005"/>
        </w:numPr>
        <w:pStyle w:val="Compact"/>
      </w:pPr>
      <m:oMath>
        <m:sSub>
          <m:e>
            <m:r>
              <m:t>β</m:t>
            </m:r>
          </m:e>
          <m:sub>
            <m:r>
              <m:t>1</m:t>
            </m:r>
          </m:sub>
        </m:sSub>
      </m:oMath>
      <w:r>
        <w:t xml:space="preserve"> </w:t>
      </w:r>
      <w:r>
        <w:t xml:space="preserve">is the slope for each additional square meter in floor area.</w:t>
      </w:r>
    </w:p>
    <w:p>
      <w:pPr>
        <w:numPr>
          <w:ilvl w:val="0"/>
          <w:numId w:val="1005"/>
        </w:numPr>
        <w:pStyle w:val="Compact"/>
      </w:pPr>
      <m:oMath>
        <m:sSub>
          <m:e>
            <m:r>
              <m:t>β</m:t>
            </m:r>
          </m:e>
          <m:sub>
            <m:r>
              <m:t>2</m:t>
            </m:r>
          </m:sub>
        </m:sSub>
      </m:oMath>
      <w:r>
        <w:t xml:space="preserve"> </w:t>
      </w:r>
      <w:r>
        <w:t xml:space="preserve">is the slope for each additional room.</w:t>
      </w:r>
    </w:p>
    <w:p>
      <w:pPr>
        <w:numPr>
          <w:ilvl w:val="0"/>
          <w:numId w:val="1005"/>
        </w:numPr>
        <w:pStyle w:val="Compact"/>
      </w:pPr>
      <m:oMath>
        <m:sSub>
          <m:e>
            <m:r>
              <m:t>β</m:t>
            </m:r>
          </m:e>
          <m:sub>
            <m:r>
              <m:t>3</m:t>
            </m:r>
            <m:r>
              <m:rPr>
                <m:sty m:val="p"/>
              </m:rPr>
              <m:t>,</m:t>
            </m:r>
            <m:r>
              <m:rPr>
                <m:sty m:val="p"/>
              </m:rPr>
              <m:t>.</m:t>
            </m:r>
            <m:r>
              <m:rPr>
                <m:sty m:val="p"/>
              </m:rPr>
              <m:t>.</m:t>
            </m:r>
            <m:r>
              <m:rPr>
                <m:sty m:val="p"/>
              </m:rPr>
              <m:t>.</m:t>
            </m:r>
            <m:r>
              <m:rPr>
                <m:sty m:val="p"/>
              </m:rPr>
              <m:t>,</m:t>
            </m:r>
            <m:r>
              <m:t>8</m:t>
            </m:r>
          </m:sub>
        </m:sSub>
      </m:oMath>
      <w:r>
        <w:t xml:space="preserve"> </w:t>
      </w:r>
      <w:r>
        <w:t xml:space="preserve">are the effects of each EPC rating compared to A.</w:t>
      </w:r>
    </w:p>
    <w:p>
      <w:pPr>
        <w:numPr>
          <w:ilvl w:val="0"/>
          <w:numId w:val="1005"/>
        </w:numPr>
        <w:pStyle w:val="Compact"/>
      </w:pPr>
      <m:oMath>
        <m:sSub>
          <m:e>
            <m:r>
              <m:t>β</m:t>
            </m:r>
          </m:e>
          <m:sub>
            <m:r>
              <m:t>9</m:t>
            </m:r>
            <m:r>
              <m:rPr>
                <m:sty m:val="p"/>
              </m:rPr>
              <m:t>,</m:t>
            </m:r>
            <m:r>
              <m:rPr>
                <m:sty m:val="p"/>
              </m:rPr>
              <m:t>.</m:t>
            </m:r>
            <m:r>
              <m:rPr>
                <m:sty m:val="p"/>
              </m:rPr>
              <m:t>.</m:t>
            </m:r>
            <m:r>
              <m:rPr>
                <m:sty m:val="p"/>
              </m:rPr>
              <m:t>.</m:t>
            </m:r>
            <m:r>
              <m:rPr>
                <m:sty m:val="p"/>
              </m:rPr>
              <m:t>,</m:t>
            </m:r>
            <m:r>
              <m:t>14</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 In this case, we can’t go backwards. The data we have is categorical and we have to respect that, so we’re stuck having to estimate 14 parameters.</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-550.48  -83.99   -0.61   62.54  965.94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287.9191   126.8083   2.271  0.02354 *  </w:t>
      </w:r>
      <w:r>
        <w:br/>
      </w:r>
      <w:r>
        <w:rPr>
          <w:rStyle w:val="VerbatimChar"/>
        </w:rPr>
        <w:t xml:space="preserve">## FloorArea      1.2593     0.4425   2.846  0.00459 ** </w:t>
      </w:r>
      <w:r>
        <w:br/>
      </w:r>
      <w:r>
        <w:rPr>
          <w:rStyle w:val="VerbatimChar"/>
        </w:rPr>
        <w:t xml:space="preserve">## Rooms        109.6151    12.2783   8.928  &lt; 2e-16 ***</w:t>
      </w:r>
      <w:r>
        <w:br/>
      </w:r>
      <w:r>
        <w:rPr>
          <w:rStyle w:val="VerbatimChar"/>
        </w:rPr>
        <w:t xml:space="preserve">## EPCB         120.3630   125.7759   0.957  0.33899    </w:t>
      </w:r>
      <w:r>
        <w:br/>
      </w:r>
      <w:r>
        <w:rPr>
          <w:rStyle w:val="VerbatimChar"/>
        </w:rPr>
        <w:t xml:space="preserve">## EPCC         -17.1116   124.1525  -0.138  0.89042    </w:t>
      </w:r>
      <w:r>
        <w:br/>
      </w:r>
      <w:r>
        <w:rPr>
          <w:rStyle w:val="VerbatimChar"/>
        </w:rPr>
        <w:t xml:space="preserve">## EPCD         -50.7335   124.1552  -0.409  0.68296    </w:t>
      </w:r>
      <w:r>
        <w:br/>
      </w:r>
      <w:r>
        <w:rPr>
          <w:rStyle w:val="VerbatimChar"/>
        </w:rPr>
        <w:t xml:space="preserve">## EPCE        -104.6777   125.4369  -0.835  0.40434    </w:t>
      </w:r>
      <w:r>
        <w:br/>
      </w:r>
      <w:r>
        <w:rPr>
          <w:rStyle w:val="VerbatimChar"/>
        </w:rPr>
        <w:t xml:space="preserve">## EPCF        -144.4606   135.4778  -1.066  0.28673    </w:t>
      </w:r>
      <w:r>
        <w:br/>
      </w:r>
      <w:r>
        <w:rPr>
          <w:rStyle w:val="VerbatimChar"/>
        </w:rPr>
        <w:t xml:space="preserve">## EPCG         -88.7137   175.4481  -0.506  0.61330    </w:t>
      </w:r>
      <w:r>
        <w:br/>
      </w:r>
      <w:r>
        <w:rPr>
          <w:rStyle w:val="VerbatimChar"/>
        </w:rPr>
        <w:t xml:space="preserve">## TaxB          10.1948    24.1533   0.422  0.67312    </w:t>
      </w:r>
      <w:r>
        <w:br/>
      </w:r>
      <w:r>
        <w:rPr>
          <w:rStyle w:val="VerbatimChar"/>
        </w:rPr>
        <w:t xml:space="preserve">## TaxC          66.0662    25.5076   2.590  0.00984 ** </w:t>
      </w:r>
      <w:r>
        <w:br/>
      </w:r>
      <w:r>
        <w:rPr>
          <w:rStyle w:val="VerbatimChar"/>
        </w:rPr>
        <w:t xml:space="preserve">## TaxD         116.0252    25.5256   4.545 6.68e-06 ***</w:t>
      </w:r>
      <w:r>
        <w:br/>
      </w:r>
      <w:r>
        <w:rPr>
          <w:rStyle w:val="VerbatimChar"/>
        </w:rPr>
        <w:t xml:space="preserve">## TaxE         195.2800    31.9291   6.116 1.77e-09 ***</w:t>
      </w:r>
      <w:r>
        <w:br/>
      </w:r>
      <w:r>
        <w:rPr>
          <w:rStyle w:val="VerbatimChar"/>
        </w:rPr>
        <w:t xml:space="preserve">## TaxF         331.9981    45.0399   7.371 5.89e-13 ***</w:t>
      </w:r>
      <w:r>
        <w:br/>
      </w:r>
      <w:r>
        <w:rPr>
          <w:rStyle w:val="VerbatimChar"/>
        </w:rPr>
        <w:t xml:space="preserve">## TaxG         683.0726    56.2103  12.152  &lt; 2e-16 ***</w:t>
      </w:r>
      <w:r>
        <w:br/>
      </w:r>
      <w:r>
        <w:rPr>
          <w:rStyle w:val="VerbatimChar"/>
        </w:rPr>
        <w:t xml:space="preserve">## TaxH         921.4423   183.7291   5.015 7.06e-07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173.6 on 577 degrees of freedom</w:t>
      </w:r>
      <w:r>
        <w:br/>
      </w:r>
      <w:r>
        <w:rPr>
          <w:rStyle w:val="VerbatimChar"/>
        </w:rPr>
        <w:t xml:space="preserve">## Multiple R-squared:  0.7944, Adjusted R-squared:  0.789 </w:t>
      </w:r>
      <w:r>
        <w:br/>
      </w:r>
      <w:r>
        <w:rPr>
          <w:rStyle w:val="VerbatimChar"/>
        </w:rPr>
        <w:t xml:space="preserve">## F-statistic: 148.6 on 15 and 577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9"/>
    <w:bookmarkStart w:id="46"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w:t>
      </w:r>
    </w:p>
    <w:p>
      <w:pPr>
        <w:pStyle w:val="FirstParagraph"/>
      </w:pPr>
      <w:r>
        <w:drawing>
          <wp:inline>
            <wp:extent cx="4620126" cy="3696101"/>
            <wp:effectExtent b="0" l="0" r="0" t="0"/>
            <wp:docPr descr="" title="" id="31" name="Picture"/>
            <a:graphic>
              <a:graphicData uri="http://schemas.openxmlformats.org/drawingml/2006/picture">
                <pic:pic>
                  <pic:nvPicPr>
                    <pic:cNvPr descr="Workshop-7---LM-with-multiple-predictors--with-answers-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5" w:name="question-set-one"/>
    <w:p>
      <w:pPr>
        <w:pStyle w:val="Heading3"/>
      </w:pPr>
      <w:r>
        <w:t xml:space="preserve">Question Set One</w:t>
      </w:r>
    </w:p>
    <w:p>
      <w:pPr>
        <w:numPr>
          <w:ilvl w:val="0"/>
          <w:numId w:val="1006"/>
        </w:numPr>
        <w:pStyle w:val="Compact"/>
      </w:pPr>
      <w:r>
        <w:t xml:space="preserve">Do you see any assumptions that are likely broken in the Residuals vs Fitted and Scale-Location plots?</w:t>
      </w:r>
    </w:p>
    <w:p>
      <w:pPr>
        <w:pStyle w:val="SourceCode"/>
      </w:pPr>
      <w:r>
        <w:rPr>
          <w:rStyle w:val="CommentTok"/>
        </w:rPr>
        <w:t xml:space="preserve"># Yes, it looks like we have unequal variance of errors in both figures.</w:t>
      </w:r>
    </w:p>
    <w:p>
      <w:pPr>
        <w:numPr>
          <w:ilvl w:val="0"/>
          <w:numId w:val="1007"/>
        </w:numPr>
        <w:pStyle w:val="Compact"/>
      </w:pPr>
      <w:r>
        <w:t xml:space="preserve">If so, what is the consequence of violating this assumptions?</w:t>
      </w:r>
    </w:p>
    <w:p>
      <w:pPr>
        <w:pStyle w:val="SourceCode"/>
      </w:pPr>
      <w:r>
        <w:rPr>
          <w:rStyle w:val="CommentTok"/>
        </w:rPr>
        <w:t xml:space="preserve"># Our confidence intervals will either be artificially inflated or deflated (i.e. either too small or too big), making our predictions look more or less uncertain than they should be.</w:t>
      </w:r>
    </w:p>
    <w:p>
      <w:pPr>
        <w:numPr>
          <w:ilvl w:val="0"/>
          <w:numId w:val="1008"/>
        </w:numPr>
        <w:pStyle w:val="Compact"/>
      </w:pPr>
      <w:r>
        <w:t xml:space="preserve">Do you see any assumptions that are likely broken in the Q-Q Residuals plot?</w:t>
      </w:r>
    </w:p>
    <w:p>
      <w:pPr>
        <w:pStyle w:val="SourceCode"/>
      </w:pPr>
      <w:r>
        <w:rPr>
          <w:rStyle w:val="CommentTok"/>
        </w:rPr>
        <w:t xml:space="preserve"># Our residual errors are not perfectly Normally distributed, but they’re not that bad. We have three rental properties that are either more expensive or cheaper than we’d expect given the information provided to the model. If it were much more severe (e.g., dots all over the place), it could lead to inflated 95% confidence intervals.</w:t>
      </w:r>
    </w:p>
    <w:p>
      <w:pPr>
        <w:numPr>
          <w:ilvl w:val="0"/>
          <w:numId w:val="1009"/>
        </w:numPr>
        <w:pStyle w:val="Compact"/>
      </w:pPr>
      <w:r>
        <w:t xml:space="preserve">Are there any observations that are having a disproportionate affect on the model?</w:t>
      </w:r>
    </w:p>
    <w:p>
      <w:pPr>
        <w:pStyle w:val="SourceCode"/>
      </w:pPr>
      <w:r>
        <w:rPr>
          <w:rStyle w:val="CommentTok"/>
        </w:rPr>
        <w:t xml:space="preserve"># Yes, a few. We can see these in the Residuals vs. Leverage plot, with a few points highlighted by the text output (note that these don’t appear on the plot but are highlighted by the text output).</w:t>
      </w:r>
    </w:p>
    <w:p>
      <w:pPr>
        <w:numPr>
          <w:ilvl w:val="0"/>
          <w:numId w:val="1010"/>
        </w:numPr>
        <w:pStyle w:val="Compact"/>
      </w:pPr>
      <w:r>
        <w:t xml:space="preserve">If there are any such observations, what should we do about them (if in doubt, ask a member of staff)?</w:t>
      </w:r>
    </w:p>
    <w:p>
      <w:pPr>
        <w:pStyle w:val="SourceCode"/>
      </w:pPr>
      <w:r>
        <w:rPr>
          <w:rStyle w:val="CommentTok"/>
        </w:rPr>
        <w:t xml:space="preserve"># We have three options, though one isn’t very practical for us today:</w:t>
      </w:r>
      <w:r>
        <w:br/>
      </w:r>
      <w:r>
        <w:br/>
      </w:r>
      <w:r>
        <w:rPr>
          <w:rStyle w:val="CommentTok"/>
        </w:rPr>
        <w:t xml:space="preserve"># 1. Collect more data: This is the ideal solution. Influential observations are usually more problematic in smaller datasets, so gathering more data could help smooth out their impact. Unfortunately, that’s not an option for us today.</w:t>
      </w:r>
      <w:r>
        <w:br/>
      </w:r>
      <w:r>
        <w:br/>
      </w:r>
      <w:r>
        <w:rPr>
          <w:rStyle w:val="CommentTok"/>
        </w:rPr>
        <w:t xml:space="preserve"># 2. Remove these observations and rerun the analysis: A lot of papers go with this approach. However, the problem comes when they don't make it clear that they've done this, or they remove the observations but don't show the what difference it made. This is not a good option. If you are going to remove the observations, then instead do option 3.</w:t>
      </w:r>
      <w:r>
        <w:br/>
      </w:r>
      <w:r>
        <w:br/>
      </w:r>
      <w:r>
        <w:rPr>
          <w:rStyle w:val="CommentTok"/>
        </w:rPr>
        <w:t xml:space="preserve"># 3. Rerun the model without these problematic observations and compare the parameter estimates of the two models. If removing them doesn’t drastically change the estimates, you might as well stick with the original model (telling your reader that you've checked both models and showing them both). If it does make a difference, things get more complicated. In that case, you should still report both models but focus on the one you feel is “better.” What “better” means here is up to you; there’s no definitively "right" answer (but not having high leverage might be a sensible measure).</w:t>
      </w:r>
      <w:r>
        <w:br/>
      </w:r>
      <w:r>
        <w:br/>
      </w:r>
      <w:r>
        <w:rPr>
          <w:rStyle w:val="CommentTok"/>
        </w:rPr>
        <w:t xml:space="preserve"># Here’s how you’d do option 3:</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324</w:t>
      </w:r>
      <w:r>
        <w:rPr>
          <w:rStyle w:val="NormalTok"/>
        </w:rPr>
        <w:t xml:space="preserve">, </w:t>
      </w:r>
      <w:r>
        <w:rPr>
          <w:rStyle w:val="DecValTok"/>
        </w:rPr>
        <w:t xml:space="preserve">534</w:t>
      </w:r>
      <w:r>
        <w:rPr>
          <w:rStyle w:val="NormalTok"/>
        </w:rPr>
        <w:t xml:space="preserve">),]</w:t>
      </w:r>
      <w:r>
        <w:br/>
      </w:r>
      <w:r>
        <w:rPr>
          <w:rStyle w:val="NormalTok"/>
        </w:rPr>
        <w:t xml:space="preserve">trimmed_rent_mod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abdn_trimmed)</w:t>
      </w:r>
      <w:r>
        <w:br/>
      </w:r>
      <w:r>
        <w:rPr>
          <w:rStyle w:val="FunctionTok"/>
        </w:rPr>
        <w:t xml:space="preserve">coef</w:t>
      </w:r>
      <w:r>
        <w:rPr>
          <w:rStyle w:val="NormalTok"/>
        </w:rPr>
        <w:t xml:space="preserve">(trimmed_rent_mod) </w:t>
      </w:r>
      <w:r>
        <w:rPr>
          <w:rStyle w:val="CommentTok"/>
        </w:rPr>
        <w:t xml:space="preserve"># coef() gives just the "coefficients" or parameter estimates</w:t>
      </w:r>
      <w:r>
        <w:br/>
      </w:r>
      <w:r>
        <w:rPr>
          <w:rStyle w:val="FunctionTok"/>
        </w:rPr>
        <w:t xml:space="preserve">coef</w:t>
      </w:r>
      <w:r>
        <w:rPr>
          <w:rStyle w:val="NormalTok"/>
        </w:rPr>
        <w:t xml:space="preserve">(rent_mod)</w:t>
      </w:r>
      <w:r>
        <w:br/>
      </w:r>
      <w:r>
        <w:rPr>
          <w:rStyle w:val="CommentTok"/>
        </w:rPr>
        <w:t xml:space="preserve"># By comparing the two models, you can see the effect these observations had. Sometimes this will have an impact, in which case it might seem that there are influential observations but other times the parameter estimates won't really change. Over the years of adding observations to this dataset, sometimes there are flats that once removed changes things but with an increasingly large dataset, they become less impactful.</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SourceCode"/>
      </w:pPr>
      <w:r>
        <w:rPr>
          <w:rStyle w:val="VerbatimChar"/>
        </w:rPr>
        <w:t xml:space="preserve">## Warning: not plotting observations with leverage one:</w:t>
      </w:r>
      <w:r>
        <w:br/>
      </w:r>
      <w:r>
        <w:rPr>
          <w:rStyle w:val="VerbatimChar"/>
        </w:rPr>
        <w:t xml:space="preserve">##   487</w:t>
      </w:r>
    </w:p>
    <w:p>
      <w:pPr>
        <w:pStyle w:val="FirstParagraph"/>
      </w:pPr>
      <w:r>
        <w:drawing>
          <wp:inline>
            <wp:extent cx="4620126" cy="3696101"/>
            <wp:effectExtent b="0" l="0" r="0" t="0"/>
            <wp:docPr descr="" title="" id="34" name="Picture"/>
            <a:graphic>
              <a:graphicData uri="http://schemas.openxmlformats.org/drawingml/2006/picture">
                <pic:pic>
                  <pic:nvPicPr>
                    <pic:cNvPr descr="Workshop-7---LM-with-multiple-predictors--with-answers-_files/figure-docx/unnamed-chunk-14-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7" name="Picture"/>
            <a:graphic>
              <a:graphicData uri="http://schemas.openxmlformats.org/drawingml/2006/picture">
                <pic:pic>
                  <pic:nvPicPr>
                    <pic:cNvPr descr="Workshop-7---LM-with-multiple-predictors--with-answers-_files/figure-docx/unnamed-chunk-14-2.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0" name="Picture"/>
            <a:graphic>
              <a:graphicData uri="http://schemas.openxmlformats.org/drawingml/2006/picture">
                <pic:pic>
                  <pic:nvPicPr>
                    <pic:cNvPr descr="Workshop-7---LM-with-multiple-predictors--with-answers-_files/figure-docx/unnamed-chunk-14-3.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3" name="Picture"/>
            <a:graphic>
              <a:graphicData uri="http://schemas.openxmlformats.org/drawingml/2006/picture">
                <pic:pic>
                  <pic:nvPicPr>
                    <pic:cNvPr descr="Workshop-7---LM-with-multiple-predictors--with-answers-_files/figure-docx/unnamed-chunk-14-4.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5"/>
    <w:bookmarkEnd w:id="46"/>
    <w:bookmarkStart w:id="62"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-550.42  -84.03   -0.61   62.93  965.91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341.7095   176.6300   1.935  0.05353 .  </w:t>
      </w:r>
      <w:r>
        <w:br/>
      </w:r>
      <w:r>
        <w:rPr>
          <w:rStyle w:val="VerbatimChar"/>
        </w:rPr>
        <w:t xml:space="preserve">## FloorArea      1.2614     0.4429   2.848  0.00455 ** </w:t>
      </w:r>
      <w:r>
        <w:br/>
      </w:r>
      <w:r>
        <w:rPr>
          <w:rStyle w:val="VerbatimChar"/>
        </w:rPr>
        <w:t xml:space="preserve">## Rooms        109.5730    12.2873   8.918  &lt; 2e-16 ***</w:t>
      </w:r>
      <w:r>
        <w:br/>
      </w:r>
      <w:r>
        <w:rPr>
          <w:rStyle w:val="VerbatimChar"/>
        </w:rPr>
        <w:t xml:space="preserve">## EPCB          66.5610   175.9078   0.378  0.70528    </w:t>
      </w:r>
      <w:r>
        <w:br/>
      </w:r>
      <w:r>
        <w:rPr>
          <w:rStyle w:val="VerbatimChar"/>
        </w:rPr>
        <w:t xml:space="preserve">## EPCC         -70.8969   174.7223  -0.406  0.68506    </w:t>
      </w:r>
      <w:r>
        <w:br/>
      </w:r>
      <w:r>
        <w:rPr>
          <w:rStyle w:val="VerbatimChar"/>
        </w:rPr>
        <w:t xml:space="preserve">## EPCD        -104.5269   174.7372  -0.598  0.54995    </w:t>
      </w:r>
      <w:r>
        <w:br/>
      </w:r>
      <w:r>
        <w:rPr>
          <w:rStyle w:val="VerbatimChar"/>
        </w:rPr>
        <w:t xml:space="preserve">## EPCE        -158.4724   175.6535  -0.902  0.36733    </w:t>
      </w:r>
      <w:r>
        <w:br/>
      </w:r>
      <w:r>
        <w:rPr>
          <w:rStyle w:val="VerbatimChar"/>
        </w:rPr>
        <w:t xml:space="preserve">## EPCF        -198.2739   182.9976  -1.083  0.27905    </w:t>
      </w:r>
      <w:r>
        <w:br/>
      </w:r>
      <w:r>
        <w:rPr>
          <w:rStyle w:val="VerbatimChar"/>
        </w:rPr>
        <w:t xml:space="preserve">## EPCG        -142.5350   214.3310  -0.665  0.50630    </w:t>
      </w:r>
      <w:r>
        <w:br/>
      </w:r>
      <w:r>
        <w:rPr>
          <w:rStyle w:val="VerbatimChar"/>
        </w:rPr>
        <w:t xml:space="preserve">## TaxB          10.1935    24.1703   0.422  0.67338    </w:t>
      </w:r>
      <w:r>
        <w:br/>
      </w:r>
      <w:r>
        <w:rPr>
          <w:rStyle w:val="VerbatimChar"/>
        </w:rPr>
        <w:t xml:space="preserve">## TaxC          66.0565    25.5255   2.588  0.00990 ** </w:t>
      </w:r>
      <w:r>
        <w:br/>
      </w:r>
      <w:r>
        <w:rPr>
          <w:rStyle w:val="VerbatimChar"/>
        </w:rPr>
        <w:t xml:space="preserve">## TaxD         116.0097    25.5436   4.542 6.80e-06 ***</w:t>
      </w:r>
      <w:r>
        <w:br/>
      </w:r>
      <w:r>
        <w:rPr>
          <w:rStyle w:val="VerbatimChar"/>
        </w:rPr>
        <w:t xml:space="preserve">## TaxE         195.2465    31.9516   6.111 1.83e-09 ***</w:t>
      </w:r>
      <w:r>
        <w:br/>
      </w:r>
      <w:r>
        <w:rPr>
          <w:rStyle w:val="VerbatimChar"/>
        </w:rPr>
        <w:t xml:space="preserve">## TaxF         331.9398    45.0717   7.365 6.18e-13 ***</w:t>
      </w:r>
      <w:r>
        <w:br/>
      </w:r>
      <w:r>
        <w:rPr>
          <w:rStyle w:val="VerbatimChar"/>
        </w:rPr>
        <w:t xml:space="preserve">## TaxG         682.9880    56.2501  12.142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173.7 on 576 degrees of freedom</w:t>
      </w:r>
      <w:r>
        <w:br/>
      </w:r>
      <w:r>
        <w:rPr>
          <w:rStyle w:val="VerbatimChar"/>
        </w:rPr>
        <w:t xml:space="preserve">## Multiple R-squared:  0.7887, Adjusted R-squared:  0.7836 </w:t>
      </w:r>
      <w:r>
        <w:br/>
      </w:r>
      <w:r>
        <w:rPr>
          <w:rStyle w:val="VerbatimChar"/>
        </w:rPr>
        <w:t xml:space="preserve">## F-statistic: 153.6 on 14 and 576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£1.26.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£62.97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8" name="Picture"/>
            <a:graphic>
              <a:graphicData uri="http://schemas.openxmlformats.org/drawingml/2006/picture">
                <pic:pic>
                  <pic:nvPicPr>
                    <pic:cNvPr descr="Workshop-7---LM-with-multiple-predictors--with-answers-_files/figure-docx/unnamed-chunk-1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51" name="Picture"/>
            <a:graphic>
              <a:graphicData uri="http://schemas.openxmlformats.org/drawingml/2006/picture">
                <pic:pic>
                  <pic:nvPicPr>
                    <pic:cNvPr descr="Workshop-7---LM-with-multiple-predictors--with-answers-_files/figure-docx/unnamed-chunk-1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4" name="Picture"/>
            <a:graphic>
              <a:graphicData uri="http://schemas.openxmlformats.org/drawingml/2006/picture">
                <pic:pic>
                  <pic:nvPicPr>
                    <pic:cNvPr descr="Workshop-7---LM-with-multiple-predictors--with-answers-_files/figure-docx/unnamed-chunk-1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7" name="Picture"/>
            <a:graphic>
              <a:graphicData uri="http://schemas.openxmlformats.org/drawingml/2006/picture">
                <pic:pic>
                  <pic:nvPicPr>
                    <pic:cNvPr descr="Workshop-7---LM-with-multiple-predictors--with-answers-_files/figure-docx/unnamed-chunk-18-4.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 the</w:t>
      </w:r>
      <w:r>
        <w:t xml:space="preserve"> </w:t>
      </w:r>
      <w:r>
        <w:rPr>
          <w:rStyle w:val="VerbatimChar"/>
        </w:rPr>
        <w:t xml:space="preserve">ggeffects</w:t>
      </w:r>
      <w:r>
        <w:t xml:space="preserve"> </w:t>
      </w:r>
      <w:r>
        <w:t xml:space="preserve">gods, feel free to convert your categorical variables to</w:t>
      </w:r>
      <w:r>
        <w:t xml:space="preserve"> </w:t>
      </w:r>
      <w:r>
        <w:rPr>
          <w:rStyle w:val="VerbatimChar"/>
        </w:rPr>
        <w:t xml:space="preserve">factors</w:t>
      </w:r>
      <w:r>
        <w:t xml:space="preserve"> </w:t>
      </w:r>
      <w:r>
        <w:t xml:space="preserve">(using the</w:t>
      </w:r>
      <w:r>
        <w:t xml:space="preserve"> </w:t>
      </w:r>
      <w:r>
        <w:rPr>
          <w:rStyle w:val="VerbatimChar"/>
        </w:rPr>
        <w:t xml:space="preserve">factor()</w:t>
      </w:r>
      <w:r>
        <w:t xml:space="preserve"> </w:t>
      </w:r>
      <w:r>
        <w:t xml:space="preserve">function) and rerun your analysis.</w:t>
      </w:r>
    </w:p>
    <w:p>
      <w:pPr>
        <w:pStyle w:val="SourceCode"/>
      </w:pPr>
      <w:r>
        <w:rPr>
          <w:rStyle w:val="CommentTok"/>
        </w:rPr>
        <w:t xml:space="preserve"># To make these predictions manually we still do things the same way as before. The only extra complication is that we do this for each explanatory variable in turn. Additionally, we need to specify values for all explanatory variables, even those we aren't making predictions for:</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by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FunctionTok"/>
        </w:rPr>
        <w:t xml:space="preserve">median</w:t>
      </w:r>
      <w:r>
        <w:rPr>
          <w:rStyle w:val="NormalTok"/>
        </w:rPr>
        <w:t xml:space="preserve">(abdn</w:t>
      </w:r>
      <w:r>
        <w:rPr>
          <w:rStyle w:val="SpecialCharTok"/>
        </w:rPr>
        <w:t xml:space="preserve">$</w:t>
      </w:r>
      <w:r>
        <w:rPr>
          <w:rStyle w:val="NormalTok"/>
        </w:rPr>
        <w:t xml:space="preserve">Rooms),</w:t>
      </w:r>
      <w:r>
        <w:br/>
      </w:r>
      <w:r>
        <w:rPr>
          <w:rStyle w:val="NormalTok"/>
        </w:rPr>
        <w:t xml:space="preserve">  </w:t>
      </w:r>
      <w:r>
        <w:rPr>
          <w:rStyle w:val="AttributeTok"/>
        </w:rPr>
        <w:t xml:space="preserve">Tax =</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"D"</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CommentTok"/>
        </w:rPr>
        <w:t xml:space="preserve"># Plot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rental Price"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61" w:name="question-set-two"/>
    <w:p>
      <w:pPr>
        <w:pStyle w:val="Heading3"/>
      </w:pPr>
      <w:r>
        <w:t xml:space="preserve">Question Set Two</w:t>
      </w:r>
    </w:p>
    <w:p>
      <w:pPr>
        <w:numPr>
          <w:ilvl w:val="0"/>
          <w:numId w:val="1011"/>
        </w:numPr>
        <w:pStyle w:val="Compact"/>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pStyle w:val="SourceCode"/>
      </w:pPr>
      <w:r>
        <w:rPr>
          <w:rStyle w:val="CommentTok"/>
        </w:rPr>
        <w:t xml:space="preserve"># No, we can't identify causal relationships with this model. This model is designed to predict rent Prices and not to understand the cause-and-effect relationship between variables.</w:t>
      </w:r>
    </w:p>
    <w:p>
      <w:pPr>
        <w:numPr>
          <w:ilvl w:val="0"/>
          <w:numId w:val="1012"/>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numPr>
          <w:ilvl w:val="0"/>
          <w:numId w:val="1012"/>
        </w:numPr>
      </w:pPr>
      <w:r>
        <w:t xml:space="preserve">Go to the letting agency website,</w:t>
      </w:r>
      <w:r>
        <w:t xml:space="preserve"> </w:t>
      </w:r>
      <w:hyperlink r:id="rId59">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SourceCode"/>
      </w:pPr>
      <w:r>
        <w:rPr>
          <w:rStyle w:val="CommentTok"/>
        </w:rPr>
        <w:t xml:space="preserve">#E.g. I'll use this property: https://www.aspc.co.uk/search/property/427426/6-Joss-Court/Aberdeen/</w:t>
      </w:r>
      <w:r>
        <w:br/>
      </w:r>
      <w:r>
        <w:br/>
      </w:r>
      <w:r>
        <w:rPr>
          <w:rStyle w:val="CommentTok"/>
        </w:rPr>
        <w:t xml:space="preserve"># I need to create a dataframe to contain the relevant information:</w:t>
      </w:r>
      <w:r>
        <w:br/>
      </w:r>
      <w:r>
        <w:rPr>
          <w:rStyle w:val="NormalTok"/>
        </w:rPr>
        <w:t xml:space="preserve">joss_court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DecValTok"/>
        </w:rPr>
        <w:t xml:space="preserve">61</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Tax =</w:t>
      </w:r>
      <w:r>
        <w:rPr>
          <w:rStyle w:val="NormalTok"/>
        </w:rPr>
        <w:t xml:space="preserve"> </w:t>
      </w:r>
      <w:r>
        <w:rPr>
          <w:rStyle w:val="StringTok"/>
        </w:rPr>
        <w:t xml:space="preserve">"C"</w:t>
      </w:r>
      <w:r>
        <w:br/>
      </w:r>
      <w:r>
        <w:rPr>
          <w:rStyle w:val="NormalTok"/>
        </w:rPr>
        <w:t xml:space="preserve">)</w:t>
      </w:r>
      <w:r>
        <w:br/>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w:t>
      </w:r>
      <w:r>
        <w:br/>
      </w:r>
      <w:r>
        <w:br/>
      </w:r>
      <w:r>
        <w:rPr>
          <w:rStyle w:val="CommentTok"/>
        </w:rPr>
        <w:t xml:space="preserve"># The model predicts this property should be £740, and is actually listed at £800; £60 off is not bad for predicting the rent of a flat the model has never seen before! (That £60 is also the residual error!)</w:t>
      </w:r>
      <w:r>
        <w:br/>
      </w:r>
      <w:r>
        <w:br/>
      </w:r>
      <w:r>
        <w:rPr>
          <w:rStyle w:val="CommentTok"/>
        </w:rPr>
        <w:t xml:space="preserve"># We could always include 95% CI to see if the true rent is within our intervals (using a shortcut to getting 95% CI):</w:t>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rPr>
          <w:rStyle w:val="CommentTok"/>
        </w:rPr>
        <w:t xml:space="preserve"># And the true rent is comfortably within our intervals</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60">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61"/>
    <w:bookmarkEnd w:id="62"/>
    <w:bookmarkEnd w:id="63"/>
    <w:bookmarkStart w:id="78"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4"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4"/>
    <w:bookmarkStart w:id="68" w:name="creating-a-dag"/>
    <w:p>
      <w:pPr>
        <w:pStyle w:val="Heading2"/>
      </w:pPr>
      <w:r>
        <w:t xml:space="preserve">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Table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Acyclic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13"/>
        </w:numPr>
        <w:pStyle w:val="Compact"/>
      </w:pPr>
      <w:r>
        <w:t xml:space="preserve">Specify the Causal Relationships for the Response Variable:</w:t>
      </w:r>
    </w:p>
    <w:p>
      <w:pPr>
        <w:numPr>
          <w:ilvl w:val="0"/>
          <w:numId w:val="1014"/>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5"/>
        </w:numPr>
        <w:pStyle w:val="Compact"/>
      </w:pPr>
      <w:r>
        <w:t xml:space="preserve">Define the Relationships Between Variables:</w:t>
      </w:r>
    </w:p>
    <w:p>
      <w:pPr>
        <w:numPr>
          <w:ilvl w:val="0"/>
          <w:numId w:val="1016"/>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7"/>
        </w:numPr>
        <w:pStyle w:val="Compact"/>
      </w:pPr>
      <w:r>
        <w:t xml:space="preserve">Set Up the Response and Explanatory Variables:</w:t>
      </w:r>
    </w:p>
    <w:p>
      <w:pPr>
        <w:numPr>
          <w:ilvl w:val="0"/>
          <w:numId w:val="1018"/>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6" name="Picture"/>
            <a:graphic>
              <a:graphicData uri="http://schemas.openxmlformats.org/drawingml/2006/picture">
                <pic:pic>
                  <pic:nvPicPr>
                    <pic:cNvPr descr="Workshop-7---LM-with-multiple-predictors--with-answers-_files/figure-docx/unnamed-chunk-26-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8"/>
    <w:bookmarkStart w:id="69"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9"/>
    <w:bookmarkStart w:id="73"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with-answers-_files/figure-docx/unnamed-chunk-3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There are likely some issues that show up in the diagnostics.</w:t>
      </w:r>
    </w:p>
    <w:p>
      <w:pPr>
        <w:numPr>
          <w:ilvl w:val="0"/>
          <w:numId w:val="1019"/>
        </w:numPr>
      </w:pPr>
      <w:r>
        <w:t xml:space="preserve">The first is unequal variance of errors. If you think about it, it’s maybe not too surprising for two reasons.</w:t>
      </w:r>
    </w:p>
    <w:p>
      <w:pPr>
        <w:numPr>
          <w:ilvl w:val="1"/>
          <w:numId w:val="1020"/>
        </w:numPr>
      </w:pPr>
      <w:r>
        <w:t xml:space="preserve">In your EDA, if you did a histogram of</w:t>
      </w:r>
      <w:r>
        <w:t xml:space="preserve"> </w:t>
      </w:r>
      <w:r>
        <w:rPr>
          <w:rStyle w:val="VerbatimChar"/>
        </w:rPr>
        <w:t xml:space="preserve">Price</w:t>
      </w:r>
      <w:r>
        <w:t xml:space="preserve">, then you may have noticed that rent tends to be rounded to £25-£50 increments when the rent is less than £1000, but when the property is more than £1000, this rounding increases to £50-£100. This creates</w:t>
      </w:r>
      <w:r>
        <w:t xml:space="preserve"> </w:t>
      </w:r>
      <w:r>
        <w:t xml:space="preserve">“</w:t>
      </w:r>
      <w:r>
        <w:t xml:space="preserve">error</w:t>
      </w:r>
      <w:r>
        <w:t xml:space="preserve">”</w:t>
      </w:r>
      <w:r>
        <w:t xml:space="preserve"> </w:t>
      </w:r>
      <w:r>
        <w:t xml:space="preserve">in the price measurement at higher prices, so our model uncertainty performs</w:t>
      </w:r>
      <w:r>
        <w:t xml:space="preserve"> </w:t>
      </w:r>
      <w:r>
        <w:t xml:space="preserve">“</w:t>
      </w:r>
      <w:r>
        <w:t xml:space="preserve">worse</w:t>
      </w:r>
      <w:r>
        <w:t xml:space="preserve">”</w:t>
      </w:r>
      <w:r>
        <w:t xml:space="preserve">.</w:t>
      </w:r>
    </w:p>
    <w:p>
      <w:pPr>
        <w:numPr>
          <w:ilvl w:val="1"/>
          <w:numId w:val="1020"/>
        </w:numPr>
      </w:pPr>
      <w:r>
        <w:t xml:space="preserve">Keep in mind that unequal variance of errors impacts our estimated standard error, which in turn impacts our 95% confidence intervals. It does not affect our actual prediction.</w:t>
      </w:r>
    </w:p>
    <w:p>
      <w:pPr>
        <w:numPr>
          <w:ilvl w:val="1"/>
          <w:numId w:val="1020"/>
        </w:numPr>
      </w:pPr>
      <w:r>
        <w:t xml:space="preserve">The other reason is that estate agents have a easier time guessing the rent for</w:t>
      </w:r>
      <w:r>
        <w:t xml:space="preserve"> </w:t>
      </w:r>
      <w:r>
        <w:t xml:space="preserve">“</w:t>
      </w:r>
      <w:r>
        <w:t xml:space="preserve">cheap</w:t>
      </w:r>
      <w:r>
        <w:t xml:space="preserve">”</w:t>
      </w:r>
      <w:r>
        <w:t xml:space="preserve"> </w:t>
      </w:r>
      <w:r>
        <w:t xml:space="preserve">properties. For cheap flats, it’s easier to pin down the right rent because £250 is a big chunk of the total (e.g. going from £500 to £750 is a big jump). For a luxury mansion, £250 hardly moves the needle (e.g. going from £3,500 to £3,750), so estimates naturally spread out more as price increases.</w:t>
      </w:r>
    </w:p>
    <w:p>
      <w:pPr>
        <w:numPr>
          <w:ilvl w:val="0"/>
          <w:numId w:val="1019"/>
        </w:numPr>
      </w:pPr>
      <w:r>
        <w:t xml:space="preserve">The second issue you might see is that you may have one or multiple overly influential observations. This has fluctuated over time as I’ve added more and more data (sometimes these disappear, other times more appear) but generally there are one or two expensive properties that cause issues and need to be addressed.</w:t>
      </w:r>
    </w:p>
    <w:p>
      <w:pPr>
        <w:numPr>
          <w:ilvl w:val="1"/>
          <w:numId w:val="1021"/>
        </w:numPr>
      </w:pPr>
      <w:r>
        <w:t xml:space="preserve">Influential observations do impact the parameter estimates, so you would first want to confirm if the entered</w:t>
      </w:r>
      <w:r>
        <w:t xml:space="preserve"> </w:t>
      </w:r>
      <w:r>
        <w:rPr>
          <w:rStyle w:val="VerbatimChar"/>
        </w:rPr>
        <w:t xml:space="preserve">Price</w:t>
      </w:r>
      <w:r>
        <w:t xml:space="preserve"> </w:t>
      </w:r>
      <w:r>
        <w:t xml:space="preserve">is correct (which you can check given you have</w:t>
      </w:r>
      <w:r>
        <w:t xml:space="preserve"> </w:t>
      </w:r>
      <w:r>
        <w:rPr>
          <w:rStyle w:val="VerbatimChar"/>
        </w:rPr>
        <w:t xml:space="preserve">PropertyURL</w:t>
      </w:r>
      <w:r>
        <w:t xml:space="preserve"> </w:t>
      </w:r>
      <w:r>
        <w:t xml:space="preserve">- but note that ASPC sometimes removes properties)</w:t>
      </w:r>
    </w:p>
    <w:p>
      <w:pPr>
        <w:numPr>
          <w:ilvl w:val="1"/>
          <w:numId w:val="1021"/>
        </w:numPr>
      </w:pPr>
      <w:r>
        <w:t xml:space="preserve">If you confirm the</w:t>
      </w:r>
      <w:r>
        <w:t xml:space="preserve"> </w:t>
      </w:r>
      <w:r>
        <w:rPr>
          <w:rStyle w:val="VerbatimChar"/>
        </w:rPr>
        <w:t xml:space="preserve">Price</w:t>
      </w:r>
      <w:r>
        <w:t xml:space="preserve"> </w:t>
      </w:r>
      <w:r>
        <w:t xml:space="preserve">has been recorded properly, then you will need to decide how to resolve. Generally, you have two options, either ignore the problem (but acknowledge it when talking about your results) or remove the observation from your dataset. There are some other options, but we won’t go into them here.</w:t>
      </w:r>
    </w:p>
    <w:p>
      <w:pPr>
        <w:pStyle w:val="FirstParagraph"/>
      </w:pPr>
      <w:r>
        <w:t xml:space="preserve">Fix any issues with influential properties, and rerun your analysis.</w:t>
      </w:r>
    </w:p>
    <w:p>
      <w:pPr>
        <w:pStyle w:val="SourceCode"/>
      </w:pPr>
      <w:r>
        <w:rPr>
          <w:rStyle w:val="CommentTok"/>
        </w:rPr>
        <w:t xml:space="preserve"># If your row numbers are different to mine, make sure you re-loaded the data in before starting with the causal model and note that by the time of this workshop (and with more data) observation 73 may not be a problem anymore, or it may have changed to a different observation.</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73</w:t>
      </w:r>
      <w:r>
        <w:rPr>
          <w:rStyle w:val="NormalTok"/>
        </w:rPr>
        <w:t xml:space="preserve">),]</w:t>
      </w:r>
      <w:r>
        <w:br/>
      </w: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abdn_trimmed)</w:t>
      </w:r>
      <w:r>
        <w:br/>
      </w:r>
      <w:r>
        <w:rPr>
          <w:rStyle w:val="CommentTok"/>
        </w:rPr>
        <w:t xml:space="preserve"># Diagnostics now look good except for unequal variance of errors.</w:t>
      </w:r>
    </w:p>
    <w:bookmarkEnd w:id="73"/>
    <w:bookmarkStart w:id="77"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-960.59 -102.29   -2.00   80.33 1295.40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209.0272    20.1499   10.37   &lt;2e-16 ***</w:t>
      </w:r>
      <w:r>
        <w:br/>
      </w:r>
      <w:r>
        <w:rPr>
          <w:rStyle w:val="VerbatimChar"/>
        </w:rPr>
        <w:t xml:space="preserve">## FloorArea     8.3567     0.2384   35.05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215 on 590 degrees of freedom</w:t>
      </w:r>
      <w:r>
        <w:br/>
      </w:r>
      <w:r>
        <w:rPr>
          <w:rStyle w:val="VerbatimChar"/>
        </w:rPr>
        <w:t xml:space="preserve">## Multiple R-squared:  0.6755, Adjusted R-squared:  0.675 </w:t>
      </w:r>
      <w:r>
        <w:br/>
      </w:r>
      <w:r>
        <w:rPr>
          <w:rStyle w:val="VerbatimChar"/>
        </w:rPr>
        <w:t xml:space="preserve">## F-statistic:  1228 on 1 and 590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Workshop-7---LM-with-multiple-predictors--with-answers-_files/figure-docx/unnamed-chunk-3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£8.36 per month. So long as we assume that our DAG is accurate (a potentially big assumption), this £8.36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rent by £1.26 per month. At the time, we noted that £1.26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7"/>
    <w:bookmarkEnd w:id="78"/>
    <w:bookmarkStart w:id="79"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p>
      <w:pPr>
        <w:pStyle w:val="SourceCode"/>
      </w:pPr>
      <w:r>
        <w:rPr>
          <w:rStyle w:val="CommentTok"/>
        </w:rPr>
        <w:t xml:space="preserve"># This is the same DAG as above. Nothing actually changes in the DAG even though our research question has.</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br/>
      </w:r>
      <w:r>
        <w:rPr>
          <w:rStyle w:val="NormalTok"/>
        </w:rPr>
        <w:t xml:space="preserve">rent_dag</w:t>
      </w:r>
      <w:r>
        <w:br/>
      </w:r>
      <w:r>
        <w:rPr>
          <w:rStyle w:val="CommentTok"/>
        </w:rPr>
        <w:t xml:space="preserve"># To estimate the causal effect of EPC, we need to include FloorArea in the model:</w:t>
      </w:r>
      <w:r>
        <w:br/>
      </w:r>
      <w:r>
        <w:rPr>
          <w:rStyle w:val="NormalTok"/>
        </w:rPr>
        <w:t xml:space="preserve">EPC_mod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EPC </w:t>
      </w:r>
      <w:r>
        <w:rPr>
          <w:rStyle w:val="SpecialCharTok"/>
        </w:rPr>
        <w:t xml:space="preserve">+</w:t>
      </w:r>
      <w:r>
        <w:rPr>
          <w:rStyle w:val="NormalTok"/>
        </w:rPr>
        <w:t xml:space="preserve"> FloorArea, </w:t>
      </w:r>
      <w:r>
        <w:rPr>
          <w:rStyle w:val="AttributeTok"/>
        </w:rPr>
        <w:t xml:space="preserve">data =</w:t>
      </w:r>
      <w:r>
        <w:rPr>
          <w:rStyle w:val="NormalTok"/>
        </w:rPr>
        <w:t xml:space="preserve"> abdn)</w:t>
      </w:r>
      <w:r>
        <w:br/>
      </w:r>
      <w:r>
        <w:rPr>
          <w:rStyle w:val="CommentTok"/>
        </w:rPr>
        <w:t xml:space="preserve"># Check diagnostics:</w:t>
      </w:r>
      <w:r>
        <w:br/>
      </w:r>
      <w:r>
        <w:rPr>
          <w:rStyle w:val="FunctionTok"/>
        </w:rPr>
        <w:t xml:space="preserve">plot</w:t>
      </w:r>
      <w:r>
        <w:rPr>
          <w:rStyle w:val="NormalTok"/>
        </w:rPr>
        <w:t xml:space="preserve">(EPC_mod) </w:t>
      </w:r>
      <w:r>
        <w:rPr>
          <w:rStyle w:val="CommentTok"/>
        </w:rPr>
        <w:t xml:space="preserve"># No issues with this model</w:t>
      </w:r>
      <w:r>
        <w:br/>
      </w:r>
      <w:r>
        <w:rPr>
          <w:rStyle w:val="FunctionTok"/>
        </w:rPr>
        <w:t xml:space="preserve">summary</w:t>
      </w:r>
      <w:r>
        <w:rPr>
          <w:rStyle w:val="NormalTok"/>
        </w:rPr>
        <w:t xml:space="preserve">(EPC_mod)</w:t>
      </w:r>
      <w:r>
        <w:br/>
      </w:r>
      <w:r>
        <w:rPr>
          <w:rStyle w:val="FunctionTok"/>
        </w:rPr>
        <w:t xml:space="preserve">plot</w:t>
      </w:r>
      <w:r>
        <w:rPr>
          <w:rStyle w:val="NormalTok"/>
        </w:rPr>
        <w:t xml:space="preserve">(</w:t>
      </w:r>
      <w:r>
        <w:rPr>
          <w:rStyle w:val="FunctionTok"/>
        </w:rPr>
        <w:t xml:space="preserve">ggpredict</w:t>
      </w:r>
      <w:r>
        <w:rPr>
          <w:rStyle w:val="NormalTok"/>
        </w:rPr>
        <w:t xml:space="preserve">(EPC_mod, </w:t>
      </w:r>
      <w:r>
        <w:rPr>
          <w:rStyle w:val="AttributeTok"/>
        </w:rPr>
        <w:t xml:space="preserve">terms =</w:t>
      </w:r>
      <w:r>
        <w:rPr>
          <w:rStyle w:val="NormalTok"/>
        </w:rPr>
        <w:t xml:space="preserve"> </w:t>
      </w:r>
      <w:r>
        <w:rPr>
          <w:rStyle w:val="StringTok"/>
        </w:rPr>
        <w:t xml:space="preserve">"EPC"</w:t>
      </w:r>
      <w:r>
        <w:rPr>
          <w:rStyle w:val="NormalTok"/>
        </w:rPr>
        <w:t xml:space="preserve">))</w:t>
      </w:r>
      <w:r>
        <w:br/>
      </w:r>
      <w:r>
        <w:rPr>
          <w:rStyle w:val="CommentTok"/>
        </w:rPr>
        <w:t xml:space="preserve"># The causal effects seem to be all over the place. This either suggests that the DAG may be more complex than I've assumed, or we need more data to estimate this relationship properly.</w:t>
      </w:r>
      <w:r>
        <w:br/>
      </w:r>
      <w:r>
        <w:br/>
      </w:r>
      <w:r>
        <w:rPr>
          <w:rStyle w:val="CommentTok"/>
        </w:rPr>
        <w:t xml:space="preserve"># Note that we do not interpret FloorArea in this model. FloorArea is included simply to deal with confounded relationships, so under this version of the model is it now confounded. If we did interpret FloorArea from this model we would be falling into the "Table 2 Fallacy".</w:t>
      </w:r>
      <w:r>
        <w:br/>
      </w:r>
      <w:r>
        <w:br/>
      </w:r>
      <w:r>
        <w:rPr>
          <w:rStyle w:val="CommentTok"/>
        </w:rPr>
        <w:t xml:space="preserve"># As an example of how drawing a DAG can be challenging, below is a more fleshed out version of the DAG that has had more thought given to it:</w:t>
      </w:r>
      <w:r>
        <w:br/>
      </w:r>
      <w:r>
        <w:rPr>
          <w:rStyle w:val="NormalTok"/>
        </w:rPr>
        <w:t xml:space="preserve">better_dag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 </w:t>
      </w:r>
      <w:r>
        <w:rPr>
          <w:rStyle w:val="SpecialCharTok"/>
        </w:rPr>
        <w:t xml:space="preserve">+</w:t>
      </w:r>
      <w:r>
        <w:rPr>
          <w:rStyle w:val="NormalTok"/>
        </w:rPr>
        <w:t xml:space="preserve"> PropertyType,</w:t>
      </w:r>
      <w:r>
        <w:br/>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EPC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Tax </w:t>
      </w:r>
      <w:r>
        <w:rPr>
          <w:rStyle w:val="SpecialCharTok"/>
        </w:rPr>
        <w:t xml:space="preserve">~</w:t>
      </w:r>
      <w:r>
        <w:rPr>
          <w:rStyle w:val="NormalTok"/>
        </w:rPr>
        <w:t xml:space="preserve"> HistoricPrice,</w:t>
      </w:r>
      <w:r>
        <w:br/>
      </w:r>
      <w:r>
        <w:rPr>
          <w:rStyle w:val="NormalTok"/>
        </w:rPr>
        <w:t xml:space="preserve">  HistoricPrice </w:t>
      </w:r>
      <w:r>
        <w:rPr>
          <w:rStyle w:val="SpecialCharTok"/>
        </w:rPr>
        <w:t xml:space="preserve">~</w:t>
      </w:r>
      <w:r>
        <w:rPr>
          <w:rStyle w:val="NormalTok"/>
        </w:rPr>
        <w:t xml:space="preserve"> PropertyAge </w:t>
      </w:r>
      <w:r>
        <w:rPr>
          <w:rStyle w:val="SpecialCharTok"/>
        </w:rPr>
        <w:t xml:space="preserve">+</w:t>
      </w:r>
      <w:r>
        <w:rPr>
          <w:rStyle w:val="NormalTok"/>
        </w:rPr>
        <w:t xml:space="preserve"> PropertyType </w:t>
      </w:r>
      <w:r>
        <w:rPr>
          <w:rStyle w:val="SpecialCharTok"/>
        </w:rPr>
        <w:t xml:space="preserve">+</w:t>
      </w:r>
      <w:r>
        <w:rPr>
          <w:rStyle w:val="NormalTok"/>
        </w:rPr>
        <w:t xml:space="preserve"> Rooms </w:t>
      </w:r>
      <w:r>
        <w:rPr>
          <w:rStyle w:val="SpecialCharTok"/>
        </w:rPr>
        <w:t xml:space="preserve">+</w:t>
      </w:r>
      <w:r>
        <w:rPr>
          <w:rStyle w:val="NormalTok"/>
        </w:rPr>
        <w:t xml:space="preserve"> FloorArea,</w:t>
      </w:r>
      <w:r>
        <w:br/>
      </w:r>
      <w:r>
        <w:rPr>
          <w:rStyle w:val="NormalTok"/>
        </w:rPr>
        <w:t xml:space="preserve">  FloorArea </w:t>
      </w:r>
      <w:r>
        <w:rPr>
          <w:rStyle w:val="SpecialCharTok"/>
        </w:rPr>
        <w:t xml:space="preserve">~</w:t>
      </w:r>
      <w:r>
        <w:rPr>
          <w:rStyle w:val="NormalTok"/>
        </w:rPr>
        <w:t xml:space="preserve"> PropertyAge </w:t>
      </w:r>
      <w:r>
        <w:rPr>
          <w:rStyle w:val="SpecialCharTok"/>
        </w:rPr>
        <w:t xml:space="preserve">+</w:t>
      </w:r>
      <w:r>
        <w:rPr>
          <w:rStyle w:val="NormalTok"/>
        </w:rPr>
        <w:t xml:space="preserve"> PropertyType,</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rPr>
          <w:rStyle w:val="CommentTok"/>
        </w:rPr>
        <w:t xml:space="preserve"># (But keep in mind, this doesn't include things like how nicely it's decorated, it's general maintainence, how greedy the landlord is, etc, etc)</w:t>
      </w:r>
      <w:r>
        <w:br/>
      </w:r>
      <w:r>
        <w:rPr>
          <w:rStyle w:val="FunctionTok"/>
        </w:rPr>
        <w:t xml:space="preserve">plot</w:t>
      </w:r>
      <w:r>
        <w:rPr>
          <w:rStyle w:val="NormalTok"/>
        </w:rPr>
        <w:t xml:space="preserve">(better_dag)</w:t>
      </w:r>
      <w:r>
        <w:br/>
      </w:r>
      <w:r>
        <w:rPr>
          <w:rStyle w:val="NormalTok"/>
        </w:rPr>
        <w:t xml:space="preserve">better_dag</w:t>
      </w:r>
      <w:r>
        <w:br/>
      </w:r>
      <w:r>
        <w:rPr>
          <w:rStyle w:val="CommentTok"/>
        </w:rPr>
        <w:t xml:space="preserve"># Which tells us that we'd one of the following models:</w:t>
      </w:r>
      <w:r>
        <w:br/>
      </w:r>
      <w:r>
        <w:rPr>
          <w:rStyle w:val="CommentTok"/>
        </w:rPr>
        <w:t xml:space="preserve"># Rent ~ EPC + PropertyType + Rooms + FloorArea + Tax</w:t>
      </w:r>
      <w:r>
        <w:br/>
      </w:r>
      <w:r>
        <w:rPr>
          <w:rStyle w:val="CommentTok"/>
        </w:rPr>
        <w:t xml:space="preserve"># Rent ~ EPC + HistoricPrice + PropertyType + Rooms + FloorArea</w:t>
      </w:r>
      <w:r>
        <w:br/>
      </w:r>
      <w:r>
        <w:rPr>
          <w:rStyle w:val="CommentTok"/>
        </w:rPr>
        <w:t xml:space="preserve"># Rent ~ EPC + PropertyAge + FloorArea</w:t>
      </w:r>
      <w:r>
        <w:br/>
      </w:r>
      <w:r>
        <w:br/>
      </w:r>
      <w:r>
        <w:rPr>
          <w:rStyle w:val="CommentTok"/>
        </w:rPr>
        <w:t xml:space="preserve"># The easiest of which would be the first, given PropertyType is the easiest variable to collect (property age is difficult, and historic Price may well beimpossible to get). The means that unless we get PropertyType, we can't currently understand the causal effect of EPC with the data as is. This is a nice example of where doing the DAG *before* data collection helps to prevent headaches later on by identifying which variables to collect!</w:t>
      </w:r>
    </w:p>
    <w:bookmarkEnd w:id="79"/>
    <w:bookmarkStart w:id="80"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1627"/>
        <w:gridCol w:w="2495"/>
        <w:gridCol w:w="3797"/>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80"/>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2025-09-09T12:49:09Z</dcterms:created>
  <dcterms:modified xsi:type="dcterms:W3CDTF">2025-09-09T12:49:09Z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2025-09-09</vt:lpwstr>
  </property>
  <property fmtid="{D5CDD505-2E9C-101B-9397-08002B2CF9AE}" pid="3" name="output">
    <vt:lpwstr/>
  </property>
</Properties>
</file>