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7.png" ContentType="image/png"/>
  <Override PartName="/word/media/rId50.png" ContentType="image/png"/>
  <Override PartName="/word/media/rId53.png" ContentType="image/png"/>
  <Override PartName="/word/media/rId56.png" ContentType="image/png"/>
  <Override PartName="/word/media/rId65.png" ContentType="image/png"/>
  <Override PartName="/word/media/rId70.png" ContentType="image/png"/>
  <Override PartName="/word/media/rId7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63"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 To do so we will limit ourselves to using the floor area (m</w:t>
      </w:r>
      <m:oMath>
        <m:sSup>
          <m:e>
            <m:r>
              <m:t>​</m:t>
            </m:r>
          </m:e>
          <m:sup>
            <m:r>
              <m:t>2</m:t>
            </m:r>
          </m:sup>
        </m:sSup>
      </m:oMath>
      <w:r>
        <w:t xml:space="preserve">), total number of rooms, the energy efficiency and the council tax band as explanatory variables in the model.</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model will ignore that rental prices are included for both houses and flats, with no distinction made between them. We could always add this in (given we have the data) but let’s pretend we didn’t have this information. What do you think this lack of distinction will do in our predictive model?</w:t>
      </w:r>
    </w:p>
    <w:bookmarkEnd w:id="24"/>
    <w:bookmarkStart w:id="29"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URL as an explanatory variable in the model). Here are all of the variables we have access to:</w:t>
      </w:r>
    </w:p>
    <w:p>
      <w:pPr>
        <w:numPr>
          <w:ilvl w:val="0"/>
          <w:numId w:val="1003"/>
        </w:numPr>
      </w:pPr>
      <w:r>
        <w:rPr>
          <w:rStyle w:val="VerbatimChar"/>
          <w:bCs/>
          <w:b/>
        </w:rPr>
        <w:t xml:space="preserve">Price</w:t>
      </w:r>
      <w:r>
        <w:t xml:space="preserve"> </w:t>
      </w:r>
      <w:r>
        <w:t xml:space="preserve">- the rent of the listed property (£)</w:t>
      </w:r>
    </w:p>
    <w:p>
      <w:pPr>
        <w:numPr>
          <w:ilvl w:val="0"/>
          <w:numId w:val="1003"/>
        </w:numPr>
      </w:pPr>
      <w:r>
        <w:rPr>
          <w:rStyle w:val="VerbatimChar"/>
          <w:bCs/>
          <w:b/>
        </w:rPr>
        <w:t xml:space="preserve">Bedrooms</w:t>
      </w:r>
      <w:r>
        <w:t xml:space="preserve"> </w:t>
      </w:r>
      <w:r>
        <w:t xml:space="preserve">- the number of bedrooms in the property</w:t>
      </w:r>
    </w:p>
    <w:p>
      <w:pPr>
        <w:numPr>
          <w:ilvl w:val="0"/>
          <w:numId w:val="1003"/>
        </w:numPr>
      </w:pPr>
      <w:r>
        <w:rPr>
          <w:rStyle w:val="VerbatimChar"/>
          <w:bCs/>
          <w:b/>
        </w:rPr>
        <w:t xml:space="preserve">PublicRooms</w:t>
      </w:r>
      <w:r>
        <w:t xml:space="preserve"> </w:t>
      </w:r>
      <w:r>
        <w:t xml:space="preserve">- the number of living rooms in the property</w:t>
      </w:r>
    </w:p>
    <w:p>
      <w:pPr>
        <w:numPr>
          <w:ilvl w:val="0"/>
          <w:numId w:val="1003"/>
        </w:numPr>
      </w:pPr>
      <w:r>
        <w:rPr>
          <w:rStyle w:val="VerbatimChar"/>
          <w:bCs/>
          <w:b/>
        </w:rPr>
        <w:t xml:space="preserve">Rooms</w:t>
      </w:r>
      <w:r>
        <w:t xml:space="preserve"> </w:t>
      </w:r>
      <w:r>
        <w:t xml:space="preserve">- the total number of bedrooms plus living rooms in the property</w:t>
      </w:r>
    </w:p>
    <w:p>
      <w:pPr>
        <w:numPr>
          <w:ilvl w:val="0"/>
          <w:numId w:val="1003"/>
        </w:numPr>
      </w:pPr>
      <w:r>
        <w:rPr>
          <w:rStyle w:val="VerbatimChar"/>
          <w:bCs/>
          <w:b/>
        </w:rPr>
        <w:t xml:space="preserve">Bathrooms</w:t>
      </w:r>
      <w:r>
        <w:t xml:space="preserve"> </w:t>
      </w:r>
      <w:r>
        <w:t xml:space="preserve">- the number of bathrooms</w:t>
      </w:r>
    </w:p>
    <w:p>
      <w:pPr>
        <w:numPr>
          <w:ilvl w:val="0"/>
          <w:numId w:val="1003"/>
        </w:numPr>
      </w:pPr>
      <w:r>
        <w:rPr>
          <w:rStyle w:val="VerbatimChar"/>
          <w:bCs/>
          <w:b/>
        </w:rPr>
        <w:t xml:space="preserve">FloorArea</w:t>
      </w:r>
      <w:r>
        <w:t xml:space="preserve"> </w:t>
      </w:r>
      <w:r>
        <w:t xml:space="preserve">- the total floor area of the property (measured in m</w:t>
      </w:r>
      <m:oMath>
        <m:sSup>
          <m:e>
            <m:r>
              <m:t>​</m:t>
            </m:r>
          </m:e>
          <m:sup>
            <m:r>
              <m:t>2</m:t>
            </m:r>
          </m:sup>
        </m:sSup>
      </m:oMath>
      <w:r>
        <w:t xml:space="preserve">)</w:t>
      </w:r>
    </w:p>
    <w:p>
      <w:pPr>
        <w:numPr>
          <w:ilvl w:val="0"/>
          <w:numId w:val="1003"/>
        </w:numPr>
      </w:pPr>
      <w:r>
        <w:rPr>
          <w:rStyle w:val="VerbatimChar"/>
          <w:bCs/>
          <w:b/>
        </w:rPr>
        <w:t xml:space="preserve">EPC</w:t>
      </w:r>
      <w:r>
        <w:t xml:space="preserve"> </w:t>
      </w:r>
      <w:r>
        <w:t xml:space="preserve">- the Energy Performance Certificate (A is highly energy efficient, G is terrible)</w:t>
      </w:r>
    </w:p>
    <w:p>
      <w:pPr>
        <w:numPr>
          <w:ilvl w:val="0"/>
          <w:numId w:val="1003"/>
        </w:numPr>
      </w:pPr>
      <w:r>
        <w:rPr>
          <w:rStyle w:val="VerbatimChar"/>
          <w:bCs/>
          <w:b/>
        </w:rPr>
        <w:t xml:space="preserve">Tax</w:t>
      </w:r>
      <w:r>
        <w:t xml:space="preserve"> </w:t>
      </w:r>
      <w:r>
        <w:t xml:space="preserve">- the council tax band (which is based on the value of the property on 1/4/1991, A is the lowest council tax, H is the highest possible)</w:t>
      </w:r>
    </w:p>
    <w:p>
      <w:pPr>
        <w:numPr>
          <w:ilvl w:val="0"/>
          <w:numId w:val="1003"/>
        </w:numPr>
      </w:pPr>
      <w:r>
        <w:rPr>
          <w:rStyle w:val="VerbatimChar"/>
          <w:bCs/>
          <w:b/>
        </w:rPr>
        <w:t xml:space="preserve">DayAdded</w:t>
      </w:r>
      <w:r>
        <w:t xml:space="preserve"> </w:t>
      </w:r>
      <w:r>
        <w:t xml:space="preserve">- the day when the record was</w:t>
      </w:r>
      <w:r>
        <w:t xml:space="preserve"> </w:t>
      </w:r>
      <w:r>
        <w:rPr>
          <w:iCs/>
          <w:i/>
        </w:rPr>
        <w:t xml:space="preserve">added to the dataset</w:t>
      </w:r>
      <w:r>
        <w:t xml:space="preserve"> </w:t>
      </w:r>
      <w:r>
        <w:t xml:space="preserve">(note this is not when the property was listed on the site)</w:t>
      </w:r>
    </w:p>
    <w:p>
      <w:pPr>
        <w:numPr>
          <w:ilvl w:val="0"/>
          <w:numId w:val="1003"/>
        </w:numPr>
      </w:pPr>
      <w:r>
        <w:rPr>
          <w:rStyle w:val="VerbatimChar"/>
          <w:bCs/>
          <w:b/>
        </w:rPr>
        <w:t xml:space="preserve">PropertyURL</w:t>
      </w:r>
      <w:r>
        <w:t xml:space="preserve"> </w:t>
      </w:r>
      <w:r>
        <w:t xml:space="preserve">- web link for the property listing</w:t>
      </w:r>
    </w:p>
    <w:p>
      <w:pPr>
        <w:numPr>
          <w:ilvl w:val="0"/>
          <w:numId w:val="1003"/>
        </w:numPr>
      </w:pPr>
      <w:r>
        <w:rPr>
          <w:rStyle w:val="VerbatimChar"/>
          <w:bCs/>
          <w:b/>
        </w:rPr>
        <w:t xml:space="preserve">Address</w:t>
      </w:r>
      <w:r>
        <w:t xml:space="preserve"> </w:t>
      </w:r>
      <w:r>
        <w:t xml:space="preserve">- the property name or address</w:t>
      </w:r>
    </w:p>
    <w:p>
      <w:pPr>
        <w:numPr>
          <w:ilvl w:val="0"/>
          <w:numId w:val="1003"/>
        </w:numPr>
      </w:pPr>
      <w:r>
        <w:rPr>
          <w:rStyle w:val="VerbatimChar"/>
          <w:bCs/>
          <w:b/>
        </w:rPr>
        <w:t xml:space="preserve">Latitude</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3"/>
        </w:numPr>
      </w:pPr>
      <w:r>
        <w:rPr>
          <w:rStyle w:val="VerbatimChar"/>
          <w:bCs/>
          <w:b/>
        </w:rPr>
        <w:t xml:space="preserve">Longitude</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numPr>
          <w:ilvl w:val="0"/>
          <w:numId w:val="1003"/>
        </w:numPr>
      </w:pPr>
      <w:r>
        <w:rPr>
          <w:rStyle w:val="VerbatimChar"/>
          <w:bCs/>
          <w:b/>
        </w:rPr>
        <w:t xml:space="preserve">UniCommuteTime</w:t>
      </w:r>
      <w:r>
        <w:t xml:space="preserve"> </w:t>
      </w:r>
      <w:r>
        <w:t xml:space="preserve">- the estimated time to walk to the Zoology Building (extracted using the Google Maps API)</w:t>
      </w:r>
    </w:p>
    <w:p>
      <w:pPr>
        <w:numPr>
          <w:ilvl w:val="0"/>
          <w:numId w:val="1003"/>
        </w:numPr>
      </w:pPr>
      <w:r>
        <w:rPr>
          <w:rStyle w:val="VerbatimChar"/>
          <w:bCs/>
          <w:b/>
        </w:rPr>
        <w:t xml:space="preserve">HouseType</w:t>
      </w:r>
      <w:r>
        <w:t xml:space="preserve"> </w:t>
      </w:r>
      <w:r>
        <w:t xml:space="preserve">- whether the property is</w:t>
      </w:r>
      <w:r>
        <w:t xml:space="preserve"> </w:t>
      </w:r>
      <w:r>
        <w:t xml:space="preserve">“</w:t>
      </w:r>
      <w:hyperlink r:id="rId25">
        <w:r>
          <w:rPr>
            <w:rStyle w:val="Hyperlink"/>
          </w:rPr>
          <w:t xml:space="preserve">detached</w:t>
        </w:r>
      </w:hyperlink>
      <w:r>
        <w:t xml:space="preserve">”</w:t>
      </w:r>
      <w:r>
        <w:t xml:space="preserve">,</w:t>
      </w:r>
      <w:r>
        <w:t xml:space="preserve"> </w:t>
      </w:r>
      <w:r>
        <w:t xml:space="preserve">“</w:t>
      </w:r>
      <w:hyperlink r:id="rId26">
        <w:r>
          <w:rPr>
            <w:rStyle w:val="Hyperlink"/>
          </w:rPr>
          <w:t xml:space="preserve">semi-detached</w:t>
        </w:r>
      </w:hyperlink>
      <w:r>
        <w:t xml:space="preserve">”</w:t>
      </w:r>
      <w:r>
        <w:t xml:space="preserve">,</w:t>
      </w:r>
      <w:r>
        <w:t xml:space="preserve"> </w:t>
      </w:r>
      <w:r>
        <w:t xml:space="preserve">“</w:t>
      </w:r>
      <w:hyperlink r:id="rId27">
        <w:r>
          <w:rPr>
            <w:rStyle w:val="Hyperlink"/>
          </w:rPr>
          <w:t xml:space="preserve">terrace</w:t>
        </w:r>
      </w:hyperlink>
      <w:r>
        <w:t xml:space="preserve">”</w:t>
      </w:r>
      <w:r>
        <w:t xml:space="preserve">, or</w:t>
      </w:r>
      <w:r>
        <w:t xml:space="preserve"> </w:t>
      </w:r>
      <w:r>
        <w:t xml:space="preserve">“</w:t>
      </w:r>
      <w:hyperlink r:id="rId28">
        <w:r>
          <w:rPr>
            <w:rStyle w:val="Hyperlink"/>
          </w:rPr>
          <w:t xml:space="preserve">flat</w:t>
        </w:r>
      </w:hyperlink>
      <w:r>
        <w:t xml:space="preserve">”</w:t>
      </w:r>
      <w:r>
        <w:t xml:space="preserve"> </w:t>
      </w:r>
      <w:r>
        <w:t xml:space="preserve">(note that</w:t>
      </w:r>
      <w:r>
        <w:t xml:space="preserve"> </w:t>
      </w:r>
      <w:r>
        <w:t xml:space="preserve">“</w:t>
      </w:r>
      <w:r>
        <w:t xml:space="preserve">flats</w:t>
      </w:r>
      <w:r>
        <w:t xml:space="preserve">”</w:t>
      </w:r>
      <w:r>
        <w:t xml:space="preserve"> </w:t>
      </w:r>
      <w:r>
        <w:t xml:space="preserve">is what British people call</w:t>
      </w:r>
      <w:r>
        <w:t xml:space="preserve"> </w:t>
      </w:r>
      <w:r>
        <w:t xml:space="preserve">“</w:t>
      </w:r>
      <w:r>
        <w:t xml:space="preserve">apartments</w:t>
      </w:r>
      <w:r>
        <w:t xml:space="preserve">”</w:t>
      </w:r>
      <w:r>
        <w:t xml:space="preserve">)</w:t>
      </w:r>
    </w:p>
    <w:p>
      <w:pPr>
        <w:numPr>
          <w:ilvl w:val="0"/>
          <w:numId w:val="1003"/>
        </w:numPr>
      </w:pPr>
      <w:r>
        <w:rPr>
          <w:rStyle w:val="VerbatimChar"/>
          <w:bCs/>
          <w:b/>
        </w:rPr>
        <w:t xml:space="preserve">Furnished</w:t>
      </w:r>
      <w:r>
        <w:t xml:space="preserve"> </w:t>
      </w:r>
      <w:r>
        <w:t xml:space="preserve">- whether the property is fully furnished, part furnished, or unfurnished</w:t>
      </w:r>
    </w:p>
    <w:p>
      <w:pPr>
        <w:pStyle w:val="FirstParagraph"/>
      </w:pPr>
      <w:r>
        <w:t xml:space="preserve">But let’s keep it simple today. As noted above, we’ll only include the following explanatory variables in the model:</w:t>
      </w:r>
    </w:p>
    <w:p>
      <w:pPr>
        <w:numPr>
          <w:ilvl w:val="0"/>
          <w:numId w:val="1004"/>
        </w:numPr>
        <w:pStyle w:val="Compact"/>
      </w:pPr>
      <w:r>
        <w:rPr>
          <w:rStyle w:val="VerbatimChar"/>
        </w:rPr>
        <w:t xml:space="preserve">FloorArea</w:t>
      </w:r>
    </w:p>
    <w:p>
      <w:pPr>
        <w:numPr>
          <w:ilvl w:val="0"/>
          <w:numId w:val="1004"/>
        </w:numPr>
        <w:pStyle w:val="Compact"/>
      </w:pPr>
      <w:r>
        <w:rPr>
          <w:rStyle w:val="VerbatimChar"/>
        </w:rPr>
        <w:t xml:space="preserve">Rooms</w:t>
      </w:r>
    </w:p>
    <w:p>
      <w:pPr>
        <w:numPr>
          <w:ilvl w:val="0"/>
          <w:numId w:val="1004"/>
        </w:numPr>
        <w:pStyle w:val="Compact"/>
      </w:pPr>
      <w:r>
        <w:rPr>
          <w:rStyle w:val="VerbatimChar"/>
        </w:rPr>
        <w:t xml:space="preserve">EPC</w:t>
      </w:r>
    </w:p>
    <w:p>
      <w:pPr>
        <w:numPr>
          <w:ilvl w:val="0"/>
          <w:numId w:val="1004"/>
        </w:numPr>
        <w:pStyle w:val="Compact"/>
      </w:pPr>
      <w:r>
        <w:rPr>
          <w:rStyle w:val="VerbatimChar"/>
        </w:rPr>
        <w:t xml:space="preserve">Tax</w:t>
      </w:r>
    </w:p>
    <w:p>
      <w:pPr>
        <w:pStyle w:val="FirstParagraph"/>
      </w:pPr>
      <w:r>
        <w:t xml:space="preserve">Something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actual underlying</w:t>
      </w:r>
      <w:r>
        <w:t xml:space="preserve"> </w:t>
      </w:r>
      <w:r>
        <w:t xml:space="preserve">“</w:t>
      </w:r>
      <w:r>
        <w:t xml:space="preserve">values</w:t>
      </w:r>
      <w:r>
        <w:t xml:space="preserve">”</w:t>
      </w:r>
      <w:r>
        <w:t xml:space="preserve"> </w:t>
      </w:r>
      <w:r>
        <w:t xml:space="preserve">are continuous (tax band is a measure of the property value in 1991, and EPC is a measure of how energy efficient a property is) but these have been discretised, or converted into groups (e.g. a property valued at £100,000 in 1991 is in the</w:t>
      </w:r>
      <w:r>
        <w:t xml:space="preserve"> </w:t>
      </w:r>
      <w:r>
        <w:rPr>
          <w:rStyle w:val="VerbatimChar"/>
        </w:rPr>
        <w:t xml:space="preserve">A</w:t>
      </w:r>
      <w:r>
        <w:t xml:space="preserve"> </w:t>
      </w:r>
      <w:r>
        <w:t xml:space="preserve">tax band).</w:t>
      </w:r>
    </w:p>
    <w:p>
      <w:pPr>
        <w:pStyle w:val="BlockText"/>
      </w:pPr>
      <w:r>
        <w:t xml:space="preserve">For some reason, the value of a property in 1991 is how the council tax is decided. I don’t get why 1991 is special (I doubt it actually is) but that’s what they do. It’s dumb. C’est la vie.</w:t>
      </w:r>
    </w:p>
    <w:p>
      <w:pPr>
        <w:pStyle w:val="FirstParagraph"/>
      </w:pPr>
      <w:r>
        <w:t xml:space="preserve">Whenever this discretisation is done, when it comes to the actual model, it can make our life pretty horrible, which you can see when we write out the full notation of our model. In our case, here’s what it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F</m:t>
        </m:r>
        <m:r>
          <m:t>l</m:t>
        </m:r>
        <m:r>
          <m:t>o</m:t>
        </m:r>
        <m:r>
          <m:t>o</m:t>
        </m:r>
        <m:r>
          <m:t>r</m:t>
        </m:r>
        <m:r>
          <m:t>A</m:t>
        </m:r>
        <m:r>
          <m:t>r</m:t>
        </m:r>
        <m:r>
          <m:t>e</m:t>
        </m:r>
        <m:sSub>
          <m:e>
            <m:r>
              <m:t>a</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oMath>
    </w:p>
    <w:p>
      <w:pPr>
        <w:pStyle w:val="BodyText"/>
      </w:pPr>
      <m:oMath>
        <m:sSub>
          <m:e>
            <m:r>
              <m:t>β</m:t>
            </m:r>
          </m:e>
          <m:sub>
            <m:r>
              <m:t>3</m:t>
            </m:r>
          </m:sub>
        </m:sSub>
        <m:r>
          <m:rPr>
            <m:sty m:val="p"/>
          </m:rPr>
          <m:t>×</m:t>
        </m:r>
        <m:r>
          <m:t>E</m:t>
        </m:r>
        <m:r>
          <m:t>P</m:t>
        </m:r>
        <m:r>
          <m:t>C</m:t>
        </m:r>
        <m:sSub>
          <m:e>
            <m:r>
              <m:t>B</m:t>
            </m:r>
          </m:e>
          <m:sub>
            <m:r>
              <m:t>i</m:t>
            </m:r>
          </m:sub>
        </m:sSub>
        <m:r>
          <m:rPr>
            <m:sty m:val="p"/>
          </m:rPr>
          <m:t>+</m:t>
        </m:r>
        <m:sSub>
          <m:e>
            <m:r>
              <m:t>β</m:t>
            </m:r>
          </m:e>
          <m:sub>
            <m:r>
              <m:t>4</m:t>
            </m:r>
          </m:sub>
        </m:sSub>
        <m:r>
          <m:rPr>
            <m:sty m:val="p"/>
          </m:rPr>
          <m:t>×</m:t>
        </m:r>
        <m:r>
          <m:t>E</m:t>
        </m:r>
        <m:r>
          <m:t>P</m:t>
        </m:r>
        <m:r>
          <m:t>C</m:t>
        </m:r>
        <m:sSub>
          <m:e>
            <m:r>
              <m:t>C</m:t>
            </m:r>
          </m:e>
          <m:sub>
            <m:r>
              <m:t>i</m:t>
            </m:r>
          </m:sub>
        </m:sSub>
        <m:r>
          <m:rPr>
            <m:sty m:val="p"/>
          </m:rPr>
          <m:t>+</m:t>
        </m:r>
        <m:sSub>
          <m:e>
            <m:r>
              <m:t>β</m:t>
            </m:r>
          </m:e>
          <m:sub>
            <m:r>
              <m:t>5</m:t>
            </m:r>
          </m:sub>
        </m:sSub>
        <m:r>
          <m:rPr>
            <m:sty m:val="p"/>
          </m:rPr>
          <m:t>×</m:t>
        </m:r>
        <m:r>
          <m:t>E</m:t>
        </m:r>
        <m:r>
          <m:t>P</m:t>
        </m:r>
        <m:r>
          <m:t>C</m:t>
        </m:r>
        <m:sSub>
          <m:e>
            <m:r>
              <m:t>D</m:t>
            </m:r>
          </m:e>
          <m:sub>
            <m:r>
              <m:t>i</m:t>
            </m:r>
          </m:sub>
        </m:sSub>
        <m:r>
          <m:rPr>
            <m:sty m:val="p"/>
          </m:rPr>
          <m:t>+</m:t>
        </m:r>
      </m:oMath>
    </w:p>
    <w:p>
      <w:pPr>
        <w:pStyle w:val="BodyText"/>
      </w:pPr>
      <m:oMath>
        <m:sSub>
          <m:e>
            <m:r>
              <m:t>β</m:t>
            </m:r>
          </m:e>
          <m:sub>
            <m:r>
              <m:t>6</m:t>
            </m:r>
          </m:sub>
        </m:sSub>
        <m:r>
          <m:rPr>
            <m:sty m:val="p"/>
          </m:rPr>
          <m:t>×</m:t>
        </m:r>
        <m:r>
          <m:t>E</m:t>
        </m:r>
        <m:r>
          <m:t>P</m:t>
        </m:r>
        <m:r>
          <m:t>C</m:t>
        </m:r>
        <m:sSub>
          <m:e>
            <m:r>
              <m:t>E</m:t>
            </m:r>
          </m:e>
          <m:sub>
            <m:r>
              <m:t>i</m:t>
            </m:r>
          </m:sub>
        </m:sSub>
        <m:r>
          <m:rPr>
            <m:sty m:val="p"/>
          </m:rPr>
          <m:t>+</m:t>
        </m:r>
        <m:sSub>
          <m:e>
            <m:r>
              <m:t>β</m:t>
            </m:r>
          </m:e>
          <m:sub>
            <m:r>
              <m:t>7</m:t>
            </m:r>
          </m:sub>
        </m:sSub>
        <m:r>
          <m:rPr>
            <m:sty m:val="p"/>
          </m:rPr>
          <m:t>×</m:t>
        </m:r>
        <m:r>
          <m:t>E</m:t>
        </m:r>
        <m:r>
          <m:t>P</m:t>
        </m:r>
        <m:r>
          <m:t>C</m:t>
        </m:r>
        <m:sSub>
          <m:e>
            <m:r>
              <m:t>F</m:t>
            </m:r>
          </m:e>
          <m:sub>
            <m:r>
              <m:t>i</m:t>
            </m:r>
          </m:sub>
        </m:sSub>
        <m:r>
          <m:rPr>
            <m:sty m:val="p"/>
          </m:rPr>
          <m:t>+</m:t>
        </m:r>
        <m:sSub>
          <m:e>
            <m:r>
              <m:t>β</m:t>
            </m:r>
          </m:e>
          <m:sub>
            <m:r>
              <m:t>8</m:t>
            </m:r>
          </m:sub>
        </m:sSub>
        <m:r>
          <m:rPr>
            <m:sty m:val="p"/>
          </m:rPr>
          <m:t>×</m:t>
        </m:r>
        <m:r>
          <m:t>E</m:t>
        </m:r>
        <m:r>
          <m:t>P</m:t>
        </m:r>
        <m:r>
          <m:t>C</m:t>
        </m:r>
        <m:sSub>
          <m:e>
            <m:r>
              <m:t>G</m:t>
            </m:r>
          </m:e>
          <m:sub>
            <m:r>
              <m:t>i</m:t>
            </m:r>
          </m:sub>
        </m:sSub>
        <m:r>
          <m:rPr>
            <m:sty m:val="p"/>
          </m:rPr>
          <m:t>+</m:t>
        </m:r>
      </m:oMath>
    </w:p>
    <w:p>
      <w:pPr>
        <w:pStyle w:val="BodyText"/>
      </w:pPr>
      <m:oMath>
        <m:sSub>
          <m:e>
            <m:r>
              <m:t>β</m:t>
            </m:r>
          </m:e>
          <m:sub>
            <m:r>
              <m:t>9</m:t>
            </m:r>
          </m:sub>
        </m:sSub>
        <m:r>
          <m:rPr>
            <m:sty m:val="p"/>
          </m:rPr>
          <m:t>×</m:t>
        </m:r>
        <m:r>
          <m:t>T</m:t>
        </m:r>
        <m:r>
          <m:t>a</m:t>
        </m:r>
        <m:r>
          <m:t>x</m:t>
        </m:r>
        <m:sSub>
          <m:e>
            <m:r>
              <m:t>B</m:t>
            </m:r>
          </m:e>
          <m:sub>
            <m:r>
              <m:t>i</m:t>
            </m:r>
          </m:sub>
        </m:sSub>
        <m:r>
          <m:rPr>
            <m:sty m:val="p"/>
          </m:rPr>
          <m:t>+</m:t>
        </m:r>
        <m:sSub>
          <m:e>
            <m:r>
              <m:t>β</m:t>
            </m:r>
          </m:e>
          <m:sub>
            <m:r>
              <m:t>10</m:t>
            </m:r>
          </m:sub>
        </m:sSub>
        <m:r>
          <m:rPr>
            <m:sty m:val="p"/>
          </m:rPr>
          <m:t>×</m:t>
        </m:r>
        <m:r>
          <m:t>T</m:t>
        </m:r>
        <m:r>
          <m:t>a</m:t>
        </m:r>
        <m:r>
          <m:t>x</m:t>
        </m:r>
        <m:sSub>
          <m:e>
            <m:r>
              <m:t>C</m:t>
            </m:r>
          </m:e>
          <m:sub>
            <m:r>
              <m:t>i</m:t>
            </m:r>
          </m:sub>
        </m:sSub>
        <m:r>
          <m:rPr>
            <m:sty m:val="p"/>
          </m:rPr>
          <m:t>+</m:t>
        </m:r>
        <m:sSub>
          <m:e>
            <m:r>
              <m:t>β</m:t>
            </m:r>
          </m:e>
          <m:sub>
            <m:r>
              <m:t>11</m:t>
            </m:r>
          </m:sub>
        </m:sSub>
        <m:r>
          <m:rPr>
            <m:sty m:val="p"/>
          </m:rPr>
          <m:t>×</m:t>
        </m:r>
        <m:r>
          <m:t>T</m:t>
        </m:r>
        <m:r>
          <m:t>a</m:t>
        </m:r>
        <m:r>
          <m:t>x</m:t>
        </m:r>
        <m:sSub>
          <m:e>
            <m:r>
              <m:t>D</m:t>
            </m:r>
          </m:e>
          <m:sub>
            <m:r>
              <m:t>i</m:t>
            </m:r>
          </m:sub>
        </m:sSub>
        <m:r>
          <m:rPr>
            <m:sty m:val="p"/>
          </m:rPr>
          <m:t>+</m:t>
        </m:r>
      </m:oMath>
    </w:p>
    <w:p>
      <w:pPr>
        <w:pStyle w:val="BodyText"/>
      </w:pPr>
      <m:oMath>
        <m:sSub>
          <m:e>
            <m:r>
              <m:t>β</m:t>
            </m:r>
          </m:e>
          <m:sub>
            <m:r>
              <m:t>12</m:t>
            </m:r>
          </m:sub>
        </m:sSub>
        <m:r>
          <m:rPr>
            <m:sty m:val="p"/>
          </m:rPr>
          <m:t>×</m:t>
        </m:r>
        <m:r>
          <m:t>T</m:t>
        </m:r>
        <m:r>
          <m:t>a</m:t>
        </m:r>
        <m:r>
          <m:t>x</m:t>
        </m:r>
        <m:sSub>
          <m:e>
            <m:r>
              <m:t>E</m:t>
            </m:r>
          </m:e>
          <m:sub>
            <m:r>
              <m:t>i</m:t>
            </m:r>
          </m:sub>
        </m:sSub>
        <m:r>
          <m:rPr>
            <m:sty m:val="p"/>
          </m:rPr>
          <m:t>+</m:t>
        </m:r>
        <m:sSub>
          <m:e>
            <m:r>
              <m:t>β</m:t>
            </m:r>
          </m:e>
          <m:sub>
            <m:r>
              <m:t>13</m:t>
            </m:r>
          </m:sub>
        </m:sSub>
        <m:r>
          <m:rPr>
            <m:sty m:val="p"/>
          </m:rPr>
          <m:t>×</m:t>
        </m:r>
        <m:r>
          <m:t>T</m:t>
        </m:r>
        <m:r>
          <m:t>a</m:t>
        </m:r>
        <m:r>
          <m:t>x</m:t>
        </m:r>
        <m:sSub>
          <m:e>
            <m:r>
              <m:t>F</m:t>
            </m:r>
          </m:e>
          <m:sub>
            <m:r>
              <m:t>i</m:t>
            </m:r>
          </m:sub>
        </m:sSub>
        <m:r>
          <m:rPr>
            <m:sty m:val="p"/>
          </m:rPr>
          <m:t>+</m:t>
        </m:r>
        <m:sSub>
          <m:e>
            <m:r>
              <m:t>β</m:t>
            </m:r>
          </m:e>
          <m:sub>
            <m:r>
              <m:t>14</m:t>
            </m:r>
          </m:sub>
        </m:sSub>
        <m:r>
          <m:rPr>
            <m:sty m:val="p"/>
          </m:rPr>
          <m:t>×</m:t>
        </m:r>
        <m:r>
          <m:t>T</m:t>
        </m:r>
        <m:r>
          <m:t>a</m:t>
        </m:r>
        <m:r>
          <m:t>x</m:t>
        </m:r>
        <m:sSub>
          <m:e>
            <m:r>
              <m:t>G</m:t>
            </m:r>
          </m:e>
          <m:sub>
            <m:r>
              <m:t>i</m:t>
            </m:r>
          </m:sub>
        </m:sSub>
      </m:oMath>
    </w:p>
    <w:p>
      <w:pPr>
        <w:pStyle w:val="BodyText"/>
      </w:pPr>
      <w:r>
        <w:t xml:space="preserve">Where:</w:t>
      </w:r>
    </w:p>
    <w:p>
      <w:pPr>
        <w:numPr>
          <w:ilvl w:val="0"/>
          <w:numId w:val="1005"/>
        </w:numPr>
        <w:pStyle w:val="Compact"/>
      </w:pPr>
      <m:oMath>
        <m:sSub>
          <m:e>
            <m:r>
              <m:t>β</m:t>
            </m:r>
          </m:e>
          <m:sub>
            <m:r>
              <m:t>0</m:t>
            </m:r>
          </m:sub>
        </m:sSub>
      </m:oMath>
      <w:r>
        <w:t xml:space="preserve"> </w:t>
      </w:r>
      <w:r>
        <w:t xml:space="preserve">is the intercept, representing a property with zero square meters, zero rooms, an EPC of A, and a Tax band of A.</w:t>
      </w:r>
    </w:p>
    <w:p>
      <w:pPr>
        <w:numPr>
          <w:ilvl w:val="0"/>
          <w:numId w:val="1005"/>
        </w:numPr>
        <w:pStyle w:val="Compact"/>
      </w:pPr>
      <m:oMath>
        <m:sSub>
          <m:e>
            <m:r>
              <m:t>β</m:t>
            </m:r>
          </m:e>
          <m:sub>
            <m:r>
              <m:t>1</m:t>
            </m:r>
          </m:sub>
        </m:sSub>
      </m:oMath>
      <w:r>
        <w:t xml:space="preserve"> </w:t>
      </w:r>
      <w:r>
        <w:t xml:space="preserve">is the slope for each additional square meter in floor area.</w:t>
      </w:r>
    </w:p>
    <w:p>
      <w:pPr>
        <w:numPr>
          <w:ilvl w:val="0"/>
          <w:numId w:val="1005"/>
        </w:numPr>
        <w:pStyle w:val="Compact"/>
      </w:pPr>
      <m:oMath>
        <m:sSub>
          <m:e>
            <m:r>
              <m:t>β</m:t>
            </m:r>
          </m:e>
          <m:sub>
            <m:r>
              <m:t>2</m:t>
            </m:r>
          </m:sub>
        </m:sSub>
      </m:oMath>
      <w:r>
        <w:t xml:space="preserve"> </w:t>
      </w:r>
      <w:r>
        <w:t xml:space="preserve">is the slope for each additional room.</w:t>
      </w:r>
    </w:p>
    <w:p>
      <w:pPr>
        <w:numPr>
          <w:ilvl w:val="0"/>
          <w:numId w:val="1005"/>
        </w:numPr>
        <w:pStyle w:val="Compact"/>
      </w:pPr>
      <m:oMath>
        <m:sSub>
          <m:e>
            <m:r>
              <m:t>β</m:t>
            </m:r>
          </m:e>
          <m:sub>
            <m:r>
              <m:t>3</m:t>
            </m:r>
            <m:r>
              <m:rPr>
                <m:sty m:val="p"/>
              </m:rPr>
              <m:t>,</m:t>
            </m:r>
            <m:r>
              <m:rPr>
                <m:sty m:val="p"/>
              </m:rPr>
              <m:t>.</m:t>
            </m:r>
            <m:r>
              <m:rPr>
                <m:sty m:val="p"/>
              </m:rPr>
              <m:t>.</m:t>
            </m:r>
            <m:r>
              <m:rPr>
                <m:sty m:val="p"/>
              </m:rPr>
              <m:t>.</m:t>
            </m:r>
            <m:r>
              <m:rPr>
                <m:sty m:val="p"/>
              </m:rPr>
              <m:t>,</m:t>
            </m:r>
            <m:r>
              <m:t>8</m:t>
            </m:r>
          </m:sub>
        </m:sSub>
      </m:oMath>
      <w:r>
        <w:t xml:space="preserve"> </w:t>
      </w:r>
      <w:r>
        <w:t xml:space="preserve">are the effects of each EPC rating compared to A.</w:t>
      </w:r>
    </w:p>
    <w:p>
      <w:pPr>
        <w:numPr>
          <w:ilvl w:val="0"/>
          <w:numId w:val="1005"/>
        </w:numPr>
        <w:pStyle w:val="Compact"/>
      </w:pPr>
      <m:oMath>
        <m:sSub>
          <m:e>
            <m:r>
              <m:t>β</m:t>
            </m:r>
          </m:e>
          <m:sub>
            <m:r>
              <m:t>9</m:t>
            </m:r>
            <m:r>
              <m:rPr>
                <m:sty m:val="p"/>
              </m:rPr>
              <m:t>,</m:t>
            </m:r>
            <m:r>
              <m:rPr>
                <m:sty m:val="p"/>
              </m:rPr>
              <m:t>.</m:t>
            </m:r>
            <m:r>
              <m:rPr>
                <m:sty m:val="p"/>
              </m:rPr>
              <m:t>.</m:t>
            </m:r>
            <m:r>
              <m:rPr>
                <m:sty m:val="p"/>
              </m:rPr>
              <m:t>.</m:t>
            </m:r>
            <m:r>
              <m:rPr>
                <m:sty m:val="p"/>
              </m:rPr>
              <m:t>,</m:t>
            </m:r>
            <m:r>
              <m:t>14</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 In this case, we can’t go backwards. The data we have is categorical and we have to respect that, so we’re stuck having to estimate 14 parameters.</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-550.48  -83.99   -0.61   62.54  965.94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287.9191   126.8083   2.271  0.02354 *  </w:t>
      </w:r>
      <w:r>
        <w:br/>
      </w:r>
      <w:r>
        <w:rPr>
          <w:rStyle w:val="VerbatimChar"/>
        </w:rPr>
        <w:t xml:space="preserve">## FloorArea      1.2593     0.4425   2.846  0.00459 ** </w:t>
      </w:r>
      <w:r>
        <w:br/>
      </w:r>
      <w:r>
        <w:rPr>
          <w:rStyle w:val="VerbatimChar"/>
        </w:rPr>
        <w:t xml:space="preserve">## Rooms        109.6151    12.2783   8.928  &lt; 2e-16 ***</w:t>
      </w:r>
      <w:r>
        <w:br/>
      </w:r>
      <w:r>
        <w:rPr>
          <w:rStyle w:val="VerbatimChar"/>
        </w:rPr>
        <w:t xml:space="preserve">## EPCB         120.3630   125.7759   0.957  0.33899    </w:t>
      </w:r>
      <w:r>
        <w:br/>
      </w:r>
      <w:r>
        <w:rPr>
          <w:rStyle w:val="VerbatimChar"/>
        </w:rPr>
        <w:t xml:space="preserve">## EPCC         -17.1116   124.1525  -0.138  0.89042    </w:t>
      </w:r>
      <w:r>
        <w:br/>
      </w:r>
      <w:r>
        <w:rPr>
          <w:rStyle w:val="VerbatimChar"/>
        </w:rPr>
        <w:t xml:space="preserve">## EPCD         -50.7335   124.1552  -0.409  0.68296    </w:t>
      </w:r>
      <w:r>
        <w:br/>
      </w:r>
      <w:r>
        <w:rPr>
          <w:rStyle w:val="VerbatimChar"/>
        </w:rPr>
        <w:t xml:space="preserve">## EPCE        -104.6777   125.4369  -0.835  0.40434    </w:t>
      </w:r>
      <w:r>
        <w:br/>
      </w:r>
      <w:r>
        <w:rPr>
          <w:rStyle w:val="VerbatimChar"/>
        </w:rPr>
        <w:t xml:space="preserve">## EPCF        -144.4606   135.4778  -1.066  0.28673    </w:t>
      </w:r>
      <w:r>
        <w:br/>
      </w:r>
      <w:r>
        <w:rPr>
          <w:rStyle w:val="VerbatimChar"/>
        </w:rPr>
        <w:t xml:space="preserve">## EPCG         -88.7137   175.4481  -0.506  0.61330    </w:t>
      </w:r>
      <w:r>
        <w:br/>
      </w:r>
      <w:r>
        <w:rPr>
          <w:rStyle w:val="VerbatimChar"/>
        </w:rPr>
        <w:t xml:space="preserve">## TaxB          10.1948    24.1533   0.422  0.67312    </w:t>
      </w:r>
      <w:r>
        <w:br/>
      </w:r>
      <w:r>
        <w:rPr>
          <w:rStyle w:val="VerbatimChar"/>
        </w:rPr>
        <w:t xml:space="preserve">## TaxC          66.0662    25.5076   2.590  0.00984 ** </w:t>
      </w:r>
      <w:r>
        <w:br/>
      </w:r>
      <w:r>
        <w:rPr>
          <w:rStyle w:val="VerbatimChar"/>
        </w:rPr>
        <w:t xml:space="preserve">## TaxD         116.0252    25.5256   4.545 6.68e-06 ***</w:t>
      </w:r>
      <w:r>
        <w:br/>
      </w:r>
      <w:r>
        <w:rPr>
          <w:rStyle w:val="VerbatimChar"/>
        </w:rPr>
        <w:t xml:space="preserve">## TaxE         195.2800    31.9291   6.116 1.77e-09 ***</w:t>
      </w:r>
      <w:r>
        <w:br/>
      </w:r>
      <w:r>
        <w:rPr>
          <w:rStyle w:val="VerbatimChar"/>
        </w:rPr>
        <w:t xml:space="preserve">## TaxF         331.9981    45.0399   7.371 5.89e-13 ***</w:t>
      </w:r>
      <w:r>
        <w:br/>
      </w:r>
      <w:r>
        <w:rPr>
          <w:rStyle w:val="VerbatimChar"/>
        </w:rPr>
        <w:t xml:space="preserve">## TaxG         683.0726    56.2103  12.152  &lt; 2e-16 ***</w:t>
      </w:r>
      <w:r>
        <w:br/>
      </w:r>
      <w:r>
        <w:rPr>
          <w:rStyle w:val="VerbatimChar"/>
        </w:rPr>
        <w:t xml:space="preserve">## TaxH         921.4423   183.7291   5.015 7.06e-07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173.6 on 577 degrees of freedom</w:t>
      </w:r>
      <w:r>
        <w:br/>
      </w:r>
      <w:r>
        <w:rPr>
          <w:rStyle w:val="VerbatimChar"/>
        </w:rPr>
        <w:t xml:space="preserve">## Multiple R-squared:  0.7944, Adjusted R-squared:  0.789 </w:t>
      </w:r>
      <w:r>
        <w:br/>
      </w:r>
      <w:r>
        <w:rPr>
          <w:rStyle w:val="VerbatimChar"/>
        </w:rPr>
        <w:t xml:space="preserve">## F-statistic: 148.6 on 15 and 577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9"/>
    <w:bookmarkStart w:id="46"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324</w:t>
      </w:r>
    </w:p>
    <w:p>
      <w:pPr>
        <w:pStyle w:val="FirstParagraph"/>
      </w:pPr>
      <w:r>
        <w:drawing>
          <wp:inline>
            <wp:extent cx="4620126" cy="3696101"/>
            <wp:effectExtent b="0" l="0" r="0" t="0"/>
            <wp:docPr descr="" title="" id="31" name="Picture"/>
            <a:graphic>
              <a:graphicData uri="http://schemas.openxmlformats.org/drawingml/2006/picture">
                <pic:pic>
                  <pic:nvPicPr>
                    <pic:cNvPr descr="Workshop-7---LM-with-multiple-predictors_files/figure-docx/unnamed-chunk-7-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5" w:name="question-set-one"/>
    <w:p>
      <w:pPr>
        <w:pStyle w:val="Heading3"/>
      </w:pPr>
      <w:r>
        <w:t xml:space="preserve">Question Set One</w:t>
      </w:r>
    </w:p>
    <w:p>
      <w:pPr>
        <w:numPr>
          <w:ilvl w:val="0"/>
          <w:numId w:val="1006"/>
        </w:numPr>
      </w:pPr>
      <w:r>
        <w:t xml:space="preserve">Do you see any assumptions that are likely broken in the Residuals vs Fitted and Scale-Location plots?</w:t>
      </w:r>
    </w:p>
    <w:p>
      <w:pPr>
        <w:numPr>
          <w:ilvl w:val="0"/>
          <w:numId w:val="1006"/>
        </w:numPr>
      </w:pPr>
      <w:r>
        <w:t xml:space="preserve">If so, what is the consequence of violating this assumptions?</w:t>
      </w:r>
    </w:p>
    <w:p>
      <w:pPr>
        <w:numPr>
          <w:ilvl w:val="0"/>
          <w:numId w:val="1006"/>
        </w:numPr>
      </w:pPr>
      <w:r>
        <w:t xml:space="preserve">Do you see any assumptions that are likely broken in the Q-Q Residuals plot?</w:t>
      </w:r>
    </w:p>
    <w:p>
      <w:pPr>
        <w:numPr>
          <w:ilvl w:val="0"/>
          <w:numId w:val="1006"/>
        </w:numPr>
      </w:pPr>
      <w:r>
        <w:t xml:space="preserve">Are there any observations that are having a disproportionate affect on the model?</w:t>
      </w:r>
    </w:p>
    <w:p>
      <w:pPr>
        <w:numPr>
          <w:ilvl w:val="0"/>
          <w:numId w:val="1006"/>
        </w:numPr>
      </w:pPr>
      <w:r>
        <w:t xml:space="preserve">If there are any such observations, what should we do about them (if in doubt, ask a member of staff)?</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SourceCode"/>
      </w:pPr>
      <w:r>
        <w:rPr>
          <w:rStyle w:val="VerbatimChar"/>
        </w:rPr>
        <w:t xml:space="preserve">## Warning: not plotting observations with leverage one:</w:t>
      </w:r>
      <w:r>
        <w:br/>
      </w:r>
      <w:r>
        <w:rPr>
          <w:rStyle w:val="VerbatimChar"/>
        </w:rPr>
        <w:t xml:space="preserve">##   487</w:t>
      </w:r>
    </w:p>
    <w:p>
      <w:pPr>
        <w:pStyle w:val="FirstParagraph"/>
      </w:pPr>
      <w:r>
        <w:drawing>
          <wp:inline>
            <wp:extent cx="4620126" cy="3696101"/>
            <wp:effectExtent b="0" l="0" r="0" t="0"/>
            <wp:docPr descr="" title="" id="34" name="Picture"/>
            <a:graphic>
              <a:graphicData uri="http://schemas.openxmlformats.org/drawingml/2006/picture">
                <pic:pic>
                  <pic:nvPicPr>
                    <pic:cNvPr descr="Workshop-7---LM-with-multiple-predictors_files/figure-docx/unnamed-chunk-14-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7" name="Picture"/>
            <a:graphic>
              <a:graphicData uri="http://schemas.openxmlformats.org/drawingml/2006/picture">
                <pic:pic>
                  <pic:nvPicPr>
                    <pic:cNvPr descr="Workshop-7---LM-with-multiple-predictors_files/figure-docx/unnamed-chunk-14-2.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0" name="Picture"/>
            <a:graphic>
              <a:graphicData uri="http://schemas.openxmlformats.org/drawingml/2006/picture">
                <pic:pic>
                  <pic:nvPicPr>
                    <pic:cNvPr descr="Workshop-7---LM-with-multiple-predictors_files/figure-docx/unnamed-chunk-14-3.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3" name="Picture"/>
            <a:graphic>
              <a:graphicData uri="http://schemas.openxmlformats.org/drawingml/2006/picture">
                <pic:pic>
                  <pic:nvPicPr>
                    <pic:cNvPr descr="Workshop-7---LM-with-multiple-predictors_files/figure-docx/unnamed-chunk-14-4.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5"/>
    <w:bookmarkEnd w:id="46"/>
    <w:bookmarkStart w:id="62"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-550.42  -84.03   -0.61   62.93  965.91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341.7095   176.6300   1.935  0.05353 .  </w:t>
      </w:r>
      <w:r>
        <w:br/>
      </w:r>
      <w:r>
        <w:rPr>
          <w:rStyle w:val="VerbatimChar"/>
        </w:rPr>
        <w:t xml:space="preserve">## FloorArea      1.2614     0.4429   2.848  0.00455 ** </w:t>
      </w:r>
      <w:r>
        <w:br/>
      </w:r>
      <w:r>
        <w:rPr>
          <w:rStyle w:val="VerbatimChar"/>
        </w:rPr>
        <w:t xml:space="preserve">## Rooms        109.5730    12.2873   8.918  &lt; 2e-16 ***</w:t>
      </w:r>
      <w:r>
        <w:br/>
      </w:r>
      <w:r>
        <w:rPr>
          <w:rStyle w:val="VerbatimChar"/>
        </w:rPr>
        <w:t xml:space="preserve">## EPCB          66.5610   175.9078   0.378  0.70528    </w:t>
      </w:r>
      <w:r>
        <w:br/>
      </w:r>
      <w:r>
        <w:rPr>
          <w:rStyle w:val="VerbatimChar"/>
        </w:rPr>
        <w:t xml:space="preserve">## EPCC         -70.8969   174.7223  -0.406  0.68506    </w:t>
      </w:r>
      <w:r>
        <w:br/>
      </w:r>
      <w:r>
        <w:rPr>
          <w:rStyle w:val="VerbatimChar"/>
        </w:rPr>
        <w:t xml:space="preserve">## EPCD        -104.5269   174.7372  -0.598  0.54995    </w:t>
      </w:r>
      <w:r>
        <w:br/>
      </w:r>
      <w:r>
        <w:rPr>
          <w:rStyle w:val="VerbatimChar"/>
        </w:rPr>
        <w:t xml:space="preserve">## EPCE        -158.4724   175.6535  -0.902  0.36733    </w:t>
      </w:r>
      <w:r>
        <w:br/>
      </w:r>
      <w:r>
        <w:rPr>
          <w:rStyle w:val="VerbatimChar"/>
        </w:rPr>
        <w:t xml:space="preserve">## EPCF        -198.2739   182.9976  -1.083  0.27905    </w:t>
      </w:r>
      <w:r>
        <w:br/>
      </w:r>
      <w:r>
        <w:rPr>
          <w:rStyle w:val="VerbatimChar"/>
        </w:rPr>
        <w:t xml:space="preserve">## EPCG        -142.5350   214.3310  -0.665  0.50630    </w:t>
      </w:r>
      <w:r>
        <w:br/>
      </w:r>
      <w:r>
        <w:rPr>
          <w:rStyle w:val="VerbatimChar"/>
        </w:rPr>
        <w:t xml:space="preserve">## TaxB          10.1935    24.1703   0.422  0.67338    </w:t>
      </w:r>
      <w:r>
        <w:br/>
      </w:r>
      <w:r>
        <w:rPr>
          <w:rStyle w:val="VerbatimChar"/>
        </w:rPr>
        <w:t xml:space="preserve">## TaxC          66.0565    25.5255   2.588  0.00990 ** </w:t>
      </w:r>
      <w:r>
        <w:br/>
      </w:r>
      <w:r>
        <w:rPr>
          <w:rStyle w:val="VerbatimChar"/>
        </w:rPr>
        <w:t xml:space="preserve">## TaxD         116.0097    25.5436   4.542 6.80e-06 ***</w:t>
      </w:r>
      <w:r>
        <w:br/>
      </w:r>
      <w:r>
        <w:rPr>
          <w:rStyle w:val="VerbatimChar"/>
        </w:rPr>
        <w:t xml:space="preserve">## TaxE         195.2465    31.9516   6.111 1.83e-09 ***</w:t>
      </w:r>
      <w:r>
        <w:br/>
      </w:r>
      <w:r>
        <w:rPr>
          <w:rStyle w:val="VerbatimChar"/>
        </w:rPr>
        <w:t xml:space="preserve">## TaxF         331.9398    45.0717   7.365 6.18e-13 ***</w:t>
      </w:r>
      <w:r>
        <w:br/>
      </w:r>
      <w:r>
        <w:rPr>
          <w:rStyle w:val="VerbatimChar"/>
        </w:rPr>
        <w:t xml:space="preserve">## TaxG         682.9880    56.2501  12.142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173.7 on 576 degrees of freedom</w:t>
      </w:r>
      <w:r>
        <w:br/>
      </w:r>
      <w:r>
        <w:rPr>
          <w:rStyle w:val="VerbatimChar"/>
        </w:rPr>
        <w:t xml:space="preserve">## Multiple R-squared:  0.7887, Adjusted R-squared:  0.7836 </w:t>
      </w:r>
      <w:r>
        <w:br/>
      </w:r>
      <w:r>
        <w:rPr>
          <w:rStyle w:val="VerbatimChar"/>
        </w:rPr>
        <w:t xml:space="preserve">## F-statistic: 153.6 on 14 and 576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FloorArea</w:t>
      </w:r>
      <w:r>
        <w:t xml:space="preserve">; the model seems to be predicting that adding an extra 1 square meter to a property only increases the rent by about £1.26.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£62.97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`EPC`</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$FloorArea</w:t>
      </w:r>
    </w:p>
    <w:p>
      <w:pPr>
        <w:pStyle w:val="FirstParagraph"/>
      </w:pPr>
      <w:r>
        <w:drawing>
          <wp:inline>
            <wp:extent cx="4620126" cy="3696101"/>
            <wp:effectExtent b="0" l="0" r="0" t="0"/>
            <wp:docPr descr="" title="" id="48" name="Picture"/>
            <a:graphic>
              <a:graphicData uri="http://schemas.openxmlformats.org/drawingml/2006/picture">
                <pic:pic>
                  <pic:nvPicPr>
                    <pic:cNvPr descr="Workshop-7---LM-with-multiple-predictors_files/figure-docx/unnamed-chunk-1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51" name="Picture"/>
            <a:graphic>
              <a:graphicData uri="http://schemas.openxmlformats.org/drawingml/2006/picture">
                <pic:pic>
                  <pic:nvPicPr>
                    <pic:cNvPr descr="Workshop-7---LM-with-multiple-predictors_files/figure-docx/unnamed-chunk-1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4" name="Picture"/>
            <a:graphic>
              <a:graphicData uri="http://schemas.openxmlformats.org/drawingml/2006/picture">
                <pic:pic>
                  <pic:nvPicPr>
                    <pic:cNvPr descr="Workshop-7---LM-with-multiple-predictors_files/figure-docx/unnamed-chunk-1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7" name="Picture"/>
            <a:graphic>
              <a:graphicData uri="http://schemas.openxmlformats.org/drawingml/2006/picture">
                <pic:pic>
                  <pic:nvPicPr>
                    <pic:cNvPr descr="Workshop-7---LM-with-multiple-predictors_files/figure-docx/unnamed-chunk-18-4.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 the</w:t>
      </w:r>
      <w:r>
        <w:t xml:space="preserve"> </w:t>
      </w:r>
      <w:r>
        <w:rPr>
          <w:rStyle w:val="VerbatimChar"/>
        </w:rPr>
        <w:t xml:space="preserve">ggeffects</w:t>
      </w:r>
      <w:r>
        <w:t xml:space="preserve"> </w:t>
      </w:r>
      <w:r>
        <w:t xml:space="preserve">gods, feel free to convert your categorical variables to</w:t>
      </w:r>
      <w:r>
        <w:t xml:space="preserve"> </w:t>
      </w:r>
      <w:r>
        <w:rPr>
          <w:rStyle w:val="VerbatimChar"/>
        </w:rPr>
        <w:t xml:space="preserve">factors</w:t>
      </w:r>
      <w:r>
        <w:t xml:space="preserve"> </w:t>
      </w:r>
      <w:r>
        <w:t xml:space="preserve">(using the</w:t>
      </w:r>
      <w:r>
        <w:t xml:space="preserve"> </w:t>
      </w:r>
      <w:r>
        <w:rPr>
          <w:rStyle w:val="VerbatimChar"/>
        </w:rPr>
        <w:t xml:space="preserve">factor()</w:t>
      </w:r>
      <w:r>
        <w:t xml:space="preserve"> </w:t>
      </w:r>
      <w:r>
        <w:t xml:space="preserve">function) and rerun your analysis.</w:t>
      </w:r>
    </w:p>
    <w:bookmarkStart w:id="61" w:name="question-set-two"/>
    <w:p>
      <w:pPr>
        <w:pStyle w:val="Heading3"/>
      </w:pPr>
      <w:r>
        <w:t xml:space="preserve">Question Set Two</w:t>
      </w:r>
    </w:p>
    <w:p>
      <w:pPr>
        <w:numPr>
          <w:ilvl w:val="0"/>
          <w:numId w:val="1007"/>
        </w:numPr>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numPr>
          <w:ilvl w:val="0"/>
          <w:numId w:val="1007"/>
        </w:numPr>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FloorArea</w:t>
      </w:r>
      <w:r>
        <w:t xml:space="preserve"> </w:t>
      </w:r>
      <w:r>
        <w:t xml:space="preserve">be smaller than we’d expect?</w:t>
      </w:r>
    </w:p>
    <w:p>
      <w:pPr>
        <w:numPr>
          <w:ilvl w:val="0"/>
          <w:numId w:val="1007"/>
        </w:numPr>
      </w:pPr>
      <w:r>
        <w:t xml:space="preserve">Go to the letting agency website,</w:t>
      </w:r>
      <w:r>
        <w:t xml:space="preserve"> </w:t>
      </w:r>
      <w:hyperlink r:id="rId59">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60">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61"/>
    <w:bookmarkEnd w:id="62"/>
    <w:bookmarkEnd w:id="63"/>
    <w:bookmarkStart w:id="78"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4"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4"/>
    <w:bookmarkStart w:id="68" w:name="creating-a-dag"/>
    <w:p>
      <w:pPr>
        <w:pStyle w:val="Heading2"/>
      </w:pPr>
      <w:r>
        <w:t xml:space="preserve">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Table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Acyclic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08"/>
        </w:numPr>
        <w:pStyle w:val="Compact"/>
      </w:pPr>
      <w:r>
        <w:t xml:space="preserve">Specify the Causal Relationships for the Response Variable:</w:t>
      </w:r>
    </w:p>
    <w:p>
      <w:pPr>
        <w:numPr>
          <w:ilvl w:val="0"/>
          <w:numId w:val="1009"/>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FloorArea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10"/>
        </w:numPr>
        <w:pStyle w:val="Compact"/>
      </w:pPr>
      <w:r>
        <w:t xml:space="preserve">Define the Relationships Between Variables:</w:t>
      </w:r>
    </w:p>
    <w:p>
      <w:pPr>
        <w:numPr>
          <w:ilvl w:val="0"/>
          <w:numId w:val="1011"/>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FloorArea</w:t>
      </w:r>
      <w:r>
        <w:t xml:space="preserve">, and so on for the other explanatory variables.</w:t>
      </w:r>
    </w:p>
    <w:p>
      <w:pPr>
        <w:numPr>
          <w:ilvl w:val="0"/>
          <w:numId w:val="1012"/>
        </w:numPr>
        <w:pStyle w:val="Compact"/>
      </w:pPr>
      <w:r>
        <w:t xml:space="preserve">Set Up the Response and Explanatory Variables:</w:t>
      </w:r>
    </w:p>
    <w:p>
      <w:pPr>
        <w:numPr>
          <w:ilvl w:val="0"/>
          <w:numId w:val="1013"/>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FloorArea</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r>
        <w:br/>
      </w:r>
      <w:r>
        <w:rPr>
          <w:rStyle w:val="FunctionTok"/>
        </w:rPr>
        <w:t xml:space="preserve">library</w:t>
      </w:r>
      <w:r>
        <w:rPr>
          <w:rStyle w:val="NormalTok"/>
        </w:rPr>
        <w:t xml:space="preserve">(see)</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"FloorArea"</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6" name="Picture"/>
            <a:graphic>
              <a:graphicData uri="http://schemas.openxmlformats.org/drawingml/2006/picture">
                <pic:pic>
                  <pic:nvPicPr>
                    <pic:cNvPr descr="Workshop-7---LM-with-multiple-predictors_files/figure-docx/unnamed-chunk-26-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FloorArea</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FloorArea</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FloorArea</w:t>
      </w:r>
      <w:r>
        <w:t xml:space="preserve"> </w:t>
      </w:r>
      <w:r>
        <w:t xml:space="preserve">drives a lot of causal relationships in our DAG:</w:t>
      </w:r>
      <w:r>
        <w:t xml:space="preserve"> </w:t>
      </w:r>
      <w:r>
        <w:rPr>
          <w:rStyle w:val="VerbatimChar"/>
        </w:rPr>
        <w:t xml:space="preserve">FloorArea</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FloorArea</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FloorArea</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FloorArea</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FloorArea</w:t>
      </w:r>
      <w:r>
        <w:t xml:space="preserve">. If we’ve increased the square meters of a property, and that results in an extra room, isn’t that part of how</w:t>
      </w:r>
      <w:r>
        <w:t xml:space="preserve"> </w:t>
      </w:r>
      <w:r>
        <w:rPr>
          <w:rStyle w:val="VerbatimChar"/>
        </w:rPr>
        <w:t xml:space="preserve">FloorArea</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FloorArea on Price we would run the model Price ~ FloorArea.</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FloorArea</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`FloorArea`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FloorArea</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FloorArea</w:t>
      </w:r>
      <w:r>
        <w:t xml:space="preserve">.</w:t>
      </w:r>
    </w:p>
    <w:bookmarkEnd w:id="68"/>
    <w:bookmarkStart w:id="69"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bookmarkEnd w:id="69"/>
    <w:bookmarkStart w:id="73"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_files/figure-docx/unnamed-chunk-31-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There are likely some issues that show up in the diagnostics.</w:t>
      </w:r>
    </w:p>
    <w:p>
      <w:pPr>
        <w:numPr>
          <w:ilvl w:val="0"/>
          <w:numId w:val="1014"/>
        </w:numPr>
      </w:pPr>
      <w:r>
        <w:t xml:space="preserve">The first is unequal variance of errors. If you think about it, it’s maybe not too surprising for two reasons.</w:t>
      </w:r>
    </w:p>
    <w:p>
      <w:pPr>
        <w:numPr>
          <w:ilvl w:val="1"/>
          <w:numId w:val="1015"/>
        </w:numPr>
      </w:pPr>
      <w:r>
        <w:t xml:space="preserve">In your EDA, if you did a histogram of</w:t>
      </w:r>
      <w:r>
        <w:t xml:space="preserve"> </w:t>
      </w:r>
      <w:r>
        <w:rPr>
          <w:rStyle w:val="VerbatimChar"/>
        </w:rPr>
        <w:t xml:space="preserve">Price</w:t>
      </w:r>
      <w:r>
        <w:t xml:space="preserve">, then you may have noticed that rent tends to be rounded to £25-£50 increments when the rent is less than £1000, but when the property is more than £1000, this rounding increases to £50-£100. This creates</w:t>
      </w:r>
      <w:r>
        <w:t xml:space="preserve"> </w:t>
      </w:r>
      <w:r>
        <w:t xml:space="preserve">“</w:t>
      </w:r>
      <w:r>
        <w:t xml:space="preserve">error</w:t>
      </w:r>
      <w:r>
        <w:t xml:space="preserve">”</w:t>
      </w:r>
      <w:r>
        <w:t xml:space="preserve"> </w:t>
      </w:r>
      <w:r>
        <w:t xml:space="preserve">in the price measurement at higher prices, so our model uncertainty performs</w:t>
      </w:r>
      <w:r>
        <w:t xml:space="preserve"> </w:t>
      </w:r>
      <w:r>
        <w:t xml:space="preserve">“</w:t>
      </w:r>
      <w:r>
        <w:t xml:space="preserve">worse</w:t>
      </w:r>
      <w:r>
        <w:t xml:space="preserve">”</w:t>
      </w:r>
      <w:r>
        <w:t xml:space="preserve">.</w:t>
      </w:r>
    </w:p>
    <w:p>
      <w:pPr>
        <w:numPr>
          <w:ilvl w:val="1"/>
          <w:numId w:val="1015"/>
        </w:numPr>
      </w:pPr>
      <w:r>
        <w:t xml:space="preserve">Keep in mind that unequal variance of errors impacts our estimated standard error, which in turn impacts our 95% confidence intervals. It does not affect our actual prediction.</w:t>
      </w:r>
    </w:p>
    <w:p>
      <w:pPr>
        <w:numPr>
          <w:ilvl w:val="1"/>
          <w:numId w:val="1015"/>
        </w:numPr>
      </w:pPr>
      <w:r>
        <w:t xml:space="preserve">The other reason is that estate agents have a easier time guessing the rent for</w:t>
      </w:r>
      <w:r>
        <w:t xml:space="preserve"> </w:t>
      </w:r>
      <w:r>
        <w:t xml:space="preserve">“</w:t>
      </w:r>
      <w:r>
        <w:t xml:space="preserve">cheap</w:t>
      </w:r>
      <w:r>
        <w:t xml:space="preserve">”</w:t>
      </w:r>
      <w:r>
        <w:t xml:space="preserve"> </w:t>
      </w:r>
      <w:r>
        <w:t xml:space="preserve">properties. For cheap flats, it’s easier to pin down the right rent because £250 is a big chunk of the total (e.g. going from £500 to £750 is a big jump). For a luxury mansion, £250 hardly moves the needle (e.g. going from £3,500 to £3,750), so estimates naturally spread out more as price increases.</w:t>
      </w:r>
    </w:p>
    <w:p>
      <w:pPr>
        <w:numPr>
          <w:ilvl w:val="0"/>
          <w:numId w:val="1014"/>
        </w:numPr>
      </w:pPr>
      <w:r>
        <w:t xml:space="preserve">The second issue you might see is that you may have one or multiple overly influential observations. This has fluctuated over time as I’ve added more and more data (sometimes these disappear, other times more appear) but generally there are one or two expensive properties that cause issues and need to be addressed.</w:t>
      </w:r>
    </w:p>
    <w:p>
      <w:pPr>
        <w:numPr>
          <w:ilvl w:val="1"/>
          <w:numId w:val="1016"/>
        </w:numPr>
      </w:pPr>
      <w:r>
        <w:t xml:space="preserve">Influential observations do impact the parameter estimates, so you would first want to confirm if the entered</w:t>
      </w:r>
      <w:r>
        <w:t xml:space="preserve"> </w:t>
      </w:r>
      <w:r>
        <w:rPr>
          <w:rStyle w:val="VerbatimChar"/>
        </w:rPr>
        <w:t xml:space="preserve">Price</w:t>
      </w:r>
      <w:r>
        <w:t xml:space="preserve"> </w:t>
      </w:r>
      <w:r>
        <w:t xml:space="preserve">is correct (which you can check given you have</w:t>
      </w:r>
      <w:r>
        <w:t xml:space="preserve"> </w:t>
      </w:r>
      <w:r>
        <w:rPr>
          <w:rStyle w:val="VerbatimChar"/>
        </w:rPr>
        <w:t xml:space="preserve">PropertyURL</w:t>
      </w:r>
      <w:r>
        <w:t xml:space="preserve"> </w:t>
      </w:r>
      <w:r>
        <w:t xml:space="preserve">- but note that ASPC sometimes removes properties)</w:t>
      </w:r>
    </w:p>
    <w:p>
      <w:pPr>
        <w:numPr>
          <w:ilvl w:val="1"/>
          <w:numId w:val="1016"/>
        </w:numPr>
      </w:pPr>
      <w:r>
        <w:t xml:space="preserve">If you confirm the</w:t>
      </w:r>
      <w:r>
        <w:t xml:space="preserve"> </w:t>
      </w:r>
      <w:r>
        <w:rPr>
          <w:rStyle w:val="VerbatimChar"/>
        </w:rPr>
        <w:t xml:space="preserve">Price</w:t>
      </w:r>
      <w:r>
        <w:t xml:space="preserve"> </w:t>
      </w:r>
      <w:r>
        <w:t xml:space="preserve">has been recorded properly, then you will need to decide how to resolve. Generally, you have two options, either ignore the problem (but acknowledge it when talking about your results) or remove the observation from your dataset. There are some other options, but we won’t go into them here.</w:t>
      </w:r>
    </w:p>
    <w:p>
      <w:pPr>
        <w:pStyle w:val="FirstParagraph"/>
      </w:pPr>
      <w:r>
        <w:t xml:space="preserve">Fix any issues with influential properties, and rerun your analysis.</w:t>
      </w:r>
    </w:p>
    <w:bookmarkEnd w:id="73"/>
    <w:bookmarkStart w:id="77"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-960.59 -102.29   -2.00   80.33 1295.40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209.0272    20.1499   10.37   &lt;2e-16 ***</w:t>
      </w:r>
      <w:r>
        <w:br/>
      </w:r>
      <w:r>
        <w:rPr>
          <w:rStyle w:val="VerbatimChar"/>
        </w:rPr>
        <w:t xml:space="preserve">## FloorArea     8.3567     0.2384   35.05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215 on 590 degrees of freedom</w:t>
      </w:r>
      <w:r>
        <w:br/>
      </w:r>
      <w:r>
        <w:rPr>
          <w:rStyle w:val="VerbatimChar"/>
        </w:rPr>
        <w:t xml:space="preserve">## Multiple R-squared:  0.6755, Adjusted R-squared:  0.675 </w:t>
      </w:r>
      <w:r>
        <w:br/>
      </w:r>
      <w:r>
        <w:rPr>
          <w:rStyle w:val="VerbatimChar"/>
        </w:rPr>
        <w:t xml:space="preserve">## F-statistic:  1228 on 1 and 590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5" name="Picture"/>
            <a:graphic>
              <a:graphicData uri="http://schemas.openxmlformats.org/drawingml/2006/picture">
                <pic:pic>
                  <pic:nvPicPr>
                    <pic:cNvPr descr="Workshop-7---LM-with-multiple-predictors_files/figure-docx/unnamed-chunk-3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£8.36 per month. So long as we assume that our DAG is accurate (a potentially big assumption), this £8.36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rent by £1.26 per month. At the time, we noted that £1.26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7"/>
    <w:bookmarkEnd w:id="78"/>
    <w:bookmarkStart w:id="79"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bookmarkEnd w:id="79"/>
    <w:bookmarkStart w:id="80"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1627"/>
        <w:gridCol w:w="2495"/>
        <w:gridCol w:w="3797"/>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80"/>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hyperlink" Id="rId60" Target="https://deonroos.shinyapps.io/BI3010_Rent/" TargetMode="External" /><Relationship Type="http://schemas.openxmlformats.org/officeDocument/2006/relationships/hyperlink" Id="rId28" Target="https://en.wikipedia.org/wiki/Apartment" TargetMode="External" /><Relationship Type="http://schemas.openxmlformats.org/officeDocument/2006/relationships/hyperlink" Id="rId26" Target="https://en.wikipedia.org/wiki/Semi-detached" TargetMode="External" /><Relationship Type="http://schemas.openxmlformats.org/officeDocument/2006/relationships/hyperlink" Id="rId25" Target="https://en.wikipedia.org/wiki/Single-family_detached_home" TargetMode="External" /><Relationship Type="http://schemas.openxmlformats.org/officeDocument/2006/relationships/hyperlink" Id="rId27" Target="https://en.wikipedia.org/wiki/Terraced_house" TargetMode="External" /><Relationship Type="http://schemas.openxmlformats.org/officeDocument/2006/relationships/hyperlink" Id="rId59"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60" Target="https://deonroos.shinyapps.io/BI3010_Rent/" TargetMode="External" /><Relationship Type="http://schemas.openxmlformats.org/officeDocument/2006/relationships/hyperlink" Id="rId28" Target="https://en.wikipedia.org/wiki/Apartment" TargetMode="External" /><Relationship Type="http://schemas.openxmlformats.org/officeDocument/2006/relationships/hyperlink" Id="rId26" Target="https://en.wikipedia.org/wiki/Semi-detached" TargetMode="External" /><Relationship Type="http://schemas.openxmlformats.org/officeDocument/2006/relationships/hyperlink" Id="rId25" Target="https://en.wikipedia.org/wiki/Single-family_detached_home" TargetMode="External" /><Relationship Type="http://schemas.openxmlformats.org/officeDocument/2006/relationships/hyperlink" Id="rId27" Target="https://en.wikipedia.org/wiki/Terraced_house" TargetMode="External" /><Relationship Type="http://schemas.openxmlformats.org/officeDocument/2006/relationships/hyperlink" Id="rId59"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2025-09-09T12:48:39Z</dcterms:created>
  <dcterms:modified xsi:type="dcterms:W3CDTF">2025-09-09T12:48:39Z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2025-09-09</vt:lpwstr>
  </property>
  <property fmtid="{D5CDD505-2E9C-101B-9397-08002B2CF9AE}" pid="3" name="output">
    <vt:lpwstr/>
  </property>
</Properties>
</file>